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77FBA6" w14:textId="3C54B037" w:rsidR="005665B7" w:rsidRPr="00E040B0" w:rsidRDefault="004C12C0" w:rsidP="00E040B0">
      <w:pPr>
        <w:spacing w:line="480" w:lineRule="auto"/>
        <w:ind w:left="567" w:right="425"/>
        <w:jc w:val="center"/>
        <w:rPr>
          <w:b/>
          <w:sz w:val="32"/>
          <w:szCs w:val="28"/>
          <w:lang w:val="en-GB"/>
        </w:rPr>
      </w:pPr>
      <w:r>
        <w:rPr>
          <w:b/>
          <w:sz w:val="32"/>
          <w:szCs w:val="28"/>
          <w:lang w:val="en-GB"/>
        </w:rPr>
        <w:t xml:space="preserve">Factors that </w:t>
      </w:r>
      <w:r w:rsidR="0015598E">
        <w:rPr>
          <w:b/>
          <w:sz w:val="32"/>
          <w:szCs w:val="28"/>
          <w:lang w:val="en-GB"/>
        </w:rPr>
        <w:t>P</w:t>
      </w:r>
      <w:r w:rsidR="00712171">
        <w:rPr>
          <w:b/>
          <w:sz w:val="32"/>
          <w:szCs w:val="28"/>
          <w:lang w:val="en-GB"/>
        </w:rPr>
        <w:t>revent</w:t>
      </w:r>
      <w:r>
        <w:rPr>
          <w:b/>
          <w:sz w:val="32"/>
          <w:szCs w:val="28"/>
          <w:lang w:val="en-GB"/>
        </w:rPr>
        <w:t xml:space="preserve"> </w:t>
      </w:r>
      <w:r w:rsidR="0015598E">
        <w:rPr>
          <w:b/>
          <w:sz w:val="32"/>
          <w:szCs w:val="28"/>
          <w:lang w:val="en-GB"/>
        </w:rPr>
        <w:t>S</w:t>
      </w:r>
      <w:r w:rsidR="001F2AC6" w:rsidRPr="00E040B0">
        <w:rPr>
          <w:b/>
          <w:sz w:val="32"/>
          <w:szCs w:val="28"/>
          <w:lang w:val="en-GB"/>
        </w:rPr>
        <w:t>pin-</w:t>
      </w:r>
      <w:r w:rsidR="0015598E">
        <w:rPr>
          <w:b/>
          <w:sz w:val="32"/>
          <w:szCs w:val="28"/>
          <w:lang w:val="en-GB"/>
        </w:rPr>
        <w:t>T</w:t>
      </w:r>
      <w:r w:rsidR="001F2AC6" w:rsidRPr="00E040B0">
        <w:rPr>
          <w:b/>
          <w:sz w:val="32"/>
          <w:szCs w:val="28"/>
          <w:lang w:val="en-GB"/>
        </w:rPr>
        <w:t xml:space="preserve">riplet </w:t>
      </w:r>
      <w:r w:rsidR="0015598E">
        <w:rPr>
          <w:b/>
          <w:sz w:val="32"/>
          <w:szCs w:val="28"/>
          <w:lang w:val="en-GB"/>
        </w:rPr>
        <w:t>R</w:t>
      </w:r>
      <w:r w:rsidR="001F2AC6" w:rsidRPr="00E040B0">
        <w:rPr>
          <w:b/>
          <w:sz w:val="32"/>
          <w:szCs w:val="28"/>
          <w:lang w:val="en-GB"/>
        </w:rPr>
        <w:t xml:space="preserve">ecombination </w:t>
      </w:r>
      <w:r w:rsidR="006778F3" w:rsidRPr="00E040B0">
        <w:rPr>
          <w:b/>
          <w:sz w:val="32"/>
          <w:szCs w:val="28"/>
          <w:lang w:val="en-GB"/>
        </w:rPr>
        <w:t xml:space="preserve">in </w:t>
      </w:r>
      <w:r w:rsidR="0015598E">
        <w:rPr>
          <w:b/>
          <w:sz w:val="32"/>
          <w:szCs w:val="28"/>
          <w:lang w:val="en-GB"/>
        </w:rPr>
        <w:t>N</w:t>
      </w:r>
      <w:r w:rsidR="006778F3" w:rsidRPr="00E040B0">
        <w:rPr>
          <w:b/>
          <w:sz w:val="32"/>
          <w:szCs w:val="28"/>
          <w:lang w:val="en-GB"/>
        </w:rPr>
        <w:t>on-</w:t>
      </w:r>
      <w:r w:rsidR="0015598E">
        <w:rPr>
          <w:b/>
          <w:sz w:val="32"/>
          <w:szCs w:val="28"/>
          <w:lang w:val="en-GB"/>
        </w:rPr>
        <w:t>F</w:t>
      </w:r>
      <w:r w:rsidR="006778F3" w:rsidRPr="00E040B0">
        <w:rPr>
          <w:b/>
          <w:sz w:val="32"/>
          <w:szCs w:val="28"/>
          <w:lang w:val="en-GB"/>
        </w:rPr>
        <w:t xml:space="preserve">ullerene </w:t>
      </w:r>
      <w:r w:rsidR="0015598E">
        <w:rPr>
          <w:b/>
          <w:sz w:val="32"/>
          <w:szCs w:val="28"/>
          <w:lang w:val="en-GB"/>
        </w:rPr>
        <w:t>O</w:t>
      </w:r>
      <w:r w:rsidR="006778F3" w:rsidRPr="00E040B0">
        <w:rPr>
          <w:b/>
          <w:sz w:val="32"/>
          <w:szCs w:val="28"/>
          <w:lang w:val="en-GB"/>
        </w:rPr>
        <w:t xml:space="preserve">rganic </w:t>
      </w:r>
      <w:r w:rsidR="0015598E">
        <w:rPr>
          <w:b/>
          <w:sz w:val="32"/>
          <w:szCs w:val="28"/>
          <w:lang w:val="en-GB"/>
        </w:rPr>
        <w:t>P</w:t>
      </w:r>
      <w:r w:rsidR="006778F3" w:rsidRPr="00E040B0">
        <w:rPr>
          <w:b/>
          <w:sz w:val="32"/>
          <w:szCs w:val="28"/>
          <w:lang w:val="en-GB"/>
        </w:rPr>
        <w:t>hotovoltaics</w:t>
      </w:r>
    </w:p>
    <w:p w14:paraId="6117DF88" w14:textId="792312E3" w:rsidR="00E040B0" w:rsidRDefault="00063975" w:rsidP="00E040B0">
      <w:pPr>
        <w:pStyle w:val="AuthorsFull"/>
        <w:spacing w:line="480" w:lineRule="auto"/>
        <w:jc w:val="center"/>
        <w:rPr>
          <w:i w:val="0"/>
          <w:vertAlign w:val="superscript"/>
          <w:lang w:val="en-GB"/>
        </w:rPr>
      </w:pPr>
      <w:r w:rsidRPr="00416036">
        <w:rPr>
          <w:i w:val="0"/>
          <w:lang w:val="en-GB"/>
        </w:rPr>
        <w:t xml:space="preserve">Philip C.Y. Chow </w:t>
      </w:r>
      <w:r w:rsidRPr="00416036">
        <w:rPr>
          <w:i w:val="0"/>
          <w:vertAlign w:val="superscript"/>
          <w:lang w:val="en-GB"/>
        </w:rPr>
        <w:t>1</w:t>
      </w:r>
      <w:r>
        <w:rPr>
          <w:i w:val="0"/>
          <w:vertAlign w:val="superscript"/>
          <w:lang w:val="en-GB"/>
        </w:rPr>
        <w:t>*</w:t>
      </w:r>
      <w:r w:rsidR="00DB6016">
        <w:rPr>
          <w:i w:val="0"/>
          <w:lang w:val="en-GB"/>
        </w:rPr>
        <w:t xml:space="preserve">, </w:t>
      </w:r>
      <w:r w:rsidR="00FA6C7D">
        <w:rPr>
          <w:i w:val="0"/>
          <w:lang w:val="en-GB"/>
        </w:rPr>
        <w:t xml:space="preserve">Christopher C.S. Chan </w:t>
      </w:r>
      <w:r w:rsidR="00FA6C7D">
        <w:rPr>
          <w:i w:val="0"/>
          <w:vertAlign w:val="superscript"/>
          <w:lang w:val="en-GB"/>
        </w:rPr>
        <w:t>2</w:t>
      </w:r>
      <w:r w:rsidR="00FA6C7D">
        <w:rPr>
          <w:i w:val="0"/>
          <w:lang w:val="en-GB"/>
        </w:rPr>
        <w:t xml:space="preserve">, Chao Ma </w:t>
      </w:r>
      <w:r w:rsidR="00FA6C7D">
        <w:rPr>
          <w:i w:val="0"/>
          <w:vertAlign w:val="superscript"/>
          <w:lang w:val="en-GB"/>
        </w:rPr>
        <w:t>2</w:t>
      </w:r>
      <w:r w:rsidR="00FA6C7D">
        <w:rPr>
          <w:i w:val="0"/>
          <w:lang w:val="en-GB"/>
        </w:rPr>
        <w:t xml:space="preserve">, Xinhui Zou </w:t>
      </w:r>
      <w:r w:rsidR="00FA6C7D">
        <w:rPr>
          <w:i w:val="0"/>
          <w:vertAlign w:val="superscript"/>
          <w:lang w:val="en-GB"/>
        </w:rPr>
        <w:t>2,3</w:t>
      </w:r>
      <w:r w:rsidR="00FA6C7D">
        <w:rPr>
          <w:i w:val="0"/>
          <w:lang w:val="en-GB"/>
        </w:rPr>
        <w:t xml:space="preserve">, </w:t>
      </w:r>
      <w:r w:rsidR="00202F95" w:rsidRPr="00416036">
        <w:rPr>
          <w:i w:val="0"/>
          <w:lang w:val="en-GB"/>
        </w:rPr>
        <w:t xml:space="preserve">He Yan </w:t>
      </w:r>
      <w:r w:rsidR="00FA6C7D">
        <w:rPr>
          <w:i w:val="0"/>
          <w:vertAlign w:val="superscript"/>
          <w:lang w:val="en-GB"/>
        </w:rPr>
        <w:t>3</w:t>
      </w:r>
      <w:r w:rsidR="008A31A2">
        <w:rPr>
          <w:i w:val="0"/>
          <w:lang w:val="en-GB"/>
        </w:rPr>
        <w:t xml:space="preserve">, Kam Sing Wong </w:t>
      </w:r>
      <w:r w:rsidR="00FA6C7D">
        <w:rPr>
          <w:i w:val="0"/>
          <w:vertAlign w:val="superscript"/>
          <w:lang w:val="en-GB"/>
        </w:rPr>
        <w:t>2</w:t>
      </w:r>
    </w:p>
    <w:p w14:paraId="564254FE" w14:textId="77777777" w:rsidR="005665B7" w:rsidRPr="00AD2686" w:rsidRDefault="005665B7" w:rsidP="00E040B0">
      <w:pPr>
        <w:pStyle w:val="AuthorsFull"/>
        <w:spacing w:line="480" w:lineRule="auto"/>
        <w:jc w:val="center"/>
        <w:rPr>
          <w:i w:val="0"/>
          <w:lang w:val="en-GB"/>
        </w:rPr>
      </w:pPr>
    </w:p>
    <w:p w14:paraId="6BE7565F" w14:textId="77777777" w:rsidR="00E040B0" w:rsidRDefault="00DB6016" w:rsidP="00E040B0">
      <w:pPr>
        <w:pStyle w:val="AuthorsFull"/>
        <w:numPr>
          <w:ilvl w:val="0"/>
          <w:numId w:val="6"/>
        </w:numPr>
        <w:spacing w:line="480" w:lineRule="auto"/>
      </w:pPr>
      <w:r>
        <w:t xml:space="preserve">Department of Mechanical Engineering, The University of Hong Kong, </w:t>
      </w:r>
      <w:proofErr w:type="spellStart"/>
      <w:r>
        <w:t>Pokfulam</w:t>
      </w:r>
      <w:proofErr w:type="spellEnd"/>
      <w:r>
        <w:t>, Hong Kong, China</w:t>
      </w:r>
    </w:p>
    <w:p w14:paraId="24E95EEB" w14:textId="7E227CA9" w:rsidR="00E040B0" w:rsidRDefault="00DB6016" w:rsidP="00E040B0">
      <w:pPr>
        <w:pStyle w:val="AuthorsFull"/>
        <w:numPr>
          <w:ilvl w:val="0"/>
          <w:numId w:val="6"/>
        </w:numPr>
        <w:spacing w:line="480" w:lineRule="auto"/>
      </w:pPr>
      <w:r w:rsidRPr="0087468D">
        <w:t xml:space="preserve">Department of </w:t>
      </w:r>
      <w:r w:rsidR="00FA6C7D">
        <w:t>Physics</w:t>
      </w:r>
      <w:r w:rsidRPr="0087468D">
        <w:t>, The Hong Kong University of Science and Technology</w:t>
      </w:r>
      <w:r>
        <w:t xml:space="preserve">, </w:t>
      </w:r>
      <w:r w:rsidRPr="0087468D">
        <w:t>Clear Water Bay, Kowloon, Hong Kong</w:t>
      </w:r>
      <w:r>
        <w:t>, China</w:t>
      </w:r>
    </w:p>
    <w:p w14:paraId="27EB2022" w14:textId="42BD0D36" w:rsidR="008A31A2" w:rsidRDefault="008A31A2" w:rsidP="008A31A2">
      <w:pPr>
        <w:pStyle w:val="AuthorsFull"/>
        <w:numPr>
          <w:ilvl w:val="0"/>
          <w:numId w:val="6"/>
        </w:numPr>
        <w:spacing w:line="480" w:lineRule="auto"/>
      </w:pPr>
      <w:r w:rsidRPr="0087468D">
        <w:t xml:space="preserve">Department of </w:t>
      </w:r>
      <w:r w:rsidR="00FA6C7D">
        <w:t>Chemistry</w:t>
      </w:r>
      <w:r w:rsidRPr="0087468D">
        <w:t>, The Hong Kong University of Science and Technology</w:t>
      </w:r>
      <w:r>
        <w:t xml:space="preserve">, </w:t>
      </w:r>
      <w:r w:rsidRPr="0087468D">
        <w:t>Clear Water Bay, Kowloon, Hong Kong</w:t>
      </w:r>
      <w:r>
        <w:t>, China</w:t>
      </w:r>
    </w:p>
    <w:p w14:paraId="0EF8537B" w14:textId="77777777" w:rsidR="000F7A5A" w:rsidRDefault="000F7A5A" w:rsidP="000F7A5A">
      <w:pPr>
        <w:pStyle w:val="AuthorsFull"/>
        <w:spacing w:line="480" w:lineRule="auto"/>
        <w:ind w:left="720"/>
      </w:pPr>
    </w:p>
    <w:p w14:paraId="023C8C20" w14:textId="77777777" w:rsidR="00B330EE" w:rsidRPr="00216114" w:rsidRDefault="00DB6016" w:rsidP="004209F3">
      <w:pPr>
        <w:pStyle w:val="Addresses"/>
        <w:spacing w:line="480" w:lineRule="auto"/>
        <w:ind w:left="709"/>
      </w:pPr>
      <w:r>
        <w:t xml:space="preserve">*Correspondence to: </w:t>
      </w:r>
      <w:r w:rsidR="001F2AC6">
        <w:t>pcyc@hku.hk</w:t>
      </w:r>
    </w:p>
    <w:p w14:paraId="67D85DF2" w14:textId="77777777" w:rsidR="00E35487" w:rsidRDefault="00E35487" w:rsidP="00416036">
      <w:pPr>
        <w:pStyle w:val="Addresses"/>
        <w:spacing w:line="480" w:lineRule="auto"/>
        <w:rPr>
          <w:color w:val="000000" w:themeColor="text1"/>
        </w:rPr>
      </w:pPr>
    </w:p>
    <w:p w14:paraId="6CAC5BD0" w14:textId="77777777" w:rsidR="002F2F5C" w:rsidRDefault="00025907" w:rsidP="002F2F5C">
      <w:pPr>
        <w:pStyle w:val="Addresses"/>
        <w:spacing w:line="480" w:lineRule="auto"/>
        <w:rPr>
          <w:rFonts w:ascii="Calibri" w:hAnsi="Calibri" w:cs="Calibri"/>
          <w:color w:val="000000" w:themeColor="text1"/>
        </w:rPr>
      </w:pPr>
      <w:r>
        <w:rPr>
          <w:color w:val="000000" w:themeColor="text1"/>
        </w:rPr>
        <w:t xml:space="preserve">Accepted by: </w:t>
      </w:r>
      <w:r w:rsidR="002F2F5C" w:rsidRPr="002F2F5C">
        <w:rPr>
          <w:rFonts w:ascii="Calibri" w:hAnsi="Calibri" w:cs="Calibri"/>
          <w:color w:val="000000" w:themeColor="text1"/>
        </w:rPr>
        <w:t>﻿</w:t>
      </w:r>
    </w:p>
    <w:p w14:paraId="5C32D19E" w14:textId="77777777" w:rsidR="00197A70" w:rsidRDefault="002F2F5C" w:rsidP="002F2F5C">
      <w:pPr>
        <w:pStyle w:val="Addresses"/>
        <w:spacing w:line="480" w:lineRule="auto"/>
        <w:rPr>
          <w:color w:val="000000" w:themeColor="text1"/>
        </w:rPr>
      </w:pPr>
      <w:r w:rsidRPr="002F2F5C">
        <w:rPr>
          <w:color w:val="000000" w:themeColor="text1"/>
        </w:rPr>
        <w:t>The Journal of Physical Chemistry Letters</w:t>
      </w:r>
    </w:p>
    <w:p w14:paraId="6832A345" w14:textId="50A4AB35" w:rsidR="005665B7" w:rsidRPr="00197A70" w:rsidRDefault="00197A70" w:rsidP="002F2F5C">
      <w:pPr>
        <w:pStyle w:val="Addresses"/>
        <w:spacing w:line="480" w:lineRule="auto"/>
        <w:rPr>
          <w:bCs/>
          <w:lang w:val="en-GB"/>
        </w:rPr>
      </w:pPr>
      <w:r w:rsidRPr="00197A70">
        <w:rPr>
          <w:rFonts w:ascii="Calibri" w:hAnsi="Calibri" w:cs="Calibri"/>
          <w:bCs/>
          <w:lang w:val="en-GB"/>
        </w:rPr>
        <w:t>﻿</w:t>
      </w:r>
      <w:r w:rsidRPr="00197A70">
        <w:rPr>
          <w:bCs/>
          <w:lang w:val="en-GB"/>
        </w:rPr>
        <w:t>May 18, 2021</w:t>
      </w:r>
      <w:r w:rsidR="005665B7" w:rsidRPr="00197A70">
        <w:rPr>
          <w:bCs/>
          <w:lang w:val="en-GB"/>
        </w:rPr>
        <w:br w:type="page"/>
      </w:r>
    </w:p>
    <w:p w14:paraId="72990134" w14:textId="734CE679" w:rsidR="00416036" w:rsidRPr="00416036" w:rsidRDefault="00416036" w:rsidP="00416036">
      <w:pPr>
        <w:pStyle w:val="MainText"/>
        <w:rPr>
          <w:b/>
          <w:lang w:val="en-GB"/>
        </w:rPr>
      </w:pPr>
      <w:r w:rsidRPr="00416036">
        <w:rPr>
          <w:b/>
          <w:lang w:val="en-GB"/>
        </w:rPr>
        <w:lastRenderedPageBreak/>
        <w:t>Abstract</w:t>
      </w:r>
    </w:p>
    <w:p w14:paraId="72D01522" w14:textId="72A08DB3" w:rsidR="001F2AC6" w:rsidRDefault="00B62AB7" w:rsidP="001F2AC6">
      <w:pPr>
        <w:spacing w:line="480" w:lineRule="auto"/>
        <w:jc w:val="both"/>
        <w:rPr>
          <w:lang w:val="en-GB"/>
        </w:rPr>
      </w:pPr>
      <w:r>
        <w:rPr>
          <w:lang w:val="en-GB"/>
        </w:rPr>
        <w:t xml:space="preserve">Managing </w:t>
      </w:r>
      <w:r w:rsidR="00E13157">
        <w:rPr>
          <w:lang w:val="en-GB"/>
        </w:rPr>
        <w:t xml:space="preserve">the dynamics of </w:t>
      </w:r>
      <w:r w:rsidR="001F2AC6">
        <w:rPr>
          <w:lang w:val="en-GB"/>
        </w:rPr>
        <w:t xml:space="preserve">spin-triplet </w:t>
      </w:r>
      <w:r>
        <w:rPr>
          <w:lang w:val="en-GB"/>
        </w:rPr>
        <w:t>electronic states</w:t>
      </w:r>
      <w:r w:rsidR="001F2AC6">
        <w:rPr>
          <w:lang w:val="en-GB"/>
        </w:rPr>
        <w:t xml:space="preserve"> </w:t>
      </w:r>
      <w:r>
        <w:rPr>
          <w:lang w:val="en-GB"/>
        </w:rPr>
        <w:t xml:space="preserve">is crucial for </w:t>
      </w:r>
      <w:r w:rsidR="00B75203">
        <w:rPr>
          <w:lang w:val="en-GB"/>
        </w:rPr>
        <w:t xml:space="preserve">achieving </w:t>
      </w:r>
      <w:r>
        <w:rPr>
          <w:lang w:val="en-GB"/>
        </w:rPr>
        <w:t xml:space="preserve">high-performance </w:t>
      </w:r>
      <w:r w:rsidR="001F2AC6">
        <w:rPr>
          <w:lang w:val="en-GB"/>
        </w:rPr>
        <w:t xml:space="preserve">organic </w:t>
      </w:r>
      <w:r w:rsidR="00B9137F">
        <w:rPr>
          <w:lang w:val="en-GB"/>
        </w:rPr>
        <w:t>photovoltaics (OPV)</w:t>
      </w:r>
      <w:r w:rsidR="001F2AC6">
        <w:rPr>
          <w:lang w:val="en-GB"/>
        </w:rPr>
        <w:t xml:space="preserve">. </w:t>
      </w:r>
      <w:r w:rsidR="00F55823">
        <w:rPr>
          <w:lang w:val="en-GB"/>
        </w:rPr>
        <w:t xml:space="preserve">Here we </w:t>
      </w:r>
      <w:r w:rsidR="00CF6B4A">
        <w:rPr>
          <w:lang w:val="en-GB"/>
        </w:rPr>
        <w:t xml:space="preserve">show </w:t>
      </w:r>
      <w:r w:rsidR="00F55823">
        <w:rPr>
          <w:lang w:val="en-GB"/>
        </w:rPr>
        <w:t>that</w:t>
      </w:r>
      <w:r w:rsidR="00CF6B4A">
        <w:rPr>
          <w:lang w:val="en-GB"/>
        </w:rPr>
        <w:t xml:space="preserve"> the replacement of fullerene with</w:t>
      </w:r>
      <w:r w:rsidR="00896DBA">
        <w:rPr>
          <w:lang w:val="en-GB"/>
        </w:rPr>
        <w:t xml:space="preserve"> </w:t>
      </w:r>
      <w:r w:rsidR="00CF6B4A">
        <w:rPr>
          <w:lang w:val="en-GB"/>
        </w:rPr>
        <w:t xml:space="preserve">non-fullerene acceptor (NFA) molecules </w:t>
      </w:r>
      <w:r w:rsidR="00FB24C0">
        <w:rPr>
          <w:lang w:val="en-GB"/>
        </w:rPr>
        <w:t xml:space="preserve">leads to suppression of </w:t>
      </w:r>
      <w:r w:rsidR="00CF6B4A">
        <w:rPr>
          <w:lang w:val="en-GB"/>
        </w:rPr>
        <w:t>triplet recombination</w:t>
      </w:r>
      <w:r w:rsidR="00896DBA">
        <w:rPr>
          <w:lang w:val="en-GB"/>
        </w:rPr>
        <w:t xml:space="preserve"> and</w:t>
      </w:r>
      <w:r w:rsidR="00B9137F">
        <w:rPr>
          <w:lang w:val="en-GB"/>
        </w:rPr>
        <w:t xml:space="preserve"> thus </w:t>
      </w:r>
      <w:r w:rsidR="00896DBA">
        <w:rPr>
          <w:lang w:val="en-GB"/>
        </w:rPr>
        <w:t>more efficient charge generation</w:t>
      </w:r>
      <w:r w:rsidR="001F2AC6">
        <w:rPr>
          <w:lang w:val="en-GB"/>
        </w:rPr>
        <w:t>. This indicates that</w:t>
      </w:r>
      <w:r w:rsidR="00BF6545">
        <w:rPr>
          <w:lang w:val="en-GB"/>
        </w:rPr>
        <w:t xml:space="preserve"> the</w:t>
      </w:r>
      <w:r w:rsidR="001F2AC6">
        <w:rPr>
          <w:lang w:val="en-GB"/>
        </w:rPr>
        <w:t xml:space="preserve"> </w:t>
      </w:r>
      <w:r w:rsidR="001A6A5A">
        <w:rPr>
          <w:lang w:val="en-GB"/>
        </w:rPr>
        <w:t>relaxation of charges to the local triplet exciton state</w:t>
      </w:r>
      <w:r w:rsidR="001F2AC6" w:rsidRPr="00EA0BB5">
        <w:rPr>
          <w:lang w:val="en-GB"/>
        </w:rPr>
        <w:t>, although energetically allowed, is outcompeted by the thermally</w:t>
      </w:r>
      <w:r w:rsidR="001F2AC6">
        <w:rPr>
          <w:lang w:val="en-GB"/>
        </w:rPr>
        <w:t>-</w:t>
      </w:r>
      <w:r w:rsidR="001F2AC6" w:rsidRPr="00EA0BB5">
        <w:rPr>
          <w:lang w:val="en-GB"/>
        </w:rPr>
        <w:t>activated separation</w:t>
      </w:r>
      <w:r w:rsidR="001F2AC6">
        <w:rPr>
          <w:lang w:val="en-GB"/>
        </w:rPr>
        <w:t xml:space="preserve"> of interfacial charge-transfer excitons </w:t>
      </w:r>
      <w:r w:rsidR="003E2404">
        <w:rPr>
          <w:lang w:val="en-GB"/>
        </w:rPr>
        <w:t xml:space="preserve">(CTE) </w:t>
      </w:r>
      <w:r w:rsidR="009453A7">
        <w:rPr>
          <w:lang w:val="en-GB"/>
        </w:rPr>
        <w:t>in the NFA-based system</w:t>
      </w:r>
      <w:r w:rsidR="001F2AC6" w:rsidRPr="00EA0BB5">
        <w:rPr>
          <w:lang w:val="en-GB"/>
        </w:rPr>
        <w:t>.</w:t>
      </w:r>
      <w:r w:rsidR="001F2AC6">
        <w:rPr>
          <w:lang w:val="en-GB"/>
        </w:rPr>
        <w:t xml:space="preserve"> </w:t>
      </w:r>
      <w:r w:rsidR="00D037C1">
        <w:rPr>
          <w:lang w:val="en-GB"/>
        </w:rPr>
        <w:t>By rationalizing o</w:t>
      </w:r>
      <w:r w:rsidR="001F2AC6">
        <w:rPr>
          <w:lang w:val="en-GB"/>
        </w:rPr>
        <w:t xml:space="preserve">ur results </w:t>
      </w:r>
      <w:r w:rsidR="00D037C1">
        <w:rPr>
          <w:lang w:val="en-GB"/>
        </w:rPr>
        <w:t xml:space="preserve">with Marcus theory, we propose </w:t>
      </w:r>
      <w:r w:rsidR="001F2AC6">
        <w:rPr>
          <w:lang w:val="en-GB"/>
        </w:rPr>
        <w:t xml:space="preserve">that triplet recombination in the fullerene system is driven by the </w:t>
      </w:r>
      <w:r w:rsidR="00712171">
        <w:rPr>
          <w:lang w:val="en-GB"/>
        </w:rPr>
        <w:t>small</w:t>
      </w:r>
      <w:r w:rsidR="001F2AC6">
        <w:rPr>
          <w:lang w:val="en-GB"/>
        </w:rPr>
        <w:t xml:space="preserve"> energy </w:t>
      </w:r>
      <w:r w:rsidR="00712171">
        <w:rPr>
          <w:lang w:val="en-GB"/>
        </w:rPr>
        <w:t xml:space="preserve">difference </w:t>
      </w:r>
      <w:r w:rsidR="00E268CC" w:rsidRPr="00CE3F88">
        <w:rPr>
          <w:lang w:val="en-GB"/>
        </w:rPr>
        <w:t>and strong electronic couplings</w:t>
      </w:r>
      <w:r w:rsidR="00E268CC">
        <w:rPr>
          <w:lang w:val="en-GB"/>
        </w:rPr>
        <w:t xml:space="preserve"> </w:t>
      </w:r>
      <w:r w:rsidR="001F2AC6">
        <w:rPr>
          <w:lang w:val="en-GB"/>
        </w:rPr>
        <w:t>between the CTE state and the lowest-lying triplet exciton state</w:t>
      </w:r>
      <w:r w:rsidR="00F10320">
        <w:rPr>
          <w:lang w:val="en-GB"/>
        </w:rPr>
        <w:t xml:space="preserve"> </w:t>
      </w:r>
      <w:r w:rsidR="00FE19F3">
        <w:rPr>
          <w:lang w:val="en-GB"/>
        </w:rPr>
        <w:t>(T</w:t>
      </w:r>
      <w:r w:rsidR="00FE19F3">
        <w:rPr>
          <w:vertAlign w:val="subscript"/>
          <w:lang w:val="en-GB"/>
        </w:rPr>
        <w:t>1</w:t>
      </w:r>
      <w:r w:rsidR="00FE19F3">
        <w:rPr>
          <w:lang w:val="en-GB"/>
        </w:rPr>
        <w:t xml:space="preserve">) </w:t>
      </w:r>
      <w:r w:rsidR="00F10320">
        <w:rPr>
          <w:lang w:val="en-GB"/>
        </w:rPr>
        <w:t xml:space="preserve">of fullerene </w:t>
      </w:r>
      <w:r w:rsidR="00AB7936">
        <w:rPr>
          <w:lang w:val="en-GB"/>
        </w:rPr>
        <w:t xml:space="preserve">acceptor </w:t>
      </w:r>
      <w:r w:rsidR="00F10320">
        <w:rPr>
          <w:lang w:val="en-GB"/>
        </w:rPr>
        <w:t>molecules</w:t>
      </w:r>
      <w:r w:rsidR="005665B7">
        <w:rPr>
          <w:lang w:val="en-GB"/>
        </w:rPr>
        <w:t xml:space="preserve">. </w:t>
      </w:r>
      <w:r w:rsidR="004A1540">
        <w:rPr>
          <w:lang w:val="en-GB"/>
        </w:rPr>
        <w:t>In contrast</w:t>
      </w:r>
      <w:r w:rsidR="00FE19F3">
        <w:rPr>
          <w:lang w:val="en-GB"/>
        </w:rPr>
        <w:t xml:space="preserve">, </w:t>
      </w:r>
      <w:r w:rsidR="004A1540">
        <w:rPr>
          <w:lang w:val="en-GB"/>
        </w:rPr>
        <w:t xml:space="preserve">the </w:t>
      </w:r>
      <w:r w:rsidR="004A1540">
        <w:rPr>
          <w:lang w:val="en-GB" w:eastAsia="zh-CN"/>
        </w:rPr>
        <w:t>large energy difference and small electronic couplings between the</w:t>
      </w:r>
      <w:r w:rsidR="005E73AB">
        <w:rPr>
          <w:lang w:val="en-GB" w:eastAsia="zh-CN"/>
        </w:rPr>
        <w:t>se states</w:t>
      </w:r>
      <w:r w:rsidR="004A1540">
        <w:rPr>
          <w:lang w:val="en-GB" w:eastAsia="zh-CN"/>
        </w:rPr>
        <w:t xml:space="preserve"> in the NFA-based blends lead to sufficiently slow triplet relaxation </w:t>
      </w:r>
      <w:r w:rsidR="005E73AB">
        <w:rPr>
          <w:lang w:val="en-GB" w:eastAsia="zh-CN"/>
        </w:rPr>
        <w:t xml:space="preserve">rate compared to the charge separation rate </w:t>
      </w:r>
      <w:r w:rsidR="004A1540">
        <w:rPr>
          <w:lang w:val="en-GB" w:eastAsia="zh-CN"/>
        </w:rPr>
        <w:t>(</w:t>
      </w:r>
      <w:r w:rsidR="005E73AB">
        <w:rPr>
          <w:lang w:val="en-GB" w:eastAsia="zh-CN"/>
        </w:rPr>
        <w:t>&lt;&lt;</w:t>
      </w:r>
      <w:r w:rsidR="004A1540">
        <w:rPr>
          <w:lang w:val="en-GB" w:eastAsia="zh-CN"/>
        </w:rPr>
        <w:t>10</w:t>
      </w:r>
      <w:r w:rsidR="004A1540">
        <w:rPr>
          <w:vertAlign w:val="superscript"/>
          <w:lang w:val="en-GB" w:eastAsia="zh-CN"/>
        </w:rPr>
        <w:t>10</w:t>
      </w:r>
      <w:r w:rsidR="004A1540">
        <w:rPr>
          <w:lang w:val="en-GB" w:eastAsia="zh-CN"/>
        </w:rPr>
        <w:t xml:space="preserve"> s</w:t>
      </w:r>
      <w:r w:rsidR="004A1540">
        <w:rPr>
          <w:vertAlign w:val="superscript"/>
          <w:lang w:val="en-GB" w:eastAsia="zh-CN"/>
        </w:rPr>
        <w:t>-1</w:t>
      </w:r>
      <w:r w:rsidR="004A1540">
        <w:rPr>
          <w:lang w:val="en-GB" w:eastAsia="zh-CN"/>
        </w:rPr>
        <w:t>)</w:t>
      </w:r>
      <w:r w:rsidR="005E73AB">
        <w:rPr>
          <w:lang w:val="en-GB" w:eastAsia="zh-CN"/>
        </w:rPr>
        <w:t>, thus preventing triplet recombination</w:t>
      </w:r>
      <w:r w:rsidR="004A1540">
        <w:rPr>
          <w:lang w:val="en-GB" w:eastAsia="zh-CN"/>
        </w:rPr>
        <w:t>.</w:t>
      </w:r>
    </w:p>
    <w:p w14:paraId="4D252148" w14:textId="7F294F3D" w:rsidR="008F2E74" w:rsidRDefault="008F2E74" w:rsidP="001F2AC6">
      <w:pPr>
        <w:spacing w:line="480" w:lineRule="auto"/>
        <w:jc w:val="both"/>
        <w:rPr>
          <w:lang w:val="en-GB"/>
        </w:rPr>
      </w:pPr>
    </w:p>
    <w:p w14:paraId="6ED1D1E4" w14:textId="498F19B1" w:rsidR="00A04F81" w:rsidRPr="00A04F81" w:rsidRDefault="00A04F81" w:rsidP="001F2AC6">
      <w:pPr>
        <w:spacing w:line="480" w:lineRule="auto"/>
        <w:jc w:val="both"/>
        <w:rPr>
          <w:b/>
          <w:bCs/>
          <w:lang w:val="en-GB"/>
        </w:rPr>
      </w:pPr>
      <w:r>
        <w:rPr>
          <w:b/>
          <w:bCs/>
          <w:lang w:val="en-GB"/>
        </w:rPr>
        <w:t>Table of Contents image</w:t>
      </w:r>
    </w:p>
    <w:p w14:paraId="04F34596" w14:textId="494D08EC" w:rsidR="00F55823" w:rsidRPr="002E3D88" w:rsidRDefault="00F55823" w:rsidP="001F2AC6">
      <w:pPr>
        <w:spacing w:line="480" w:lineRule="auto"/>
        <w:jc w:val="both"/>
        <w:rPr>
          <w:lang w:val="en-GB" w:eastAsia="zh-CN"/>
        </w:rPr>
      </w:pPr>
      <w:r w:rsidRPr="00F55823">
        <w:rPr>
          <w:noProof/>
          <w:lang w:eastAsia="zh-CN"/>
        </w:rPr>
        <w:drawing>
          <wp:inline distT="0" distB="0" distL="0" distR="0" wp14:anchorId="2B5C1071" wp14:editId="05EF7634">
            <wp:extent cx="1778000" cy="167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78000" cy="1676400"/>
                    </a:xfrm>
                    <a:prstGeom prst="rect">
                      <a:avLst/>
                    </a:prstGeom>
                  </pic:spPr>
                </pic:pic>
              </a:graphicData>
            </a:graphic>
          </wp:inline>
        </w:drawing>
      </w:r>
    </w:p>
    <w:p w14:paraId="33C7B343" w14:textId="77777777" w:rsidR="00416036" w:rsidRPr="00416036" w:rsidRDefault="00416036" w:rsidP="00C20010">
      <w:pPr>
        <w:pStyle w:val="MainText"/>
        <w:jc w:val="both"/>
        <w:rPr>
          <w:lang w:val="en-GB"/>
        </w:rPr>
      </w:pPr>
    </w:p>
    <w:p w14:paraId="35F9DCBE" w14:textId="77777777" w:rsidR="005665B7" w:rsidRDefault="005665B7">
      <w:pPr>
        <w:rPr>
          <w:b/>
          <w:lang w:val="en-GB"/>
        </w:rPr>
      </w:pPr>
      <w:r>
        <w:rPr>
          <w:b/>
          <w:lang w:val="en-GB"/>
        </w:rPr>
        <w:br w:type="page"/>
      </w:r>
    </w:p>
    <w:p w14:paraId="1F989C45" w14:textId="5BAC90C5" w:rsidR="00C272D6" w:rsidRDefault="005E0230" w:rsidP="005E0230">
      <w:pPr>
        <w:spacing w:line="480" w:lineRule="auto"/>
        <w:jc w:val="both"/>
        <w:rPr>
          <w:lang w:val="en-GB"/>
        </w:rPr>
      </w:pPr>
      <w:r w:rsidRPr="00045547">
        <w:rPr>
          <w:lang w:val="en-GB"/>
        </w:rPr>
        <w:lastRenderedPageBreak/>
        <w:t>Flexible</w:t>
      </w:r>
      <w:r w:rsidR="006B16B7">
        <w:rPr>
          <w:lang w:val="en-GB"/>
        </w:rPr>
        <w:t xml:space="preserve">, </w:t>
      </w:r>
      <w:r w:rsidRPr="00045547">
        <w:rPr>
          <w:lang w:val="en-GB"/>
        </w:rPr>
        <w:t xml:space="preserve">semi-transparent </w:t>
      </w:r>
      <w:r w:rsidR="006B16B7">
        <w:rPr>
          <w:lang w:val="en-GB"/>
        </w:rPr>
        <w:t xml:space="preserve">and eco-friendly </w:t>
      </w:r>
      <w:r w:rsidRPr="00045547">
        <w:rPr>
          <w:lang w:val="en-GB"/>
        </w:rPr>
        <w:t>organic solar cells (</w:t>
      </w:r>
      <w:r w:rsidR="001F1528">
        <w:rPr>
          <w:lang w:val="en-GB"/>
        </w:rPr>
        <w:t>OPV</w:t>
      </w:r>
      <w:r w:rsidRPr="00045547">
        <w:rPr>
          <w:lang w:val="en-GB"/>
        </w:rPr>
        <w:t xml:space="preserve">s) based on polymers and molecules are promising alternatives to </w:t>
      </w:r>
      <w:r w:rsidR="00EB459A">
        <w:rPr>
          <w:lang w:val="en-GB"/>
        </w:rPr>
        <w:t xml:space="preserve">commercial </w:t>
      </w:r>
      <w:r w:rsidRPr="00045547">
        <w:rPr>
          <w:lang w:val="en-GB"/>
        </w:rPr>
        <w:t xml:space="preserve">silicon </w:t>
      </w:r>
      <w:r w:rsidR="00C57B0D">
        <w:rPr>
          <w:lang w:val="en-GB"/>
        </w:rPr>
        <w:t xml:space="preserve">cells </w:t>
      </w:r>
      <w:r w:rsidR="00C55DB5">
        <w:rPr>
          <w:lang w:val="en-GB"/>
        </w:rPr>
        <w:fldChar w:fldCharType="begin" w:fldLock="1"/>
      </w:r>
      <w:r w:rsidR="00A74ED0">
        <w:rPr>
          <w:lang w:val="en-GB"/>
        </w:rPr>
        <w:instrText>ADDIN CSL_CITATION {"citationItems":[{"id":"ITEM-1","itemData":{"DOI":"10.1021/acs.chemrev.7b00535","ISSN":"0009-2665","author":[{"dropping-particle":"","family":"Zhang","given":"Guangye","non-dropping-particle":"","parse-names":false,"suffix":""},{"dropping-particle":"","family":"Zhao","given":"Jingbo","non-dropping-particle":"","parse-names":false,"suffix":""},{"dropping-particle":"","family":"Chow","given":"Philip C. Y.","non-dropping-particle":"","parse-names":false,"suffix":""},{"dropping-particle":"","family":"Jiang","given":"Kui","non-dropping-particle":"","parse-names":false,"suffix":""},{"dropping-particle":"","family":"Zhang","given":"Jianquan","non-dropping-particle":"","parse-names":false,"suffix":""},{"dropping-particle":"","family":"Zhu","given":"Zonglong","non-dropping-particle":"","parse-names":false,"suffix":""},{"dropping-particle":"","family":"Zhang","given":"Jie","non-dropping-particle":"","parse-names":false,"suffix":""},{"dropping-particle":"","family":"Huang","given":"Fei","non-dropping-particle":"","parse-names":false,"suffix":""},{"dropping-particle":"","family":"Yan","given":"He","non-dropping-particle":"","parse-names":false,"suffix":""}],"container-title":"Chemical Reviews","id":"ITEM-1","issue":"7","issued":{"date-parts":[["2018","4","11"]]},"page":"3447-3507","title":"Nonfullerene Acceptor Molecules for Bulk Heterojunction Organic Solar Cells","type":"article-journal","volume":"118"},"uris":["http://www.mendeley.com/documents/?uuid=0c2dabcc-8f95-49d5-bac2-5c5815c6424c"]}],"mendeley":{"formattedCitation":"&lt;sup&gt;1&lt;/sup&gt;","plainTextFormattedCitation":"1","previouslyFormattedCitation":"&lt;sup&gt;1&lt;/sup&gt;"},"properties":{"noteIndex":0},"schema":"https://github.com/citation-style-language/schema/raw/master/csl-citation.json"}</w:instrText>
      </w:r>
      <w:r w:rsidR="00C55DB5">
        <w:rPr>
          <w:lang w:val="en-GB"/>
        </w:rPr>
        <w:fldChar w:fldCharType="separate"/>
      </w:r>
      <w:r w:rsidR="00C31944" w:rsidRPr="00C31944">
        <w:rPr>
          <w:noProof/>
          <w:vertAlign w:val="superscript"/>
          <w:lang w:val="en-GB"/>
        </w:rPr>
        <w:t>1</w:t>
      </w:r>
      <w:r w:rsidR="00C55DB5">
        <w:rPr>
          <w:lang w:val="en-GB"/>
        </w:rPr>
        <w:fldChar w:fldCharType="end"/>
      </w:r>
      <w:r w:rsidR="005B6FFA">
        <w:rPr>
          <w:lang w:val="en-GB"/>
        </w:rPr>
        <w:t>.</w:t>
      </w:r>
      <w:r w:rsidRPr="00045547">
        <w:rPr>
          <w:lang w:val="en-GB"/>
        </w:rPr>
        <w:t xml:space="preserve"> One fundamental difference between organic and inorganic semiconductors is the energy difference </w:t>
      </w:r>
      <w:r w:rsidR="00345853">
        <w:rPr>
          <w:lang w:val="en-GB"/>
        </w:rPr>
        <w:t>(</w:t>
      </w:r>
      <w:r w:rsidR="00345853">
        <w:rPr>
          <w:lang w:val="en-GB"/>
        </w:rPr>
        <w:sym w:font="Symbol" w:char="F044"/>
      </w:r>
      <w:r w:rsidR="00345853">
        <w:rPr>
          <w:lang w:val="en-GB"/>
        </w:rPr>
        <w:t>E</w:t>
      </w:r>
      <w:r w:rsidR="00345853">
        <w:rPr>
          <w:vertAlign w:val="subscript"/>
          <w:lang w:val="en-GB"/>
        </w:rPr>
        <w:t>ST</w:t>
      </w:r>
      <w:r w:rsidR="00345853">
        <w:rPr>
          <w:lang w:val="en-GB"/>
        </w:rPr>
        <w:t xml:space="preserve">) </w:t>
      </w:r>
      <w:r w:rsidRPr="00045547">
        <w:rPr>
          <w:lang w:val="en-GB"/>
        </w:rPr>
        <w:t>between the lowest spin-singlet</w:t>
      </w:r>
      <w:r w:rsidR="00593E26">
        <w:rPr>
          <w:lang w:val="en-GB"/>
        </w:rPr>
        <w:t xml:space="preserve"> (S=0)</w:t>
      </w:r>
      <w:r w:rsidRPr="00045547">
        <w:rPr>
          <w:lang w:val="en-GB"/>
        </w:rPr>
        <w:t xml:space="preserve"> and triplet </w:t>
      </w:r>
      <w:r w:rsidR="00062777">
        <w:rPr>
          <w:lang w:val="en-GB"/>
        </w:rPr>
        <w:t xml:space="preserve">exciton </w:t>
      </w:r>
      <w:r w:rsidRPr="00045547">
        <w:rPr>
          <w:lang w:val="en-GB"/>
        </w:rPr>
        <w:t xml:space="preserve">states </w:t>
      </w:r>
      <w:r w:rsidR="00593E26">
        <w:rPr>
          <w:lang w:val="en-GB"/>
        </w:rPr>
        <w:t>(S=1</w:t>
      </w:r>
      <w:r w:rsidRPr="00045547">
        <w:rPr>
          <w:lang w:val="en-GB"/>
        </w:rPr>
        <w:t xml:space="preserve">). For </w:t>
      </w:r>
      <w:r w:rsidR="004A657A">
        <w:rPr>
          <w:lang w:val="en-GB"/>
        </w:rPr>
        <w:t xml:space="preserve">crystalline </w:t>
      </w:r>
      <w:r w:rsidR="004A657A" w:rsidRPr="00045547">
        <w:rPr>
          <w:lang w:val="en-GB"/>
        </w:rPr>
        <w:t xml:space="preserve">inorganic </w:t>
      </w:r>
      <w:r w:rsidRPr="00045547">
        <w:rPr>
          <w:lang w:val="en-GB"/>
        </w:rPr>
        <w:t>materials these spin states are degenerate, whereas for organic materials the lowes</w:t>
      </w:r>
      <w:r w:rsidR="00382784">
        <w:rPr>
          <w:lang w:val="en-GB"/>
        </w:rPr>
        <w:t>t-lying</w:t>
      </w:r>
      <w:r w:rsidRPr="00045547">
        <w:rPr>
          <w:lang w:val="en-GB"/>
        </w:rPr>
        <w:t xml:space="preserve"> triplet </w:t>
      </w:r>
      <w:r w:rsidR="00382784">
        <w:rPr>
          <w:lang w:val="en-GB"/>
        </w:rPr>
        <w:t xml:space="preserve">exciton </w:t>
      </w:r>
      <w:r w:rsidRPr="00045547">
        <w:rPr>
          <w:lang w:val="en-GB"/>
        </w:rPr>
        <w:t>state</w:t>
      </w:r>
      <w:r w:rsidR="00840063" w:rsidRPr="00045547">
        <w:rPr>
          <w:lang w:val="en-GB"/>
        </w:rPr>
        <w:t xml:space="preserve"> </w:t>
      </w:r>
      <w:r w:rsidR="00413D0E">
        <w:rPr>
          <w:lang w:val="en-GB"/>
        </w:rPr>
        <w:t>(T</w:t>
      </w:r>
      <w:r w:rsidR="00413D0E">
        <w:rPr>
          <w:vertAlign w:val="subscript"/>
          <w:lang w:val="en-GB"/>
        </w:rPr>
        <w:t>1</w:t>
      </w:r>
      <w:r w:rsidR="00413D0E">
        <w:rPr>
          <w:lang w:val="en-GB"/>
        </w:rPr>
        <w:t>)</w:t>
      </w:r>
      <w:r w:rsidR="00413D0E">
        <w:rPr>
          <w:vertAlign w:val="subscript"/>
          <w:lang w:val="en-GB"/>
        </w:rPr>
        <w:t xml:space="preserve">  </w:t>
      </w:r>
      <w:r w:rsidR="000363BF">
        <w:rPr>
          <w:lang w:val="en-GB"/>
        </w:rPr>
        <w:t xml:space="preserve">are </w:t>
      </w:r>
      <w:r w:rsidRPr="00045547">
        <w:rPr>
          <w:lang w:val="en-GB"/>
        </w:rPr>
        <w:t xml:space="preserve">typically </w:t>
      </w:r>
      <w:r w:rsidR="0064641E">
        <w:rPr>
          <w:lang w:val="en-GB"/>
        </w:rPr>
        <w:t xml:space="preserve">much </w:t>
      </w:r>
      <w:r w:rsidR="00840063" w:rsidRPr="00045547">
        <w:rPr>
          <w:lang w:val="en-GB"/>
        </w:rPr>
        <w:t xml:space="preserve">lower </w:t>
      </w:r>
      <w:r w:rsidR="000363BF">
        <w:rPr>
          <w:lang w:val="en-GB"/>
        </w:rPr>
        <w:t xml:space="preserve">in </w:t>
      </w:r>
      <w:r w:rsidR="0064641E">
        <w:rPr>
          <w:lang w:val="en-GB"/>
        </w:rPr>
        <w:t xml:space="preserve">energy </w:t>
      </w:r>
      <w:r w:rsidRPr="00045547">
        <w:rPr>
          <w:lang w:val="en-GB"/>
        </w:rPr>
        <w:t xml:space="preserve">than the singlet state </w:t>
      </w:r>
      <w:r w:rsidR="00413D0E">
        <w:rPr>
          <w:lang w:val="en-GB"/>
        </w:rPr>
        <w:t>(S</w:t>
      </w:r>
      <w:r w:rsidR="00413D0E">
        <w:rPr>
          <w:vertAlign w:val="subscript"/>
          <w:lang w:val="en-GB"/>
        </w:rPr>
        <w:t>1</w:t>
      </w:r>
      <w:r w:rsidR="00413D0E">
        <w:rPr>
          <w:lang w:val="en-GB"/>
        </w:rPr>
        <w:t>)</w:t>
      </w:r>
      <w:r w:rsidR="00413D0E">
        <w:rPr>
          <w:vertAlign w:val="subscript"/>
          <w:lang w:val="en-GB"/>
        </w:rPr>
        <w:t xml:space="preserve"> </w:t>
      </w:r>
      <w:r w:rsidRPr="00045547">
        <w:rPr>
          <w:lang w:val="en-GB"/>
        </w:rPr>
        <w:t>due to strong electron-electron interactions</w:t>
      </w:r>
      <w:r w:rsidR="00C55DB5">
        <w:rPr>
          <w:lang w:val="en-GB"/>
        </w:rPr>
        <w:t xml:space="preserve"> </w:t>
      </w:r>
      <w:r w:rsidR="00C55DB5">
        <w:rPr>
          <w:lang w:val="en-GB"/>
        </w:rPr>
        <w:fldChar w:fldCharType="begin" w:fldLock="1"/>
      </w:r>
      <w:r w:rsidR="005D75E8">
        <w:rPr>
          <w:lang w:val="en-GB"/>
        </w:rPr>
        <w:instrText>ADDIN CSL_CITATION {"citationItems":[{"id":"ITEM-1","itemData":{"DOI":"10.1021/ar900099h","ISBN":"0001-4842","ISSN":"1520-4898","PMID":"19653630","abstract":"Our objective in this Account is 3-fold. First, we provide an overview of the optical and electronic processes that take place in a solid-state organic solar cell, which we define as a cell in which the semiconducting materials between the electrodes are organic, be them polymers, oligomers, or small molecules; this discussion is also meant to set the conceptual framework in which many of the contributions to this Special Issue on Photovoltaics can be viewed. We successively turn our attention to (i) optical absorption and exciton formation, (ii) exciton migration to the donor-acceptor interface, (iii) exciton dissociation into charge carriers, resulting in the appearance of holes in the donor and electrons in the acceptor, (iv) charge-carrier mobility, and (v) charge collection at the electrodes. For each of these processes, we also describe the theoretical challenges that need to be overcome to gain a comprehensive understanding at the molecular level. Finally, we highlight recent theoretical advances, in particular regarding the determination of the energetics and dynamics at organic-organic interfaces, and underline that the right balance needs to be found for the optimization of material parameters that often result in opposite effects on the photovoltaic performance.","author":[{"dropping-particle":"","family":"Bredas","given":"Jean-Luc","non-dropping-particle":"","parse-names":false,"suffix":""},{"dropping-particle":"","family":"Norton","given":"Joseph E.","non-dropping-particle":"","parse-names":false,"suffix":""},{"dropping-particle":"","family":"Cornil","given":"Jérôme","non-dropping-particle":"","parse-names":false,"suffix":""},{"dropping-particle":"","family":"Coropceanu","given":"Veaceslav","non-dropping-particle":"","parse-names":false,"suffix":""}],"container-title":"Accounts of chemical research","id":"ITEM-1","issue":"11","issued":{"date-parts":[["2009"]]},"page":"1691-1699","title":"Molecular understanding of organic solar cells: the challenges.","type":"article-journal","volume":"42"},"uris":["http://www.mendeley.com/documents/?uuid=8e2d2c2d-3364-45ea-82fb-bbee61171113"]},{"id":"ITEM-2","itemData":{"DOI":"10.1002/adfm.200305032","ISBN":"1616-3028","ISSN":"1616-301X","abstract":"Electron–electron interactions in organic semiconductors split the lowest singlet and triplet states by the exchange energy, ΔEST. Measurement of singlet and triplet emission spectra in a large number of conjugated polymers yield an almost constant ΔEST value close to 0.7 eV. This is in contrast to the situation in molecules, where the exchange energy is found to depend on molecular size and to vary over a wide range. Quantum-chemical calculations are performed to address the origin of the constant exchange energy in phenylene-based conjugated polymers. The electron–hole separation in the lowest singlet and triplet excited states is found to be independent of the π-conjugated backbone, and saturates for chains longer than a few repeating units, resulting in a constant exchange energy. In shorter conjugated oligomers, confinement of the excitations destabilizes the singlet with respect to the triplet through exchange interactions and leads to a larger and size-dependent singlet–triplet energy separation.","author":[{"dropping-particle":"","family":"Köhler","given":"A.","non-dropping-particle":"","parse-names":false,"suffix":""},{"dropping-particle":"","family":"Beljonne","given":"D.","non-dropping-particle":"","parse-names":false,"suffix":""}],"container-title":"Advanced Functional Materials","id":"ITEM-2","issue":"1","issued":{"date-parts":[["2004","1"]]},"page":"11-18","title":"The Singlet–Triplet Exchange Energy in Conjugated Polymers","type":"article-journal","volume":"14"},"uris":["http://www.mendeley.com/documents/?uuid=b671735b-82f9-4ee0-beec-786318733a2f"]}],"mendeley":{"formattedCitation":"&lt;sup&gt;2,3&lt;/sup&gt;","plainTextFormattedCitation":"2,3","previouslyFormattedCitation":"&lt;sup&gt;2,3&lt;/sup&gt;"},"properties":{"noteIndex":0},"schema":"https://github.com/citation-style-language/schema/raw/master/csl-citation.json"}</w:instrText>
      </w:r>
      <w:r w:rsidR="00C55DB5">
        <w:rPr>
          <w:lang w:val="en-GB"/>
        </w:rPr>
        <w:fldChar w:fldCharType="separate"/>
      </w:r>
      <w:r w:rsidR="00C31944" w:rsidRPr="00C31944">
        <w:rPr>
          <w:noProof/>
          <w:vertAlign w:val="superscript"/>
          <w:lang w:val="en-GB"/>
        </w:rPr>
        <w:t>2,3</w:t>
      </w:r>
      <w:r w:rsidR="00C55DB5">
        <w:rPr>
          <w:lang w:val="en-GB"/>
        </w:rPr>
        <w:fldChar w:fldCharType="end"/>
      </w:r>
      <w:r w:rsidRPr="00045547">
        <w:rPr>
          <w:lang w:val="en-GB"/>
        </w:rPr>
        <w:t xml:space="preserve">. </w:t>
      </w:r>
      <w:r w:rsidR="000E228F" w:rsidRPr="00045547">
        <w:rPr>
          <w:lang w:val="en-GB"/>
        </w:rPr>
        <w:t>For conjugated polymers</w:t>
      </w:r>
      <w:r w:rsidR="00C54587">
        <w:rPr>
          <w:lang w:val="en-GB"/>
        </w:rPr>
        <w:t xml:space="preserve">, </w:t>
      </w:r>
      <w:r w:rsidR="00C54587">
        <w:rPr>
          <w:lang w:val="en-GB"/>
        </w:rPr>
        <w:sym w:font="Symbol" w:char="F044"/>
      </w:r>
      <w:r w:rsidR="00C54587">
        <w:rPr>
          <w:lang w:val="en-GB"/>
        </w:rPr>
        <w:t>E</w:t>
      </w:r>
      <w:r w:rsidR="00C54587">
        <w:rPr>
          <w:vertAlign w:val="subscript"/>
          <w:lang w:val="en-GB"/>
        </w:rPr>
        <w:t>ST</w:t>
      </w:r>
      <w:r w:rsidR="00C54587" w:rsidRPr="00045547">
        <w:rPr>
          <w:lang w:val="en-GB"/>
        </w:rPr>
        <w:t xml:space="preserve"> </w:t>
      </w:r>
      <w:r w:rsidR="000E228F" w:rsidRPr="00045547">
        <w:rPr>
          <w:lang w:val="en-GB"/>
        </w:rPr>
        <w:t>is typically ~0.5-0.7 eV, while for molecules it is found to vary over a wide range depending on molecular size</w:t>
      </w:r>
      <w:r w:rsidR="000E228F">
        <w:rPr>
          <w:lang w:val="en-GB"/>
        </w:rPr>
        <w:t xml:space="preserve"> </w:t>
      </w:r>
      <w:r w:rsidR="000E228F">
        <w:rPr>
          <w:lang w:val="en-GB"/>
        </w:rPr>
        <w:fldChar w:fldCharType="begin" w:fldLock="1"/>
      </w:r>
      <w:r w:rsidR="005D75E8">
        <w:rPr>
          <w:lang w:val="en-GB"/>
        </w:rPr>
        <w:instrText>ADDIN CSL_CITATION {"citationItems":[{"id":"ITEM-1","itemData":{"DOI":"10.1002/adfm.200305032","ISBN":"1616-3028","ISSN":"1616-301X","abstract":"Electron–electron interactions in organic semiconductors split the lowest singlet and triplet states by the exchange energy, ΔEST. Measurement of singlet and triplet emission spectra in a large number of conjugated polymers yield an almost constant ΔEST value close to 0.7 eV. This is in contrast to the situation in molecules, where the exchange energy is found to depend on molecular size and to vary over a wide range. Quantum-chemical calculations are performed to address the origin of the constant exchange energy in phenylene-based conjugated polymers. The electron–hole separation in the lowest singlet and triplet excited states is found to be independent of the π-conjugated backbone, and saturates for chains longer than a few repeating units, resulting in a constant exchange energy. In shorter conjugated oligomers, confinement of the excitations destabilizes the singlet with respect to the triplet through exchange interactions and leads to a larger and size-dependent singlet–triplet energy separation.","author":[{"dropping-particle":"","family":"Köhler","given":"A.","non-dropping-particle":"","parse-names":false,"suffix":""},{"dropping-particle":"","family":"Beljonne","given":"D.","non-dropping-particle":"","parse-names":false,"suffix":""}],"container-title":"Advanced Functional Materials","id":"ITEM-1","issue":"1","issued":{"date-parts":[["2004","1"]]},"page":"11-18","title":"The Singlet–Triplet Exchange Energy in Conjugated Polymers","type":"article-journal","volume":"14"},"uris":["http://www.mendeley.com/documents/?uuid=b671735b-82f9-4ee0-beec-786318733a2f"]}],"mendeley":{"formattedCitation":"&lt;sup&gt;3&lt;/sup&gt;","plainTextFormattedCitation":"3","previouslyFormattedCitation":"&lt;sup&gt;3&lt;/sup&gt;"},"properties":{"noteIndex":0},"schema":"https://github.com/citation-style-language/schema/raw/master/csl-citation.json"}</w:instrText>
      </w:r>
      <w:r w:rsidR="000E228F">
        <w:rPr>
          <w:lang w:val="en-GB"/>
        </w:rPr>
        <w:fldChar w:fldCharType="separate"/>
      </w:r>
      <w:r w:rsidR="00C31944" w:rsidRPr="00C31944">
        <w:rPr>
          <w:noProof/>
          <w:vertAlign w:val="superscript"/>
          <w:lang w:val="en-GB"/>
        </w:rPr>
        <w:t>3</w:t>
      </w:r>
      <w:r w:rsidR="000E228F">
        <w:rPr>
          <w:lang w:val="en-GB"/>
        </w:rPr>
        <w:fldChar w:fldCharType="end"/>
      </w:r>
      <w:r w:rsidR="000E228F" w:rsidRPr="00045547">
        <w:rPr>
          <w:lang w:val="en-GB"/>
        </w:rPr>
        <w:t xml:space="preserve">. For [6,6]-Phenyl-C71-butyric acid methyl ester (PCBM), which is the most </w:t>
      </w:r>
      <w:r w:rsidR="00540B3A">
        <w:rPr>
          <w:lang w:val="en-GB"/>
        </w:rPr>
        <w:t xml:space="preserve">common </w:t>
      </w:r>
      <w:r w:rsidR="000E228F" w:rsidRPr="00045547">
        <w:rPr>
          <w:lang w:val="en-GB"/>
        </w:rPr>
        <w:t xml:space="preserve">fullerene acceptor </w:t>
      </w:r>
      <w:r w:rsidR="00540B3A">
        <w:rPr>
          <w:lang w:val="en-GB"/>
        </w:rPr>
        <w:t xml:space="preserve">used </w:t>
      </w:r>
      <w:r w:rsidR="000E228F" w:rsidRPr="00045547">
        <w:rPr>
          <w:lang w:val="en-GB"/>
        </w:rPr>
        <w:t xml:space="preserve">in </w:t>
      </w:r>
      <w:r w:rsidR="001F1528">
        <w:rPr>
          <w:lang w:val="en-GB"/>
        </w:rPr>
        <w:t>OPV</w:t>
      </w:r>
      <w:r w:rsidR="000E228F" w:rsidRPr="00045547">
        <w:rPr>
          <w:lang w:val="en-GB"/>
        </w:rPr>
        <w:t xml:space="preserve">s, </w:t>
      </w:r>
      <w:r w:rsidR="00345853">
        <w:rPr>
          <w:lang w:val="en-GB"/>
        </w:rPr>
        <w:sym w:font="Symbol" w:char="F044"/>
      </w:r>
      <w:r w:rsidR="00345853">
        <w:rPr>
          <w:lang w:val="en-GB"/>
        </w:rPr>
        <w:t>E</w:t>
      </w:r>
      <w:r w:rsidR="00345853">
        <w:rPr>
          <w:vertAlign w:val="subscript"/>
          <w:lang w:val="en-GB"/>
        </w:rPr>
        <w:t>ST</w:t>
      </w:r>
      <w:r w:rsidR="00345853" w:rsidRPr="00045547">
        <w:rPr>
          <w:lang w:val="en-GB"/>
        </w:rPr>
        <w:t xml:space="preserve"> </w:t>
      </w:r>
      <w:r w:rsidR="000E228F" w:rsidRPr="00045547">
        <w:rPr>
          <w:lang w:val="en-GB"/>
        </w:rPr>
        <w:t>is only ~0.2 eV, placing the lowest triplet energy at ~1.5 eV</w:t>
      </w:r>
      <w:r w:rsidR="000E228F">
        <w:rPr>
          <w:lang w:val="en-GB"/>
        </w:rPr>
        <w:t xml:space="preserve"> </w:t>
      </w:r>
      <w:r w:rsidR="000E228F">
        <w:rPr>
          <w:lang w:val="en-GB"/>
        </w:rPr>
        <w:fldChar w:fldCharType="begin" w:fldLock="1"/>
      </w:r>
      <w:r w:rsidR="00B50CC7">
        <w:rPr>
          <w:lang w:val="en-GB"/>
        </w:rPr>
        <w:instrText>ADDIN CSL_CITATION {"citationItems":[{"id":"ITEM-1","itemData":{"DOI":"10.1002/adma.201400846","ISBN":"1521-4095","ISSN":"0935-9648","PMID":"24902831","abstract":"Triplet-exciton formation through intersystem crossing of photogenerated singlet excitons in fullerene acceptors can compete with charge generation in organic photovoltaic diodes. This article reports the intersystem crossing timescale (τISC ) of the most commonly used fullerene acceptors, PC60 BM and PC70 BM, in solutions and in spin-coated films. These times are on the nanosecond timescale, and are longer than the characteristic times for charge generation (τd ).","author":[{"dropping-particle":"","family":"Chow","given":"Philip C Y","non-dropping-particle":"","parse-names":false,"suffix":""},</w:instrText>
      </w:r>
      <w:r w:rsidR="00B50CC7">
        <w:rPr>
          <w:rFonts w:hint="eastAsia"/>
          <w:lang w:val="en-GB"/>
        </w:rPr>
        <w:instrText>{"dropping-particle":"","family":"Albert</w:instrText>
      </w:r>
      <w:r w:rsidR="00B50CC7">
        <w:rPr>
          <w:rFonts w:hint="eastAsia"/>
          <w:lang w:val="en-GB"/>
        </w:rPr>
        <w:instrText>‐</w:instrText>
      </w:r>
      <w:r w:rsidR="00B50CC7">
        <w:rPr>
          <w:rFonts w:hint="eastAsia"/>
          <w:lang w:val="en-GB"/>
        </w:rPr>
        <w:instrText>Seifried","given":"Sebastian","non-dropping-particle":"","parse-names":false,"suffix":""},{"dropping-particle":"","family":"Gélinas","given":"Simon","non-dropping-particle":"","parse-names":false,"suffix":""},{"dro</w:instrText>
      </w:r>
      <w:r w:rsidR="00B50CC7">
        <w:rPr>
          <w:lang w:val="en-GB"/>
        </w:rPr>
        <w:instrText>pping-particle":"","family":"Friend","given":"Richard H.","non-dropping-particle":"","parse-names":false,"suffix":""}],"container-title":"Advanced Materials","id":"ITEM-1","issue":"28","issued":{"date-parts":[["2014","7","6"]]},"page":"4851-4854","title":"Nanosecond Intersystem Crossing Times in Fullerene Acceptors: Implications for Organic Photovoltaic Diodes","type":"article-journal","volume":"26"},"uris":["http://www.mendeley.com/documents/?uuid=8d445232-d23b-493d-a710-3c0d129c10a2"]}],"mendeley":{"formattedCitation":"&lt;sup&gt;4&lt;/sup&gt;","plainTextFormattedCitation":"4","previouslyFormattedCitation":"&lt;sup&gt;4&lt;/sup&gt;"},"properties":{"noteIndex":0},"schema":"https://github.com/citation-style-language/schema/raw/master/csl-citation.json"}</w:instrText>
      </w:r>
      <w:r w:rsidR="000E228F">
        <w:rPr>
          <w:lang w:val="en-GB"/>
        </w:rPr>
        <w:fldChar w:fldCharType="separate"/>
      </w:r>
      <w:r w:rsidR="00C31944" w:rsidRPr="00C31944">
        <w:rPr>
          <w:noProof/>
          <w:vertAlign w:val="superscript"/>
          <w:lang w:val="en-GB"/>
        </w:rPr>
        <w:t>4</w:t>
      </w:r>
      <w:r w:rsidR="000E228F">
        <w:rPr>
          <w:lang w:val="en-GB"/>
        </w:rPr>
        <w:fldChar w:fldCharType="end"/>
      </w:r>
      <w:r w:rsidR="000E228F" w:rsidRPr="00045547">
        <w:rPr>
          <w:lang w:val="en-GB"/>
        </w:rPr>
        <w:t xml:space="preserve">. </w:t>
      </w:r>
      <w:r w:rsidR="0064641E">
        <w:rPr>
          <w:lang w:val="en-GB"/>
        </w:rPr>
        <w:t xml:space="preserve">As a result of their low energies, </w:t>
      </w:r>
      <w:r w:rsidR="006023F2">
        <w:rPr>
          <w:lang w:val="en-GB"/>
        </w:rPr>
        <w:t xml:space="preserve">the </w:t>
      </w:r>
      <w:r w:rsidR="001F2AC6">
        <w:rPr>
          <w:lang w:val="en-GB"/>
        </w:rPr>
        <w:t xml:space="preserve">local </w:t>
      </w:r>
      <w:r w:rsidR="0064641E">
        <w:rPr>
          <w:lang w:val="en-GB"/>
        </w:rPr>
        <w:t>t</w:t>
      </w:r>
      <w:r w:rsidR="004523E0">
        <w:rPr>
          <w:lang w:val="en-GB"/>
        </w:rPr>
        <w:t xml:space="preserve">riplet </w:t>
      </w:r>
      <w:r w:rsidR="006023F2">
        <w:rPr>
          <w:lang w:val="en-GB"/>
        </w:rPr>
        <w:t xml:space="preserve">exciton </w:t>
      </w:r>
      <w:r w:rsidR="0064641E">
        <w:rPr>
          <w:lang w:val="en-GB"/>
        </w:rPr>
        <w:t>state</w:t>
      </w:r>
      <w:r w:rsidR="004523E0">
        <w:rPr>
          <w:lang w:val="en-GB"/>
        </w:rPr>
        <w:t xml:space="preserve"> </w:t>
      </w:r>
      <w:r w:rsidR="0064641E">
        <w:rPr>
          <w:lang w:val="en-GB"/>
        </w:rPr>
        <w:t xml:space="preserve">on either the donor (D) or acceptor (A) materials </w:t>
      </w:r>
      <w:r w:rsidRPr="00045547">
        <w:rPr>
          <w:lang w:val="en-GB"/>
        </w:rPr>
        <w:t xml:space="preserve">are </w:t>
      </w:r>
      <w:r w:rsidR="0064641E">
        <w:rPr>
          <w:lang w:val="en-GB"/>
        </w:rPr>
        <w:t xml:space="preserve">generally </w:t>
      </w:r>
      <w:r w:rsidRPr="00045547">
        <w:rPr>
          <w:lang w:val="en-GB"/>
        </w:rPr>
        <w:t xml:space="preserve">accessible from the interfacial charge-transfer exciton (CTE) states </w:t>
      </w:r>
      <w:r w:rsidR="0064641E">
        <w:rPr>
          <w:lang w:val="en-GB"/>
        </w:rPr>
        <w:t xml:space="preserve">formed </w:t>
      </w:r>
      <w:r w:rsidRPr="00045547">
        <w:rPr>
          <w:lang w:val="en-GB"/>
        </w:rPr>
        <w:t xml:space="preserve">at the </w:t>
      </w:r>
      <w:r w:rsidR="0064641E">
        <w:rPr>
          <w:lang w:val="en-GB"/>
        </w:rPr>
        <w:t xml:space="preserve">D/A </w:t>
      </w:r>
      <w:r w:rsidRPr="00045547">
        <w:rPr>
          <w:lang w:val="en-GB"/>
        </w:rPr>
        <w:t>heterojunction</w:t>
      </w:r>
      <w:r w:rsidR="0064641E">
        <w:rPr>
          <w:lang w:val="en-GB"/>
        </w:rPr>
        <w:t xml:space="preserve">. </w:t>
      </w:r>
      <w:r w:rsidR="00F519E1">
        <w:rPr>
          <w:lang w:val="en-GB"/>
        </w:rPr>
        <w:t xml:space="preserve">The local triplet exciton state can be populated by </w:t>
      </w:r>
      <w:r w:rsidR="00C31944">
        <w:rPr>
          <w:lang w:val="en-GB"/>
        </w:rPr>
        <w:t xml:space="preserve">triplet </w:t>
      </w:r>
      <w:r w:rsidR="00F519E1">
        <w:rPr>
          <w:lang w:val="en-GB"/>
        </w:rPr>
        <w:t>CTE</w:t>
      </w:r>
      <w:r w:rsidR="00C31944">
        <w:rPr>
          <w:lang w:val="en-GB"/>
        </w:rPr>
        <w:t xml:space="preserve">s </w:t>
      </w:r>
      <w:r w:rsidR="00F519E1">
        <w:rPr>
          <w:lang w:val="en-GB"/>
        </w:rPr>
        <w:t xml:space="preserve">created either geminately (following intersystem crossing of </w:t>
      </w:r>
      <w:r w:rsidR="00C31944">
        <w:rPr>
          <w:lang w:val="en-GB"/>
        </w:rPr>
        <w:t>singlet CTEs</w:t>
      </w:r>
      <w:r w:rsidR="00F519E1">
        <w:rPr>
          <w:lang w:val="en-GB"/>
        </w:rPr>
        <w:t xml:space="preserve">) </w:t>
      </w:r>
      <w:r w:rsidR="00F519E1">
        <w:rPr>
          <w:lang w:val="en-GB"/>
        </w:rPr>
        <w:fldChar w:fldCharType="begin" w:fldLock="1"/>
      </w:r>
      <w:r w:rsidR="00A74ED0">
        <w:rPr>
          <w:lang w:val="en-GB"/>
        </w:rPr>
        <w:instrText>ADDIN CSL_CITATION {"citationItems":[{"id":"ITEM-1","itemData":{"DOI":"10.1016/j.cplett.2008.02.021","ISBN":"0009-2614","ISSN":"00092614","abstract":"In conjugated polymers, the process of interconversion between singlet and triplet bound charge-pairs is important in determining the efficiency limits both for light-emitting diodes (LEDs) and for photovoltaics. We probe the kinetics of spin-mixing in charge-pairs by studying the formation of triplet excitons after photoexcitation of blends of poly(9,9-dioc</w:instrText>
      </w:r>
      <w:r w:rsidR="00A74ED0">
        <w:rPr>
          <w:rFonts w:hint="eastAsia"/>
          <w:lang w:val="en-GB"/>
        </w:rPr>
        <w:instrText>tylfluorene-co-benzothiadiazole) (F8BT) with poly(9,9-dioctylfluorene-co-bis-N,N</w:instrText>
      </w:r>
      <w:r w:rsidR="00A74ED0">
        <w:rPr>
          <w:rFonts w:hint="eastAsia"/>
          <w:lang w:val="en-GB"/>
        </w:rPr>
        <w:instrText>′</w:instrText>
      </w:r>
      <w:r w:rsidR="00A74ED0">
        <w:rPr>
          <w:rFonts w:hint="eastAsia"/>
          <w:lang w:val="en-GB"/>
        </w:rPr>
        <w:instrText>-(4-butylphenyl)-bis-N,N</w:instrText>
      </w:r>
      <w:r w:rsidR="00A74ED0">
        <w:rPr>
          <w:rFonts w:hint="eastAsia"/>
          <w:lang w:val="en-GB"/>
        </w:rPr>
        <w:instrText>′</w:instrText>
      </w:r>
      <w:r w:rsidR="00A74ED0">
        <w:rPr>
          <w:rFonts w:hint="eastAsia"/>
          <w:lang w:val="en-GB"/>
        </w:rPr>
        <w:instrText>-phenyl-1,4-phenylene-diamine) (PFB) using excited-state transient absorption spectroscopy. We see clear evidence of triplet formation from long-live</w:instrText>
      </w:r>
      <w:r w:rsidR="00A74ED0">
        <w:rPr>
          <w:lang w:val="en-GB"/>
        </w:rPr>
        <w:instrText>d charge-pairs during a period up to 100 ns after the excitation pulse, and we find that the intersystem crossing rate in these charge-pairs exceeds 2.0 × 106 s-1. © 2008 Elsevier B.V. All rights reserved.","author":[{"dropping-particle":"","family":"Ford","given":"T. A.","non-dropping-particle":"","parse-names":false,"suffix":""},{"dropping-particle":"","family":"Ohkita","given":"H.","non-dropping-particle":"","parse-names":false,"suffix":""},{"dropping-particle":"","family":"Cook","given":"S.","non-dropping-particle":"","parse-names":false,"suffix":""},{"dropping-particle":"","family":"Durrant","given":"J. R.","non-dropping-particle":"","parse-names":false,"suffix":""},{"dropping-particle":"","family":"Greenham","given":"N. C.","non-dropping-particle":"","parse-names":false,"suffix":""}],"container-title":"Chemical Physics Letters","id":"ITEM-1","issue":"4-6","issued":{"date-parts":[["2008"]]},"page":"237-241","title":"Direct observation of intersystem crossing in charge-pair states in polyfluorene polymer blends","type":"article-journal","volume":"454"},"uris":["http://www.mendeley.com/documents/?uuid=7d7c4c39-f79b-487e-9089-c06ae3cd7dce"]},{"id":"ITEM-2","itemData":{"DOI":"10.1002/adfm.201000477","ISBN":"1616-301X","ISSN":"1616301X","abstract":"In organic solar cells, high open circuit voltages may be obtained by choosing materials with a high offset between the donor highest occupied molecular orbital (HOMO) and acceptor lowest unoccupied molecular orbital (LUMO). However, increasing this energy offset can also lead to photophysical processes that compete with charge separation. In this paper the formation of triplet states is addressed in blends of polyfluorene polymers with a series of PCBM multi-adducts. Specifically, it is demonstrated that the formation of such triplets occurs when the offset energy between donor ionization potential and acceptor electron affinity is similar to 1.6 eV or greater. Spectroscopic measurements support a mechanism of resonance energy transfer for triplet formation, influenced by the energy levels of the materials, but also demonstrate that the competition between processes at the donor acceptor interface is strongly influenced by morphology.","author":[{"dropping-particle":"","family":"Dyer-Smith","given":"Clare","non-dropping-particle":"","parse-names":false,"suffix":""},{"dropping-particle":"","family":"Reynolds","given":"Luke X.","non-dropping-particle":"","parse-names":false,"suffix":""},{"dropping-particle":"","family":"Bruno","given":"Annalisa","non-dropping-particle":"","parse-names":false,"suffix":""},{"dropping-particle":"","family":"Bradley","given":"Donal D C","non-dropping-particle":"","parse-names":false,"suffix":""},{"dropping-particle":"","family":"Hoque","given":"Saif A.","non-dropping-particle":"","parse-names":false,"suffix":""},{"dropping-particle":"","family":"Nelson","given":"Jenny","non-dropping-particle":"","parse-names":false,"suffix":""}],"container-title":"Advanced Functional Materials","id":"ITEM-2","issue":"16","issued":{"date-parts":[["2010"]]},"page":"2701-2708","title":"Triplet formation in fullerene multi-adduct blends for organic solar cells and its influence on device performance","type":"article-journal","volume":"20"},"uris":["http://www.mendeley.com/documents/?uuid=02154e75-af55-4335-a1c5-fb12dd17b391"]}],"mendeley":{"formattedCitation":"&lt;sup&gt;5,6&lt;/sup&gt;","plainTextFormattedCitation":"5,6","previouslyFormattedCitation":"&lt;sup&gt;5,6&lt;/sup&gt;"},"properties":{"noteIndex":0},"schema":"https://github.com/citation-style-language/schema/raw/master/csl-citation.json"}</w:instrText>
      </w:r>
      <w:r w:rsidR="00F519E1">
        <w:rPr>
          <w:lang w:val="en-GB"/>
        </w:rPr>
        <w:fldChar w:fldCharType="separate"/>
      </w:r>
      <w:r w:rsidR="00C31944" w:rsidRPr="00C31944">
        <w:rPr>
          <w:noProof/>
          <w:vertAlign w:val="superscript"/>
          <w:lang w:val="en-GB"/>
        </w:rPr>
        <w:t>5,6</w:t>
      </w:r>
      <w:r w:rsidR="00F519E1">
        <w:rPr>
          <w:lang w:val="en-GB"/>
        </w:rPr>
        <w:fldChar w:fldCharType="end"/>
      </w:r>
      <w:r w:rsidR="00F519E1" w:rsidRPr="00045547">
        <w:rPr>
          <w:lang w:val="en-GB"/>
        </w:rPr>
        <w:t xml:space="preserve"> </w:t>
      </w:r>
      <w:r w:rsidR="00F519E1">
        <w:rPr>
          <w:lang w:val="en-GB"/>
        </w:rPr>
        <w:t xml:space="preserve">or bimolecularly </w:t>
      </w:r>
      <w:r w:rsidR="00C31944">
        <w:rPr>
          <w:lang w:val="en-GB"/>
        </w:rPr>
        <w:t xml:space="preserve">upon free carrier encounters at the D/A interface </w:t>
      </w:r>
      <w:r w:rsidR="00F519E1">
        <w:rPr>
          <w:lang w:val="en-GB"/>
        </w:rPr>
        <w:t>(according to spin-statistics of free charges)</w:t>
      </w:r>
      <w:r w:rsidR="00F519E1">
        <w:rPr>
          <w:lang w:val="en-GB"/>
        </w:rPr>
        <w:fldChar w:fldCharType="begin" w:fldLock="1"/>
      </w:r>
      <w:r w:rsidR="00B50CC7">
        <w:rPr>
          <w:lang w:val="en-GB"/>
        </w:rPr>
        <w:instrText>ADDIN CSL_CITATION {"citationItems":[{"id":"ITEM-1","itemData":{"DOI":"10.1038/nature12339","ISBN":"0028-0836","ISSN":"1476-4687","PMID":"23925118","abstract":"In biological complexes, cascade structures promote the spatial separation of photogenerated electrons and holes, preventing their recombination. In contrast, the photogenerated excitons in organic photovoltaic cells are dissociated at a single donor-acceptor heterojunction formed within a de-mixed blend of the donor and acceptor semiconductors. The nanoscale morphology and high charge densities give a high rate of electron-hole encounters, which should in principle result in the formation of spin-triplet excitons, as in organic light-emitting diodes. Although organic photovoltaic cells would have poor quantum efficiencies if every encounter led to recombination, state-of-the-art examples nevertheless demonstrate near-unity quantum efficiency. Here we show that this suppression of recombination arises through the interplay between spin, energetics and delocalization of electronic excitations in organic semiconductors. We use time-resolved spectroscopy to study a series of model high-efficiency polymer-fullerene systems in which the lowest-energy molecular triplet exciton (T1) for the polymer is lower in energy than the intermolecular charge transfer state. We observe the formation of T1 states following bimolecular recombination, indicating that encounters of spin-uncorrelated electrons and holes generate charge transfer states with both spin-singlet ((1)CT) and spin-triplet ((3)CT) characters. We show that the formation of triplet excitons can be the main loss mechanism in organic photovoltaic cells. But we also find that, even when energetically favoured, the relaxation of (3)CT states to T1 states can be strongly suppressed by wavefunction delocalization, allowing for the dissociation of (3)CT states back to free charges, thereby reducing recombination and enhancing device performance. Our results point towards new design rules both for photoconversion systems, enabling the suppression of electron-hole recombination, and for organic light-emitting diodes, avoiding the formation of triplet excitons and enhancing fluorescence efficiency.","author":[{"dropping-particle":"","family":"Rao","given":"Akshay","non-dropping-particle":"","parse-names":false,"suffix":""},{"dropping-particle":"","family":"Chow","given":"Philip C Y","non-dropping-particle":"","parse-names":false,"suffix":""},{"dropping-particle":"","family":"Gélinas","given":"Simon","non-dropping-particle":"","parse-names":false,"suffix":""},{"dropping-particle":"","family":"Schlenker","given":"Cody W","non-dropping-particle":"","parse-names":false,"suffix":""},{"dropping-particle":"","family":"Li","given":"Chang-Zhi","non-dropping-particle":"","parse-names":false,"suffix":""},{"dropping-particle":"","family":"Yip","given":"Hin-Lap","non-dropping-particle":"","parse-names":false,"suffix":""},{"dropping-particle":"","family":"Jen","given":"Alex K-Y","non-dropping-particle":"","parse-names":false,"suffix":""},{"dropping-particle":"","family":"Ginger","given":"David S","non-dropping-particle":"","parse-names":false,"suffix":""},{"dropping-particle":"","family":"Friend","given":"Richard H","non-dropping-particle":"","parse-names":false,"suffix":""}],"container-title":"Nature","id":"ITEM-1","issue":"7463","issued":{"date-parts":[["2013"]]},"page":"435-9","title":"The role of spin in the kinetic control of recombination in organic photovoltaics.","type":"article-journal","volume":"500"},"uris":["http://www.mendeley.com/documents/?uuid=b93e0d67-a77e-4671-b777-a355df66badb"]},{"id":"ITEM-2","itemData":{"DOI":"10.1021/ja410092n","ISBN":"1520-5126 (Electronic)\\r0002-7863 (Linking)","ISSN":"0002-7863","PMID":"24521399","abstract":"The nanoscale morphology and high charge densities in organic photovoltaics (OPVs) lead to a high rate of bimolecular encounters between spin-uncorrelated electrons and holes. This process can lead to the formation of low-energy triplet excitons on the donor polymer that decay nonradiatively and limit the device performance. We use time-resolved optical spectroscopy to characterize the effect of morphology through the use of solvent additives such as 1,8-octanedithiol (ODT) on triplet dynamics and charge recombination in blends of poly[2,6-(4,4-bis(2-ethylhexyl)-4H-cyclopenta[2,1-b;3,4-b']-dithiophene)-alt-4,7-(2,1,3-benzothiadiazole)] and [6,6]-phenyl-C71-butyric acid methyl ester. This is an attractive OPV system since the extended absorption of the polymer into the near-infrared gives good coverage of the solar spectrum, but nevertheless, the internal quantum efficiency (IQE) has not been reported to be higher than ~65% under short circuit conditions. We find that, without ODT, the IQE is 48% and 16% of excitations decay via bimolecular triplet formation. With ODT treatment, which improves crystallinity and carrier mobility, the IQE increases to 65%, but bimolecular triplet formation significantly increases and now accounts for all of the recombination (35% of charges).","author":[{"dropping-particle":"","family":"Chow","given":"Philip C Y","non-dropping-particle":"","parse-names":false,"suffix":""},{"dropping-particle":"","family":"Gélinas","given":"Simon","non-dropping-particle":"","parse-names":false,"suffix":""},{"dropping-particle":"","family":"Rao","given":"Akshay","non-dropping-particle":"","parse-names":false,"suffix":""},{"dropping-particle":"","family":"Friend","given":"Richard H.","non-dropping-particle":"","parse-names":false,"suffix":""}],"container-title":"Journal of the American Chemical Society","id":"ITEM-2","issue":"9","issued":{"date-parts":[["2014","3","5"]]},"page":"3424-3429","title":"Quantitative Bimolecular Recombination in Organic Photovoltaics through Triplet Exciton Formation","type":"article-journal","volume":"136"},"uris":["http://www.mendeley.com/documents/?uuid=a4484a2f-d9c1-4637-be2c-b9a5a70b089e"]}],"mendeley":{"formattedCitation":"&lt;sup&gt;7,8&lt;/sup&gt;","plainTextFormattedCitation":"7,8","previouslyFormattedCitation":"&lt;sup&gt;7,8&lt;/sup&gt;"},"properties":{"noteIndex":0},"schema":"https://github.com/citation-style-language/schema/raw/master/csl-citation.json"}</w:instrText>
      </w:r>
      <w:r w:rsidR="00F519E1">
        <w:rPr>
          <w:lang w:val="en-GB"/>
        </w:rPr>
        <w:fldChar w:fldCharType="separate"/>
      </w:r>
      <w:r w:rsidR="00C31944" w:rsidRPr="00C31944">
        <w:rPr>
          <w:noProof/>
          <w:vertAlign w:val="superscript"/>
          <w:lang w:val="en-GB"/>
        </w:rPr>
        <w:t>7,8</w:t>
      </w:r>
      <w:r w:rsidR="00F519E1">
        <w:rPr>
          <w:lang w:val="en-GB"/>
        </w:rPr>
        <w:fldChar w:fldCharType="end"/>
      </w:r>
      <w:r w:rsidR="00F519E1">
        <w:rPr>
          <w:lang w:val="en-GB"/>
        </w:rPr>
        <w:t xml:space="preserve">. </w:t>
      </w:r>
      <w:r w:rsidR="00C31944">
        <w:rPr>
          <w:lang w:val="en-GB"/>
        </w:rPr>
        <w:t xml:space="preserve">It should be noted that CTEs with both singlet and triplet spin characteristics have similar energies </w:t>
      </w:r>
      <w:r w:rsidR="00C31944">
        <w:rPr>
          <w:lang w:val="en-GB"/>
        </w:rPr>
        <w:fldChar w:fldCharType="begin" w:fldLock="1"/>
      </w:r>
      <w:r w:rsidR="00A74ED0">
        <w:rPr>
          <w:lang w:val="en-GB"/>
        </w:rPr>
        <w:instrText>ADDIN CSL_CITATION {"citationItems":[{"id":"ITEM-1","itemData":{"DOI":"10.1038/s41578-019-0137-9","ISSN":"2058-8437","abstract":"In organic solar cells, the charge-transfer (CT) electronic states that form at the interface between the electron-donor (D) and electron-acceptor (A) materials have a crucial role in exciton-dissociation, charge-separation and charge-recombination processes. Since the introduction of active layers consisting of D–A bulk heterojunctions, CT states have been the focus of extensive experimental and theoretical studies. In this Review, we assess the current understanding of CT states and describe how factors such as the geometry of the D–A interface, electronic polarization and the extent of electron delocalization affect their nature and influence the radiative and non-radiative decay processes. We focus on the description and application of fundamental concepts, which provides the framework to discuss the path to organic solar cells with efficiencies comparable to those in inorganic photovoltaic technologies.","author":[{"dropping-particle":"","family":"Coropceanu","given":"Veaceslav","non-dropping-particle":"","parse-names":false,"suffix":""},{"dropping-particle":"","family":"Chen","given":"Xian-Kai","non-dropping-particle":"","parse-names":false,"suffix":""},{"dropping-particle":"","family":"Wang","given":"Tonghui","non-dropping-particle":"","parse-names":false,"suffix":""},{"dropping-particle":"","family":"Zheng","given":"Zilong","non-dropping-particle":"","parse-names":false,"suffix":""},{"dropping-particle":"","family":"Brédas","given":"Jean-Luc","non-dropping-particle":"","parse-names":false,"suffix":""}],"container-title":"Nature Reviews Materials","id":"ITEM-1","issue":"11","issued":{"date-parts":[["2019"]]},"page":"689-707","title":"Charge-transfer electronic states in organic solar cells","type":"article-journal","volume":"4"},"uris":["http://www.mendeley.com/documents/?uuid=64f61405-591f-4dd4-9cc3-0140b4e1c530"]}],"mendeley":{"formattedCitation":"&lt;sup&gt;9&lt;/sup&gt;","plainTextFormattedCitation":"9","previouslyFormattedCitation":"&lt;sup&gt;9&lt;/sup&gt;"},"properties":{"noteIndex":0},"schema":"https://github.com/citation-style-language/schema/raw/master/csl-citation.json"}</w:instrText>
      </w:r>
      <w:r w:rsidR="00C31944">
        <w:rPr>
          <w:lang w:val="en-GB"/>
        </w:rPr>
        <w:fldChar w:fldCharType="separate"/>
      </w:r>
      <w:r w:rsidR="00C31944" w:rsidRPr="00C31944">
        <w:rPr>
          <w:noProof/>
          <w:vertAlign w:val="superscript"/>
          <w:lang w:val="en-GB"/>
        </w:rPr>
        <w:t>9</w:t>
      </w:r>
      <w:r w:rsidR="00C31944">
        <w:rPr>
          <w:lang w:val="en-GB"/>
        </w:rPr>
        <w:fldChar w:fldCharType="end"/>
      </w:r>
      <w:r w:rsidR="00C31944">
        <w:rPr>
          <w:lang w:val="en-GB"/>
        </w:rPr>
        <w:t xml:space="preserve">. </w:t>
      </w:r>
      <w:r w:rsidR="0064641E">
        <w:rPr>
          <w:lang w:val="en-GB"/>
        </w:rPr>
        <w:t xml:space="preserve">Once </w:t>
      </w:r>
      <w:r w:rsidR="001F2AC6">
        <w:rPr>
          <w:lang w:val="en-GB"/>
        </w:rPr>
        <w:t xml:space="preserve">local </w:t>
      </w:r>
      <w:r w:rsidR="0064641E">
        <w:rPr>
          <w:lang w:val="en-GB"/>
        </w:rPr>
        <w:t>triplet</w:t>
      </w:r>
      <w:r w:rsidR="006023F2">
        <w:rPr>
          <w:lang w:val="en-GB"/>
        </w:rPr>
        <w:t xml:space="preserve"> excitons</w:t>
      </w:r>
      <w:r w:rsidR="0064641E">
        <w:rPr>
          <w:lang w:val="en-GB"/>
        </w:rPr>
        <w:t xml:space="preserve"> are formed</w:t>
      </w:r>
      <w:r w:rsidR="00C31944">
        <w:rPr>
          <w:lang w:val="en-GB"/>
        </w:rPr>
        <w:t xml:space="preserve"> upon relaxation of triplet CTEs</w:t>
      </w:r>
      <w:r w:rsidR="0064641E">
        <w:rPr>
          <w:lang w:val="en-GB"/>
        </w:rPr>
        <w:t>, they tend to los</w:t>
      </w:r>
      <w:r w:rsidR="00DD71F7">
        <w:rPr>
          <w:lang w:val="en-GB"/>
        </w:rPr>
        <w:t>e</w:t>
      </w:r>
      <w:r w:rsidR="0064641E">
        <w:rPr>
          <w:lang w:val="en-GB"/>
        </w:rPr>
        <w:t xml:space="preserve"> their energy </w:t>
      </w:r>
      <w:r w:rsidR="00170602">
        <w:rPr>
          <w:lang w:val="en-GB"/>
        </w:rPr>
        <w:t xml:space="preserve">and return </w:t>
      </w:r>
      <w:r w:rsidR="0064641E">
        <w:rPr>
          <w:lang w:val="en-GB"/>
        </w:rPr>
        <w:t xml:space="preserve">to the ground state either via </w:t>
      </w:r>
      <w:r w:rsidR="001F2AC6">
        <w:rPr>
          <w:lang w:val="en-GB"/>
        </w:rPr>
        <w:t xml:space="preserve">vibrational relaxation </w:t>
      </w:r>
      <w:r w:rsidR="0064641E">
        <w:rPr>
          <w:lang w:val="en-GB"/>
        </w:rPr>
        <w:t xml:space="preserve">or via annihilation with charge carriers, leading </w:t>
      </w:r>
      <w:r w:rsidRPr="00045547">
        <w:rPr>
          <w:lang w:val="en-GB"/>
        </w:rPr>
        <w:t xml:space="preserve">to </w:t>
      </w:r>
      <w:r w:rsidR="0037516C">
        <w:rPr>
          <w:lang w:val="en-GB"/>
        </w:rPr>
        <w:t>detrimental</w:t>
      </w:r>
      <w:r w:rsidRPr="00045547">
        <w:rPr>
          <w:lang w:val="en-GB"/>
        </w:rPr>
        <w:t xml:space="preserve"> non-radiative recombination </w:t>
      </w:r>
      <w:r w:rsidR="001E4168">
        <w:rPr>
          <w:lang w:val="en-GB"/>
        </w:rPr>
        <w:t>that lower</w:t>
      </w:r>
      <w:r w:rsidR="00C31944">
        <w:rPr>
          <w:lang w:val="en-GB"/>
        </w:rPr>
        <w:t>s</w:t>
      </w:r>
      <w:r w:rsidR="001E4168">
        <w:rPr>
          <w:lang w:val="en-GB"/>
        </w:rPr>
        <w:t xml:space="preserve"> </w:t>
      </w:r>
      <w:r w:rsidR="0037516C">
        <w:rPr>
          <w:lang w:val="en-GB"/>
        </w:rPr>
        <w:t xml:space="preserve">device </w:t>
      </w:r>
      <w:r w:rsidR="00593E26">
        <w:rPr>
          <w:lang w:val="en-GB"/>
        </w:rPr>
        <w:t>efficiency</w:t>
      </w:r>
      <w:r w:rsidR="00106029">
        <w:rPr>
          <w:lang w:val="en-GB"/>
        </w:rPr>
        <w:t xml:space="preserve"> </w:t>
      </w:r>
      <w:r w:rsidR="0037516C">
        <w:rPr>
          <w:lang w:val="en-GB"/>
        </w:rPr>
        <w:t xml:space="preserve">as well as stability </w:t>
      </w:r>
      <w:r w:rsidR="00F94D9F">
        <w:rPr>
          <w:lang w:val="en-GB"/>
        </w:rPr>
        <w:fldChar w:fldCharType="begin" w:fldLock="1"/>
      </w:r>
      <w:r w:rsidR="00B50CC7">
        <w:rPr>
          <w:lang w:val="en-GB"/>
        </w:rPr>
        <w:instrText>ADDIN CSL_CITATION {"citationItems":[{"id":"ITEM-1","itemData":{"DOI":"10.1021/ja2025432","ISBN":"0002-7863","ISSN":"00027863","PMID":"21542646","abstract":"Organic bulk-heterojunctions (BHJ) and solar cells containing the trimetallic nitride endohedral fullerene 1-[3-(2-ethyl)hexoxy carbonyl]propyl-1-phenyl-Lu(3)N@C(80) (Lu(3)N@C(80)-PCBEH) show an open circuit voltage (V(OC)) 0.3 V higher than similar devices with [6,6]-phenyl-C[61]-butyric acid methyl ester (PC(61)BM). To fully exploit the potential of this acceptor molecule with respect to the power conversion efficiency (PCE) of solar cells, the short circuit current (J(SC)) should be improved to become competitive with the state of the art solar cells. Here, we address factors influencing the J(SC) in blends containing the high voltage absorber Lu(3)N@C(80)-PCBEH in view of both photogeneration but also transport and extraction of charge carriers. We apply optical, charge carrier extraction, morphology, and spin-sensitive techniques. In blends containing Lu(3)N@C(80)-PCBEH, we found 2 times weaker photoluminescence quenching, remainders of interchain excitons, and, most remarkably, triplet excitons formed on the polymer chain, which were absent in the reference P3HT:PC(61)BM blends. We show that electron back transfer to the triplet state along with the lower exciton dissociation yield due to intramolecular charge transfer in Lu(3)N@C(80)-PCBEH are responsible for the reduced photocurrent.","author":[{"dropping-particle":"","family":"Liedtke","given":"Moritz","non-dropping-particle":"","parse-names":false,"suffix":""},{"dropping-particle":"","family":"Sperlich","given":"Andreas","non-dropping-particle":"","parse-names":false,"suffix":""},{"dropping-particle":"","family":"Kraus","given":"Hannes","non-dropping-particle":"","parse-names":false,"suffix":""},{"dropping-particle":"","family":"Baumann","given":"Andreas","non-dropping-particle":"","parse-names":false,"suffix":""},{"dropping-particle":"","family":"Deibel","given":"Carsten","non-dropping-particle":"","parse-names":false,"suffix":""},{"dropping-particle":"","family":"Wirix","given":"Maarten J M","non-dropping-particle":"","parse-names":false,"suffix":""},{"dropping-particle":"","family":"Loos","given":"Joachim","non-dropping-particle":"","parse-names":false,"suffix":""},{"dropping-particle":"","family":"Cardona","given":"Claudia M.","non-dropping-particle":"","parse-names":false,"suffix":""},{"dropping-particle":"","family":"Dyakonov","given":"Vladimir","non-dropping-particle":"","parse-names":false,"suffix":""}],"container-title":"Journal of the American Chemical Society","id":"ITEM-1","issue":"23","issued":{"date-parts":[["2011"]]},"page":"9088-9094","title":"Triplet exciton generation in bulk-heterojunction solar cells based on endohedral fullerenes","type":"article-journal","volume":"133"},"uris":["http://www.mendeley.com/documents/?uuid=22f25f98-cb8e-40d4-ae63-732a23d3a0ec"]},{"id":"ITEM-2","itemData":{"DOI":"10.1002/adfm.201000477","ISBN":"1616-301X","ISSN":"1616301X","abstract":"In organic solar cells, high open circuit voltages may be obtained by choosing materials with a high offset between the donor highest occupied molecular orbital (HOMO) and acceptor lowest unoccupied molecular orbital (LUMO). However, increasing this energy offset can also lead to photophysical processes that compete with charge separation. In this paper the formation of triplet states is addressed in blends of polyfluorene polymers with a series of PCBM multi-adducts. Specifically, it is demonstrated that the formation of such triplets occurs when the offset energy between donor ionization potential and acceptor electron affinity is similar to 1.6 eV or greater. Spectroscopic measurements support a mechanism of resonance energy transfer for triplet formation, influenced by the energy levels of the materials, but also demonstrate that the competition between processes at the donor acceptor interface is strongly influenced by morphology.","author":[{"dropping-particle":"","family":"Dyer-Smith","given":"Clare","non-dropping-particle":"","parse-names":false,"suffix":""},{"dropping-particle":"","family":"Reynolds","given":"Luke X.","non-dropping-particle":"","parse-names":false,"suffix":""},{"dropping-particle":"","family":"Bruno","given":"Annalisa","non-dropping-particle":"","parse-names":false,"suffix":""},{"dropping-particle":"","family":"Bradley","given":"Donal D.C.","non-dropping-particle":"","parse-names":false,"suffix":""},{"dropping-particle":"","family":"Hoque","given":"Saif A.","non-dropping-particle":"","parse-names":false,"suffix":""},{"dropping-particle":"","family":"Nelson","given":"Jenny","non-dropping-particle":"","parse-names":false,"suffix":""}],"container-title":"Advanced Functional Materials","id":"ITEM-2","issue":"16","issued":{"date-parts":[["2010"]]},"page":"2701-2708","title":"Triplet formation in fullerene multi-adduct blends for organic solar cells and its influence on device performance","type":"article-journal","volume":"20"},"uris":["http://www.mendeley.com/documents/?uuid=594b55f6-7d69-40f2-b3e4-73a014e66c79"]},{"id":"ITEM-3","itemData":{"DOI":"10.1038/nature12339","ISBN":"0028-0836","ISSN":"1476-4687","PMID":"23925118","abstract":"In biological complexes, cascade structures promote the spatial separation of photogenerated electrons and holes, preventing their recombination. In contrast, the photogenerated excitons in organic photovoltaic cells are dissociated at a single donor-acceptor heterojunction formed within a de-mixed blend of the donor and acceptor semiconductors. The nanoscale morphology and high charge densities give a high rate of electron-hole encounters, which should in principle result in the formation of spin-triplet excitons, as in organic light-emitting diodes. Although organic photovoltaic cells would have poor quantum efficiencies if every encounter led to recombination, state-of-the-art examples nevertheless demonstrate near-unity quantum efficiency. Here we show that this suppression of recombination arises through the interplay between spin, energetics and delocalization of electronic excitations in organic semiconductors. We use time-resolved spectroscopy to study a series of model high-efficiency polymer-fullerene systems in which the lowest-energy molecular triplet exciton (T1) for the polymer is lower in energy than the intermolecular charge transfer state. We observe the formation of T1 states following bimolecular recombination, indicating that encounters of spin-uncorrelated electrons and holes generate charge transfer states with both spin-singlet ((1)CT) and spin-triplet ((3)CT) characters. We show that the formation of triplet excitons can be the main loss mechanism in organic photovoltaic cells. But we also find that, even when energetically favoured, the relaxation of (3)CT states to T1 states can be strongly suppressed by wavefunction delocalization, allowing for the dissociation of (3)CT states back to free charges, thereby reducing recombination and enhancing device performance. Our results point towards new design rules both for photoconversion systems, enabling the suppression of electron-hole recombination, and for organic light-emitting diodes, avoiding the formation of triplet excitons and enhancing fluorescence efficiency.","author":[{"dropping-particle":"","family":"Rao","given":"Akshay","non-dropping-particle":"","parse-names":false,"suffix":""},{"dropping-particle":"","family":"Chow","given":"Philip C Y","non-dropping-particle":"","parse-names":false,"suffix":""},{"dropping-particle":"","family":"Gélinas","given":"Simon","non-dropping-particle":"","parse-names":false,"suffix":""},{"dropping-particle":"","family":"Schlenker","given":"Cody W","non-dropping-particle":"","parse-names":false,"suffix":""},{"dropping-particle":"","family":"Li","given":"Chang-Zhi","non-dropping-particle":"","parse-names":false,"suffix":""},{"dropping-particle":"","family":"Yip","given":"Hin-Lap","non-dropping-particle":"","parse-names":false,"suffix":""},{"dropping-particle":"","family":"Jen","given":"Alex K-Y","non-dropping-particle":"","parse-names":false,"suffix":""},{"dropping-particle":"","family":"Ginger","given":"David S","non-dropping-particle":"","parse-names":false,"suffix":""},{"dropping-particle":"","family":"Friend","given":"Richard H","non-dropping-particle":"","parse-names":false,"suffix":""}],"container-title":"Nature","id":"ITEM-3","issue":"7463","issued":{"date-parts":[["2013"]]},"page":"435-9","title":"The role of spin in the kinetic control of recombination in organic photovoltaics.","type":"article-journal","volume":"500"},"uris":["http://www.mendeley.com/documents/?uuid=a525628d-5f3b-4f57-82d6-0f74dee80f19"]},{"id":"ITEM-4","itemData":{"DOI":"10.1021/ja410092n","ISBN":"1520-5126 (Electronic)\\r0002-7863 (Linking)","ISSN":"0002-7863","PMID":"24521399","abstract":"The nanoscale morphology and high charge densities in organic photovoltaics (OPVs) lead to a high rate of bimolecular encounters between spin-uncorrelated electrons and holes. This process can lead to the formation of low-energy triplet excitons on the donor polymer that decay nonradiatively and limit the device performance. We use time-resolved optical spectroscopy to characterize the effect of morphology through the use of solvent additives such as 1,8-octanedithiol (ODT) on triplet dynamics and charge recombination in blends of poly[2,6-(4,4-bis(2-ethylhexyl)-4H-cyclopenta[2,1-b;3,4-b']-dithiophene)-alt-4,7-(2,1,3-benzothiadiazole)] and [6,6]-phenyl-C71-butyric acid methyl ester. This is an attractive OPV system since the extended absorption of the polymer into the near-infrared gives good coverage of the solar spectrum, but nevertheless, the internal quantum efficiency (IQE) has not been reported to be higher than ~65% under short circuit conditions. We find that, without ODT, the IQE is 48% and 16% of excitations decay via bimolecular triplet formation. With ODT treatment, which improves crystallinity and carrier mobility, the IQE increases to 65%, but bimolecular triplet formation significantly increases and now accounts for all of the recombination (35% of charges).","author":[{"dropping-particle":"","family":"Chow","given":"Philip C Y","non-dropping-particle":"","parse-names":false,"suffix":""},{"dropping-particle":"","family":"Gélinas","given":"Simon","non-dropping-particle":"","parse-names":false,"suffix":""},{"dropping-particle":"","family":"Rao","given":"Akshay","non-dropping-particle":"","parse-names":false,"suffix":""},{"dropping-particle":"","family":"Friend","given":"Richard H.","non-dropping-particle":"","parse-names":false,"suffix":""}],"container-title":"Journal of the American Chemical Society","id":"ITEM-4","issue":"9","issued":{"date-parts":[["2014","3","5"]]},"page":"3424-3429","title":"Quantitative Bimolecular Recombination in Organic Photovoltaics through Triplet Exciton Formation","type":"article-journal","volume":"136"},"uris":["http://www.mendeley.com/documents/?uuid=a4484a2f-d9c1-4637-be2c-b9a5a70b089e"]},{"id":"ITEM-5","itemData":{"DOI":"10.1038/s41578-019-0137-9","ISSN":"2058-8437","abstract":"In organic solar cells, the charge-transfer (CT) electronic states that form at the interface between the electron-donor (D) and electron-acceptor (A) materials have a crucial role in exciton-dissociation, charge-separation and charge-recombination processes. Since the introduction of active layers consisting of D–A bulk heterojunctions, CT states have been the focus of extensive experimental and theoretical studies. In this Review, we assess the current understanding of CT states and describe how factors such as the geometry of the D–A interface, electronic polarization and the extent of electron delocalization affect their nature and influence the radiative and non-radiative decay processes. We focus on the description and application of fundamental concepts, which provides the framework to discuss the path to organic solar cells with efficiencies comparable to those in inorganic photovoltaic technologies.","author":[{"dropping-particle":"","family":"Coropceanu","given":"Veaceslav","non-dropping-particle":"","parse-names":false,"suffix":""},{"dropping-particle":"","family":"Chen","given":"Xian-Kai","non-dropping-particle":"","parse-names":false,"suffix":""},{"dropping-particle":"","family":"Wang","given":"Tonghui","non-dropping-particle":"","parse-names":false,"suffix":""},{"dropping-particle":"","family":"Zheng","given":"Zilong","non-dropping-particle":"","parse-names":false,"suffix":""},{"dropping-particle":"","family":"Brédas","given":"Jean-Luc","non-dropping-particle":"","parse-names":false,"suffix":""}],"container-title":"Nature Reviews Materials","id":"ITEM-5","issue":"11","issued":{"date-parts":[["2019"]]},"page":"689-707","title":"Charge-transfer electronic states in organic solar cells","type":"article-journal","volume":"4"},"uris":["http://www.mendeley.com/documents/?uuid=64f61405-591f-4dd4-9cc3-0140b4e1c530"]},{"id":"ITEM-6","itemData":{"DOI":"10.1038/ncomms7501","ISBN":"2041-1723 (Electronic) 2041-1723 (Linking)","ISSN":"2041-1723","PMID":"25735188","abstract":"Electron spin is a key consideration for the function of organic semiconductors in light-emitting diodes and solar cells, as well as spintronic applications relying on organic magnetoresistance. A mechanism for triplet excited state generation in such systems is by recombination of electron-hole pairs. However, the exact charge recombination mechanism, whether geminate or nongeminate and whether it involves spin-state mixing is not well understood. In this work, the dynamics of free charge separation competing with recombination to polymer triplet states is studied in two closely related polymer-fullerene blends with differing polymer fluorination and photovoltaic performance. Using time-resolved laser spectroscopic techniques and quantum chemical calculations, we show that lower charge separation in the fluorinated system is associated with the formation of bound electron-hole pairs, which undergo spin-state mixing on the nanosecond timescale and subsequent geminate recombination to triplet excitons. We find that these bound electron-hole pairs can be dissociated by electric fields.","author":[{"dropping-particle":"","family":"Dimitrov","given":"Stoichko D.","non-dropping-particle":"","parse-names":false,"suffix":""},{"dropping-particle":"","family":"Wheeler","given":"Scot","non-dropping-particle":"","parse-names":false,"suffix":""},{"dropping-particle":"","family":"Niedzialek","given":"Dorota","non-dropping-particle":"","parse-names":false,"suffix":""},{"dropping-particle":"","family":"Schroeder","given":"Bob C.","non-dropping-particle":"","parse-names":false,"suffix":""},{"dropping-particle":"","family":"Utzat","given":"Hendrik","non-dropping-particle":"","parse-names":false,"suffix":""},{"dropping-particle":"","family":"Frost","given":"Jarvist M.","non-dropping-particle":"","parse-names":false,"suffix":""},{"dropping-particle":"","family":"Yao","given":"Jizhong","non-dropping-particle":"","parse-names":false,"suffix":""},{"dropping-particle":"","family":"Gillett","given":"Alexander","non-dropping-particle":"","parse-names":false,"suffix":""},{"dropping-particle":"","family":"Tuladhar","given":"Pabitra S.","non-dropping-particle":"","parse-names":false,"suffix":""},{"dropping-particle":"","family":"McCulloch","given":"Iain","non-dropping-particle":"","parse-names":false,"suffix":""},{"dropping-particle":"","family":"Nelson","given":"Jenny","non-dropping-particle":"","parse-names":false,"suffix":""},{"dropping-particle":"","family":"Durrant","given":"James R.","non-dropping-particle":"","parse-names":false,"suffix":""}],"container-title":"Nature communications","id":"ITEM-6","issued":{"date-parts":[["2015"]]},"page":"6501","publisher":"Nature Publishing Group","title":"Polaron pair mediated triplet generation in polymer/fullerene blends.","type":"article-journal","volume":"6"},"uris":["http://www.mendeley.com/documents/?uuid=f3cd981c-9cc2-48a7-bfaa-3b93b6d20f39"]},{"id":"ITEM-7","itemData":{"DOI":"10.1021/acsnano.6b06211","ISBN":"1936-086X (Electronic)\r1936-0851 (Linking)","ISSN":"1936086X","PMID":"27809478","abstract":"Donor–acceptor organic solar cells often show high quantum yields for charge collection, but relatively low open-circuit voltages (VOC) limit power conversion efficiencies to around 12%. We report here the behavior of a system, PIPCP:PC61BM, that exhibits very low electronic disorder (Urbach energy less than 27 meV), very high carrier mobilities in the blend (field-effect mobility for holes &gt;10–2 cm2 V–1 s–1), and a very low driving energy for initial charge separation (50 meV). These characteristics should give excellent performance, and indeed, the VOC is high relative to the donor energy gap. However, we find the overall performance is limited by recombination, with formation of lower-lying triplet excitons on the donor accounting for 90% of the recombination. We find this is a bimolecular process that happens on time scales as short as 100 ps. Thus, although the absence of disorder and the associated high carrier mobility speeds up charge diffusion and extraction at the electrodes, which we measure as early as 1 ns, this also speeds up the recombination channel, giving overall a modest quantum yield of around 60%. We discuss strategies to remove the triplet exciton recombination channel.","author":[{"dropping-particle":"","family":"Menke","given":"S. Matthew","non-dropping-particle":"","parse-names":false,"suffix":""},{"dropping-particle":"","family":"Sadhanala","given":"Aditya","non-dropping-particle":"","parse-names":false,"suffix":""},{"dropping-particle":"","family":"Nikolka","given":"Mark","non-dropping-particle":"","parse-names":false,"suffix":""},{"dropping-particle":"","family":"Ran","given":"Niva A.","non-dropping-particle":"","parse-names":false,"suffix":""},{"dropping-particle":"","family":"Ravva","given":"Mahesh Kumar","non-dropping-particle":"","parse-names":false,"suffix":""},{"dropping-particle":"","family":"Abdel-Azeim","given":"Safwat","non-dropping-particle":"","parse-names":false,"suffix":""},{"dropping-particle":"","family":"Stern","given":"Hannah L.","non-dropping-particle":"","parse-names":false,"suffix":""},{"dropping-particle":"","family":"Wang","given":"Ming","non-dropping-particle":"","parse-names":false,"suffix":""},{"dropping-particle":"","family":"Sirringhaus","given":"Henning","non-dropping-particle":"","parse-names":false,"suffix":""},{"dropping-particle":"","family":"Nguyen","given":"Thuc Quyen","non-dropping-particle":"","parse-names":false,"suffix":""},{"dropping-particle":"","family":"Brédas","given":"Jean Luc","non-dropping-particle":"","parse-names":false,"suffix":""},{"dropping-particle":"","family":"Bazan","given":"Guillermo C.","non-dropping-particle":"","parse-names":false,"suffix":""},{"dropping-particle":"","family":"Friend","given":"Richard H.","non-dropping-particle":"","parse-names":false,"suffix":""}],"container-title":"ACS Nano","id":"ITEM-7","issue":"12","issued":{"date-parts":[["2016"]]},"page":"10736-10744","title":"Limits for Recombination in a Low Energy Loss Organic Heterojunction","type":"article-journal","volume":"10"},"uris":["http://www.mendeley.com/documents/?uuid=c1e7e1e6-530a-46df-9c42-cbcb341145c7"]},{"id":"ITEM-8","itemData":{"DOI":"10.1021/acs.jpcc.7b04825","ISSN":"19327455","abstract":"Despite the myriad of organic donor:acceptor materials, only few systems have emerged in the life of organic solar cells to exhibit considerable reduced bimolecular recombination, with respect to the random encounter rate given by the Langevin equation. Monte Carlo simulations have revealed that the rate constant of the formation of electron–hole bound states depends on the random encounter of opposite charges and is nearly given by the Langevin equation for the domain sizes relevant to efficient bulk heterojunction systems. Recently, three studies suggested that charge transfer states dissociating much faster than their decay rate to the ground state, can result in reduced bimolecular recombination by lowering the recombination rate to the ground state as a loss pathway. A separate study identified another loss pathway and suggested that forbidden back electron transfer from triplet charge transfer states to triplet excitons is a key to achieving reduced recombination. Herein we further explain the reduced bimolecular recombination by investigating the limitations of these two proposals. By solving kinetic rate equations for a BHJ system with realistic rates, we show that both of these previously presented conditions must only be held at the same time for a system to exhibit non-Langevin behavior. We demonstrate that suppression of both of the parallel loss channels of singlet and triplet states can be achieved through increasing the dissociation rate of the charge transfer states; a crucial requirement to achieve a high charge carrier extraction efficiency.","author":[{"dropping-particle":"","family":"Armin","given":"Ardalan","non-dropping-particle":"","parse-names":false,"suffix":""},{"dropping-particle":"","family":"Durrant","given":"James R.","non-dropping-particle":"","parse-names":false,"suffix":""},{"dropping-particle":"","family":"Shoaee","given":"Safa","non-dropping-particle":"","parse-names":false,"suffix":""}],"container-title":"Journal of Physical Chemistry C","id":"ITEM-8","issue":"25","issued":{"date-parts":[["2017"]]},"page":"13969-13976","title":"Interplay between Triplet-, Singlet-Charge Transfer States and Free Charge Carriers Defining Bimolecular Recombination Rate Constant of Organic Solar Cells","type":"article-journal","volume":"121"},"uris":["http://www.mendeley.com/documents/?uuid=2e0a0b81-e701-4114-8749-2dedf6c7f282"]},{"id":"ITEM-9","itemData":{"DOI":"10.1002/aenm.201602713","ISSN":"16146832","author":[{"dropping-particle":"","family":"Chen","given":"Xian-kai","non-dropping-particle":"","parse-names":false,"suffix":""},{"dropping-particle":"","family":"Wang","given":"Tonghui","non-dropping-particle":"","parse-names":false,"suffix":""},{"dropping-particle":"","family":"Brédas","given":"Jean-luc","non-dropping-particle":"","parse-names":false,"suffix":""}],"container-title":"Advanced Energy Materials","id":"ITEM-9","issue":"15","issued":{"date-parts":[["2017","8"]]},"page":"1602713","title":"Suppressing Energy Loss due to Triplet Exciton Formation in Organic Solar Cells: The Role of Chemical Structures and Molecular Packing","type":"article-journal","volume":"7"},"uris":["http://www.mendeley.com/documents/?uuid=44e8bab6-9414-4ea8-8b33-56748023a03f"]},{"id":"ITEM-10","itemData":{"DOI":"10.1002/aenm.201800451","ISSN":"16146832","author":[{"dropping-particle":"","family":"Benduhn","given":"Johannes","non-dropping-particle":"","parse-names":false,"suffix":""},{"dropping-particle":"","family":"Piersimoni","given":"Fortunato","non-dropping-particle":"","parse-names":false,"suffix":""},{"dropping-particle":"","family":"Londi","given":"Giacomo","non-dropping-particle":"","parse-names":false,"suffix":""},{"dropping-particle":"","family":"Kirch","given":"Anton","non-dropping-particle":"","parse-names":false,"suffix":""},{"dropping-particle":"","family":"Widmer","given":"Johannes","non-dropping-particle":"","parse-names":false,"suffix":""},{"dropping-particle":"","family":"Koerner","given":"Christian","non-dropping-particle":"","parse-names":false,"suffix":""},{"dropping-particle":"","family":"Beljonne","given":"David","non-dropping-particle":"","parse-names":false,"suffix":""},{"dropping-particle":"","family":"Neher","given":"Dieter","non-dropping-particle":"","parse-names":false,"suffix":""},{"dropping-particle":"","family":"Spoltore","given":"Donato","non-dropping-particle":"","parse-names":false,"suffix":""},{"dropping-particle":"","family":"Vandewal","given":"Koen","non-dropping-particle":"","parse-names":false,"suffix":""}],"container-title":"Advanced Energy Materials","id":"ITEM-10","issue":"21","issued":{"date-parts":[["2018","7","20"]]},"page":"1800451","title":"Impact of Triplet Excited States on the Open-Circuit Voltage of Organic Solar Cells","type":"article-journal","volume":"8"},"uris":["http://www.mendeley.com/documents/?uuid=bc788d93-8ef7-467c-8603-0d8f59a19114"]}],"mendeley":{"formattedCitation":"&lt;sup&gt;7–16&lt;/sup&gt;","plainTextFormattedCitation":"7–16","previouslyFormattedCitation":"&lt;sup&gt;7–16&lt;/sup&gt;"},"properties":{"noteIndex":0},"schema":"https://github.com/citation-style-language/schema/raw/master/csl-citation.json"}</w:instrText>
      </w:r>
      <w:r w:rsidR="00F94D9F">
        <w:rPr>
          <w:lang w:val="en-GB"/>
        </w:rPr>
        <w:fldChar w:fldCharType="separate"/>
      </w:r>
      <w:r w:rsidR="00F94D9F" w:rsidRPr="00F94D9F">
        <w:rPr>
          <w:noProof/>
          <w:vertAlign w:val="superscript"/>
          <w:lang w:val="en-GB"/>
        </w:rPr>
        <w:t>7–16</w:t>
      </w:r>
      <w:r w:rsidR="00F94D9F">
        <w:rPr>
          <w:lang w:val="en-GB"/>
        </w:rPr>
        <w:fldChar w:fldCharType="end"/>
      </w:r>
      <w:r w:rsidRPr="00045547">
        <w:rPr>
          <w:lang w:val="en-GB"/>
        </w:rPr>
        <w:t xml:space="preserve">. </w:t>
      </w:r>
      <w:r w:rsidR="00CE0F7B">
        <w:rPr>
          <w:lang w:val="en-GB"/>
        </w:rPr>
        <w:t xml:space="preserve">Overcoming triplet recombination is thus crucial for achieving high-performance </w:t>
      </w:r>
      <w:r w:rsidR="00F0416B">
        <w:rPr>
          <w:lang w:val="en-GB"/>
        </w:rPr>
        <w:t>OPVs</w:t>
      </w:r>
      <w:r w:rsidR="007E2222">
        <w:rPr>
          <w:lang w:val="en-GB"/>
        </w:rPr>
        <w:t>.</w:t>
      </w:r>
    </w:p>
    <w:p w14:paraId="3BA767EB" w14:textId="77777777" w:rsidR="00C272D6" w:rsidRDefault="00C272D6" w:rsidP="005E0230">
      <w:pPr>
        <w:spacing w:line="480" w:lineRule="auto"/>
        <w:jc w:val="both"/>
        <w:rPr>
          <w:lang w:val="en-GB"/>
        </w:rPr>
      </w:pPr>
    </w:p>
    <w:p w14:paraId="3460FC49" w14:textId="075974C8" w:rsidR="00303A3F" w:rsidRDefault="00F519E1" w:rsidP="001F1528">
      <w:pPr>
        <w:spacing w:line="480" w:lineRule="auto"/>
        <w:jc w:val="both"/>
        <w:rPr>
          <w:lang w:val="en-GB"/>
        </w:rPr>
      </w:pPr>
      <w:r>
        <w:rPr>
          <w:lang w:val="en-GB"/>
        </w:rPr>
        <w:t xml:space="preserve">In fullerene-based OPV systems, triplet recombination can be effectively avoided by optimizing charge delocalization at the </w:t>
      </w:r>
      <w:r w:rsidR="00E326D3">
        <w:rPr>
          <w:lang w:val="en-GB"/>
        </w:rPr>
        <w:t xml:space="preserve">D/A </w:t>
      </w:r>
      <w:r>
        <w:rPr>
          <w:lang w:val="en-GB"/>
        </w:rPr>
        <w:t>interface</w:t>
      </w:r>
      <w:r w:rsidR="00C272D6">
        <w:rPr>
          <w:lang w:val="en-GB"/>
        </w:rPr>
        <w:t>,</w:t>
      </w:r>
      <w:r>
        <w:rPr>
          <w:lang w:val="en-GB"/>
        </w:rPr>
        <w:t xml:space="preserve"> such that </w:t>
      </w:r>
      <w:r w:rsidR="00C272D6">
        <w:rPr>
          <w:lang w:val="en-GB"/>
        </w:rPr>
        <w:t xml:space="preserve">the rate of </w:t>
      </w:r>
      <w:r w:rsidR="00010558">
        <w:rPr>
          <w:lang w:val="en-GB"/>
        </w:rPr>
        <w:t>CTE-T</w:t>
      </w:r>
      <w:r w:rsidR="00010558">
        <w:rPr>
          <w:vertAlign w:val="subscript"/>
          <w:lang w:val="en-GB"/>
        </w:rPr>
        <w:t>1</w:t>
      </w:r>
      <w:r w:rsidR="00010558">
        <w:rPr>
          <w:lang w:val="en-GB"/>
        </w:rPr>
        <w:t xml:space="preserve"> </w:t>
      </w:r>
      <w:r>
        <w:rPr>
          <w:lang w:val="en-GB"/>
        </w:rPr>
        <w:t xml:space="preserve">relaxation </w:t>
      </w:r>
      <w:r w:rsidR="00692C97">
        <w:rPr>
          <w:lang w:val="en-GB"/>
        </w:rPr>
        <w:t xml:space="preserve">rate </w:t>
      </w:r>
      <w:r>
        <w:rPr>
          <w:lang w:val="en-GB"/>
        </w:rPr>
        <w:t xml:space="preserve">is outcompeted </w:t>
      </w:r>
      <w:r w:rsidR="00C272D6">
        <w:rPr>
          <w:lang w:val="en-GB"/>
        </w:rPr>
        <w:t xml:space="preserve">by fast dissociation of interfacial electron-hole pairs into free carriers </w:t>
      </w:r>
      <w:r>
        <w:rPr>
          <w:lang w:val="en-GB"/>
        </w:rPr>
        <w:fldChar w:fldCharType="begin" w:fldLock="1"/>
      </w:r>
      <w:r w:rsidR="00D342E4">
        <w:rPr>
          <w:lang w:val="en-GB"/>
        </w:rPr>
        <w:instrText>ADDIN CSL_CITATION {"citationItems":[{"id":"ITEM-1","itemData":{"DOI":"10.1038/nature12339","ISBN":"0028-0836","ISSN":"1476-4687","PMID":"23925118","abstract":"In biological complexes, cascade structures promote the spatial separation of photogenerated electrons and holes, preventing their recombination. In contrast, the photogenerated excitons in organic photovoltaic cells are dissociated at a single donor-acceptor heterojunction formed within a de-mixed blend of the donor and acceptor semiconductors. The nanoscale morphology and high charge densities give a high rate of electron-hole encounters, which should in principle result in the formation of spin-triplet excitons, as in organic light-emitting diodes. Although organic photovoltaic cells would have poor quantum efficiencies if every encounter led to recombination, state-of-the-art examples nevertheless demonstrate near-unity quantum efficiency. Here we show that this suppression of recombination arises through the interplay between spin, energetics and delocalization of electronic excitations in organic semiconductors. We use time-resolved spectroscopy to study a series of model high-efficiency polymer-fullerene systems in which the lowest-energy molecular triplet exciton (T1) for the polymer is lower in energy than the intermolecular charge transfer state. We observe the formation of T1 states following bimolecular recombination, indicating that encounters of spin-uncorrelated electrons and holes generate charge transfer states with both spin-singlet ((1)CT) and spin-triplet ((3)CT) characters. We show that the formation of triplet excitons can be the main loss mechanism in organic photovoltaic cells. But we also find that, even when energetically favoured, the relaxation of (3)CT states to T1 states can be strongly suppressed by wavefunction delocalization, allowing for the dissociation of (3)CT states back to free charges, thereby reducing recombination and enhancing device performance. Our results point towards new design rules both for photoconversion systems, enabling the suppression of electron-hole recombination, and for organic light-emitting diodes, avoiding the formation of triplet excitons and enhancing fluorescence efficiency.","author":[{"dropping-particle":"","family":"Rao","given":"Akshay","non-dropping-particle":"","parse-names":false,"suffix":""},{"dropping-particle":"","family":"Chow","given":"Philip C Y","non-dropping-particle":"","parse-names":false,"suffix":""},{"dropping-particle":"","family":"Gélinas","given":"Simon","non-dropping-particle":"","parse-names":false,"suffix":""},{"dropping-particle":"","family":"Schlenker","given":"Cody W","non-dropping-particle":"","parse-names":false,"suffix":""},{"dropping-particle":"","family":"Li","given":"Chang-Zhi","non-dropping-particle":"","parse-names":false,"suffix":""},{"dropping-particle":"","family":"Yip","given":"Hin-Lap","non-dropping-particle":"","parse-names":false,"suffix":""},{"dropping-particle":"","family":"Jen","given":"Alex K-Y","non-dropping-particle":"","parse-names":false,"suffix":""},{"dropping-particle":"","family":"Ginger","given":"David S","non-dropping-particle":"","parse-names":false,"suffix":""},{"dropping-particle":"","family":"Friend","given":"Richard H","non-dropping-particle":"","parse-names":false,"suffix":""}],"container-title":"Nature","id":"ITEM-1","issue":"7463","issued":{"date-parts":[["2013"]]},"page":"435-9","title":"The role of spin in the kinetic control of recombination in organic photovoltaics.","type":"article-journal","volume":"500"},"uris":["http://www.mendeley.com/documents/?uuid=a525628d-5f3b-4f57-82d6-0f74dee80f19"]},{"id":"ITEM-2","itemData":{"DOI":"10.1002/aenm.201601325","ISSN":"16146832","abstract":"In organic solar cells, a major source of energy loss is attributed to nonradiative recombination from the interfacial charge transfer states to the ground state. By taking pentacene–C60 complexes as model donor–acceptor systems, a comprehensive theoretical understanding of how molecular packing and charge delocalization impact these nonradiative recombination rates at donor–acceptor interfaces is provided.","author":[{"dropping-particle":"","family":"Chen","given":"Xian-Kai","non-dropping-particle":"","parse-names":false,"suffix":""},{"dropping-particle":"","family":"Ravva","given":"Mahesh Kumar","non-dropping-particle":"","parse-names":false,"suffix":""},{"dropping-particle":"","family":"Li","given":"Hong","non-dropping-particle":"","parse-names":false,"suffix":""},{"dropping-particle":"","family":"Ryno","given":"Sean M.","non-dropping-particle":"","parse-names":false,"suffix":""},{"dropping-particle":"","family":"Brédas","given":"Jean-Luc","non-dropping-particle":"","parse-names":false,"suffix":""}],"container-title":"Advanced Energy Materials","id":"ITEM-2","issue":"24","issued":{"date-parts":[["2016"]]},"page":"1601325","title":"Effect of Molecular Packing and Charge Delocalization on the Nonradiative Recombination of Charge-Transfer States in Organic Solar Cells","type":"article-journal","volume":"6"},"uris":["http://www.mendeley.com/documents/?uuid=2ee2f77c-3266-44c3-9a0e-4f868cd37329"]}],"mendeley":{"formattedCitation":"&lt;sup&gt;7,17&lt;/sup&gt;","plainTextFormattedCitation":"7,17","previouslyFormattedCitation":"&lt;sup&gt;7,17&lt;/sup&gt;"},"properties":{"noteIndex":0},"schema":"https://github.com/citation-style-language/schema/raw/master/csl-citation.json"}</w:instrText>
      </w:r>
      <w:r>
        <w:rPr>
          <w:lang w:val="en-GB"/>
        </w:rPr>
        <w:fldChar w:fldCharType="separate"/>
      </w:r>
      <w:r w:rsidR="00F94D9F" w:rsidRPr="00F94D9F">
        <w:rPr>
          <w:noProof/>
          <w:vertAlign w:val="superscript"/>
          <w:lang w:val="en-GB"/>
        </w:rPr>
        <w:t>7,17</w:t>
      </w:r>
      <w:r>
        <w:rPr>
          <w:lang w:val="en-GB"/>
        </w:rPr>
        <w:fldChar w:fldCharType="end"/>
      </w:r>
      <w:r w:rsidR="00C272D6">
        <w:rPr>
          <w:lang w:val="en-GB"/>
        </w:rPr>
        <w:t xml:space="preserve">. </w:t>
      </w:r>
      <w:r w:rsidR="00C272D6">
        <w:rPr>
          <w:lang w:val="en-GB"/>
        </w:rPr>
        <w:lastRenderedPageBreak/>
        <w:t>However, it is noted that large interfacial charge delocalization also leads to lower CTE state energy</w:t>
      </w:r>
      <w:r w:rsidR="00A11828">
        <w:rPr>
          <w:lang w:val="en-GB"/>
        </w:rPr>
        <w:t xml:space="preserve"> </w:t>
      </w:r>
      <w:r w:rsidR="00A11828">
        <w:rPr>
          <w:lang w:val="en-GB"/>
        </w:rPr>
        <w:fldChar w:fldCharType="begin" w:fldLock="1"/>
      </w:r>
      <w:r w:rsidR="00A11828">
        <w:rPr>
          <w:lang w:val="en-GB"/>
        </w:rPr>
        <w:instrText>ADDIN CSL_CITATION {"citationItems":[{"id":"ITEM-1","itemData":{"DOI":"10.1002/aenm.201601995","ISSN":"16146832","abstract":"In organic solar cells (OSCs), the energy of the charge-transfer (CT) complexes at the donor–acceptor interface, E CT, determines the maximum open-circuit voltage (V OC). The coexistence of phases with different degrees of order in the donor or the acceptor, as in blends of semi-crystalline donors and fullerenes in bulk heterojunction layers, influences the distribution of CT states and the V OC enormously. Yet, the question of how structural heterogeneities alter CT states and the V OC is seldom addressed systematically. In this work, we combine experimental measurements of vacuum-deposited rubrene/C60 bilayer OSCs, with varying microstructure and texture, with density functional theory calculations to determine how relative molecular orientations and extents of structural order influence E CT and V OC. We find that varying the microstructure of rubrene gives rise to CT bands with varying energies. The CT band that originates from crystalline rubrene lies up to ≈0.4 eV lower in energy compared to the one that arises from amorphous rubrene. These low-lying CT states contribute strongly to V OC losses and result mainly from hole delocalization in aggregated rubrene. This work points to the importance of realizing interfacial structural control that prevents the formation of low E CT configurations and maximizes V OC.","author":[{"dropping-particle":"","family":"Ndjawa","given":"Guy O. Ngongang","non-dropping-particle":"","parse-names":false,"suffix":""},{"dropping-particle":"","family":"Graham","given":"Kenneth R.","non-dropping-particle":"","parse-names":false,"suffix":""},{"dropping-particle":"","family":"Mollinger","given":"Sonya","non-dropping-particle":"","parse-names":false,"suffix":""},{"dropping-particle":"","family":"Wu","given":"Di M.","non-dropping-particle":"","parse-names":false,"suffix":""},{"dropping-particle":"","family":"Hanifi","given":"David","non-dropping-particle":"","parse-names":false,"suffix":""},{"dropping-particle":"","family":"Prasanna","given":"Rohit","non-dropping-particle":"","parse-names":false,"suffix":""},{"dropping-particle":"","family":"Rose","given":"Bradley D.","non-dropping-particle":"","parse-names":false,"suffix":""},{"dropping-particle":"","family":"Dey","given":"Sukumar","non-dropping-particle":"","parse-names":false,"suffix":""},{"dropping-particle":"","family":"Yu","given":"Liyang","non-dropping-particle":"","parse-names":false,"suffix":""},{"dropping-particle":"","family":"Brédas","given":"Jean-Luc","non-dropping-particle":"","parse-names":false,"suffix":""},{"dropping-particle":"","family":"McGehee","given":"Michael D.","non-dropping-particle":"","parse-names":false,"suffix":""},{"dropping-particle":"","family":"Salleo","given":"Alberto","non-dropping-particle":"","parse-names":false,"suffix":""},{"dropping-particle":"","family":"Amassian","given":"Aram","non-dropping-particle":"","parse-names":false,"suffix":""}],"container-title":"Advanced Energy Materials","id":"ITEM-1","issue":"12","issued":{"date-parts":[["2017","6"]]},"page":"1601995","title":"Open-Circuit Voltage in Organic Solar Cells: The Impacts of Donor Semicrystallinity and Coexistence of Multiple Interfacial Charge-Transfer Bands","type":"article-journal","volume":"7"},"uris":["http://www.mendeley.com/documents/?uuid=f2d8d902-009a-3519-b2d0-85a18dac8142"]}],"mendeley":{"formattedCitation":"&lt;sup&gt;18&lt;/sup&gt;","plainTextFormattedCitation":"18","previouslyFormattedCitation":"&lt;sup&gt;18&lt;/sup&gt;"},"properties":{"noteIndex":0},"schema":"https://github.com/citation-style-language/schema/raw/master/csl-citation.json"}</w:instrText>
      </w:r>
      <w:r w:rsidR="00A11828">
        <w:rPr>
          <w:lang w:val="en-GB"/>
        </w:rPr>
        <w:fldChar w:fldCharType="separate"/>
      </w:r>
      <w:r w:rsidR="00A11828" w:rsidRPr="00A11828">
        <w:rPr>
          <w:noProof/>
          <w:vertAlign w:val="superscript"/>
          <w:lang w:val="en-GB"/>
        </w:rPr>
        <w:t>18</w:t>
      </w:r>
      <w:r w:rsidR="00A11828">
        <w:rPr>
          <w:lang w:val="en-GB"/>
        </w:rPr>
        <w:fldChar w:fldCharType="end"/>
      </w:r>
      <w:r w:rsidR="00A11828">
        <w:rPr>
          <w:lang w:val="en-GB"/>
        </w:rPr>
        <w:t>,</w:t>
      </w:r>
      <w:r w:rsidR="007460A4">
        <w:rPr>
          <w:lang w:val="en-GB"/>
        </w:rPr>
        <w:t xml:space="preserve"> which increases photovoltage loss (defined as </w:t>
      </w:r>
      <w:proofErr w:type="spellStart"/>
      <w:r w:rsidR="007460A4">
        <w:rPr>
          <w:lang w:val="en-GB"/>
        </w:rPr>
        <w:t>E</w:t>
      </w:r>
      <w:r w:rsidR="007460A4">
        <w:rPr>
          <w:vertAlign w:val="subscript"/>
          <w:lang w:val="en-GB"/>
        </w:rPr>
        <w:t>optical</w:t>
      </w:r>
      <w:proofErr w:type="spellEnd"/>
      <w:r w:rsidR="007460A4">
        <w:rPr>
          <w:vertAlign w:val="subscript"/>
          <w:lang w:val="en-GB"/>
        </w:rPr>
        <w:t xml:space="preserve"> gap</w:t>
      </w:r>
      <w:r w:rsidR="007460A4">
        <w:rPr>
          <w:lang w:val="en-GB"/>
        </w:rPr>
        <w:t xml:space="preserve"> minus </w:t>
      </w:r>
      <w:proofErr w:type="spellStart"/>
      <w:r w:rsidR="007460A4">
        <w:rPr>
          <w:lang w:val="en-GB"/>
        </w:rPr>
        <w:t>qV</w:t>
      </w:r>
      <w:r w:rsidR="007460A4">
        <w:rPr>
          <w:vertAlign w:val="subscript"/>
          <w:lang w:val="en-GB"/>
        </w:rPr>
        <w:t>oc</w:t>
      </w:r>
      <w:proofErr w:type="spellEnd"/>
      <w:r w:rsidR="007460A4">
        <w:rPr>
          <w:lang w:val="en-GB"/>
        </w:rPr>
        <w:t>; typically over 0.8V for fullerene-based OPV)</w:t>
      </w:r>
      <w:r w:rsidR="00C272D6">
        <w:rPr>
          <w:lang w:val="en-GB"/>
        </w:rPr>
        <w:t xml:space="preserve">. </w:t>
      </w:r>
      <w:r w:rsidR="005D75E8">
        <w:rPr>
          <w:lang w:val="en-GB"/>
        </w:rPr>
        <w:t>Recent</w:t>
      </w:r>
      <w:r w:rsidR="009A4C66">
        <w:rPr>
          <w:lang w:val="en-GB"/>
        </w:rPr>
        <w:t xml:space="preserve"> </w:t>
      </w:r>
      <w:r w:rsidR="003908B2">
        <w:rPr>
          <w:lang w:val="en-GB"/>
        </w:rPr>
        <w:t xml:space="preserve">OPV </w:t>
      </w:r>
      <w:r w:rsidR="007460A4">
        <w:rPr>
          <w:lang w:val="en-GB"/>
        </w:rPr>
        <w:t>systems based on non-fullerene acceptors (NFA) show significantly lower photovoltage loss</w:t>
      </w:r>
      <w:r w:rsidR="00F4769F">
        <w:rPr>
          <w:lang w:val="en-GB"/>
        </w:rPr>
        <w:t>es</w:t>
      </w:r>
      <w:r w:rsidR="007460A4" w:rsidRPr="00045547">
        <w:rPr>
          <w:lang w:val="en-GB"/>
        </w:rPr>
        <w:t xml:space="preserve"> </w:t>
      </w:r>
      <w:r w:rsidR="00D26501">
        <w:rPr>
          <w:lang w:val="en-GB"/>
        </w:rPr>
        <w:t xml:space="preserve">(below 0.6V) </w:t>
      </w:r>
      <w:r w:rsidR="007460A4">
        <w:rPr>
          <w:lang w:val="en-GB"/>
        </w:rPr>
        <w:t>compared to fullerene-based devices</w:t>
      </w:r>
      <w:r w:rsidR="005D75E8">
        <w:rPr>
          <w:lang w:val="en-GB"/>
        </w:rPr>
        <w:t xml:space="preserve">, with single-junction devices now able to achieve up to ~18% efficiency </w:t>
      </w:r>
      <w:r w:rsidR="005D75E8">
        <w:rPr>
          <w:lang w:val="en-GB"/>
        </w:rPr>
        <w:fldChar w:fldCharType="begin" w:fldLock="1"/>
      </w:r>
      <w:r w:rsidR="005D75E8">
        <w:rPr>
          <w:lang w:val="en-GB"/>
        </w:rPr>
        <w:instrText>ADDIN CSL_CITATION {"citationItems":[{"id":"ITEM-1","itemData":{"DOI":"10.1002/adma.201908205","ISSN":"0935-9648","PMID":"32227399","abstract":"Optimizing the molecular structures of organic photovoltaic (OPV) materials is one of the most effective methods to boost power conversion efficiencies (PCEs). For an excellent molecular system with a certain conjugated skeleton, fine tuning the alky chains is of considerable significance to fully explore its photovoltaic potential. In this work, the optimization of alkyl chains is performed on a chlorinated nonfullerene acceptor (NFA) named BTP-4Cl-BO (a Y6 derivative) and very impressive photovoltaic parameters in OPV cells are obtained. To get more ordered intermolecular packing, the n-undecyl is shortened at the edge of BTP-eC11 to n-nonyl and n-heptyl. As a result, the NFAs of BTP-eC9 and BTP-eC7 are synthesized. The BTP-eC7 shows relatively poor solubility and thus limits its application in device fabrication. Fortunately, the BTP-eC9 possesses good solubility and, at the same time, enhanced electron transport property than BTP-eC11. Significantly, due to the simultaneously enhanced short-circuit current density and fill factor, the BTP-eC9-based single-junction OPV cells record a maximum PCE of 17.8% and get a certified value of 17.3%. These results demonstrate that minimizing the alkyl chains to get suitable solubility and enhanced intermolecular packing has a great potential in further improving its photovoltaic performance.","author":[{"dropping-particle":"","family":"Cui","given":"Yong","non-dropping-particle":"","parse-names":false,"suffix":""},{"dropping-particle":"","family":"Yao","given":"Huifeng","non-dropping-particle":"","parse-names":false,"suffix":""},{"dropping-particle":"","family":"Zhang","given":"Jianqi","non-dropping-particle":"","parse-names":false,"suffix":""},{"dropping-particle":"","family":"Xian","given":"Kaihu","non-dropping-particle":"","parse-names":false,"suffix":""},{"dropping-particle":"","family":"Zhang","given":"Tao","non-dropping-particle":"","parse-names":false,"suffix":""},{"dropping-particle":"","family":"Hong","given":"Ling","non-dropping-particle":"","parse-names":false,"suffix":""},{"dropping-particle":"","family":"Wang","given":"Yuming","non-dropping-particle":"","parse-names":false,"suffix":""},{"dropping-particle":"","family":"Xu","given":"Ye","non-dropping-particle":"","parse-names":false,"suffix":""},{"dropping-particle":"","family":"Ma","given":"Kangqiao","non-dropping-particle":"","parse-names":false,"suffix":""},{"dropping-particle":"","family":"An","given":"Cunbin","non-dropping-particle":"","parse-names":false,"suffix":""},{"dropping-particle":"","family":"He","given":"Chang","non-dropping-particle":"","parse-names":false,"suffix":""},{"dropping-particle":"","family":"Wei","given":"Zhixiang","non-dropping-particle":"","parse-names":false,"suffix":""},{"dropping-particle":"","family":"Gao","given":"Feng","non-dropping-particle":"","parse-names":false,"suffix":""},{"dropping-particle":"","family":"Hou","given":"</w:instrText>
      </w:r>
      <w:r w:rsidR="005D75E8">
        <w:rPr>
          <w:rFonts w:hint="eastAsia"/>
          <w:lang w:val="en-GB"/>
        </w:rPr>
        <w:instrText>Jianhui","non-dropping-particle":"","parse-names":false,"suffix":""}],"container-title":"Advanced Materials","id":"ITEM-1","issue":"19","issued":{"date-parts":[["2020","5","29"]]},"page":"1908205","title":"Single</w:instrText>
      </w:r>
      <w:r w:rsidR="005D75E8">
        <w:rPr>
          <w:rFonts w:hint="eastAsia"/>
          <w:lang w:val="en-GB"/>
        </w:rPr>
        <w:instrText>‐</w:instrText>
      </w:r>
      <w:r w:rsidR="005D75E8">
        <w:rPr>
          <w:rFonts w:hint="eastAsia"/>
          <w:lang w:val="en-GB"/>
        </w:rPr>
        <w:instrText>Junction Organic Photovoltaic Cells with A</w:instrText>
      </w:r>
      <w:r w:rsidR="005D75E8">
        <w:rPr>
          <w:lang w:val="en-GB"/>
        </w:rPr>
        <w:instrText>pproaching 18% Efficiency","type":"article-journal","volume":"32"},"uris":["http://www.mendeley.com/documents/?uuid=5801fb1d-790f-4f35-bff3-badb8f264689"]}],"mendeley":{"formattedCitation":"&lt;sup&gt;19&lt;/sup&gt;","plainTextFormattedCitation":"19","previouslyFormattedCitation":"&lt;sup&gt;19&lt;/sup&gt;"},"properties":{"noteIndex":0},"schema":"https://github.com/citation-style-language/schema/raw/master/csl-citation.json"}</w:instrText>
      </w:r>
      <w:r w:rsidR="005D75E8">
        <w:rPr>
          <w:lang w:val="en-GB"/>
        </w:rPr>
        <w:fldChar w:fldCharType="separate"/>
      </w:r>
      <w:r w:rsidR="005D75E8" w:rsidRPr="005D75E8">
        <w:rPr>
          <w:noProof/>
          <w:vertAlign w:val="superscript"/>
          <w:lang w:val="en-GB"/>
        </w:rPr>
        <w:t>19</w:t>
      </w:r>
      <w:r w:rsidR="005D75E8">
        <w:rPr>
          <w:lang w:val="en-GB"/>
        </w:rPr>
        <w:fldChar w:fldCharType="end"/>
      </w:r>
      <w:r w:rsidR="007460A4">
        <w:rPr>
          <w:lang w:val="en-GB"/>
        </w:rPr>
        <w:t>.</w:t>
      </w:r>
      <w:r w:rsidR="007460A4" w:rsidRPr="00045547">
        <w:rPr>
          <w:lang w:val="en-GB"/>
        </w:rPr>
        <w:t xml:space="preserve"> </w:t>
      </w:r>
      <w:r w:rsidR="007460A4">
        <w:rPr>
          <w:lang w:val="en-GB"/>
        </w:rPr>
        <w:t xml:space="preserve">Crucially, </w:t>
      </w:r>
      <w:r w:rsidR="002A374F">
        <w:rPr>
          <w:lang w:val="en-GB"/>
        </w:rPr>
        <w:t xml:space="preserve">in efficient </w:t>
      </w:r>
      <w:r w:rsidR="007460A4">
        <w:rPr>
          <w:lang w:val="en-GB"/>
        </w:rPr>
        <w:t>NFA-based systems</w:t>
      </w:r>
      <w:r w:rsidR="002A374F">
        <w:rPr>
          <w:lang w:val="en-GB"/>
        </w:rPr>
        <w:t xml:space="preserve">, the CTE states matches with the optical gap of the blend such that </w:t>
      </w:r>
      <w:r w:rsidR="00E326D3">
        <w:rPr>
          <w:lang w:val="en-GB"/>
        </w:rPr>
        <w:t xml:space="preserve">near-zero excess </w:t>
      </w:r>
      <w:r w:rsidR="002A374F">
        <w:rPr>
          <w:lang w:val="en-GB"/>
        </w:rPr>
        <w:t xml:space="preserve">energy </w:t>
      </w:r>
      <w:r w:rsidR="00D164F1">
        <w:rPr>
          <w:lang w:val="en-GB"/>
        </w:rPr>
        <w:t xml:space="preserve">provided by the D/A energy offset </w:t>
      </w:r>
      <w:r w:rsidR="002A374F">
        <w:rPr>
          <w:lang w:val="en-GB"/>
        </w:rPr>
        <w:t xml:space="preserve">is </w:t>
      </w:r>
      <w:r w:rsidR="00E326D3">
        <w:rPr>
          <w:lang w:val="en-GB"/>
        </w:rPr>
        <w:t xml:space="preserve">needed to drive </w:t>
      </w:r>
      <w:r w:rsidR="002A374F">
        <w:rPr>
          <w:lang w:val="en-GB"/>
        </w:rPr>
        <w:t xml:space="preserve">charge separation </w:t>
      </w:r>
      <w:r w:rsidR="00403062">
        <w:rPr>
          <w:lang w:val="en-GB"/>
        </w:rPr>
        <w:fldChar w:fldCharType="begin" w:fldLock="1"/>
      </w:r>
      <w:r w:rsidR="005D75E8">
        <w:rPr>
          <w:lang w:val="en-GB"/>
        </w:rPr>
        <w:instrText>ADDIN CSL_CITATION {"citationItems":[{"id":"ITEM-1","itemData":{"DOI":"10.1039/C6EE02598F","ISSN":"1754-5692","abstract":"Non-fullerene acceptors with optimized energy levels enable 10% efficient solar cells with reduced voltage losses &lt;0.6 V.","author":[{"dropping-particle":"","family":"Baran","given":"D.","non-dropping-particle":"","parse-names":false,"suffix":""},{"dropping-particle":"","family":"Kirchartz","given":"T.","non-dropping-particle":"","parse-names":false,"suffix":""},{"dropping-particle":"","family":"Wheeler","given":"S.","non-dropping-particle":"","parse-names":false,"suffix":""},{"dropping-particle":"","family":"Dimitrov","given":"S.","non-dropping-particle":"","parse-names":false,"suffix":""},{"dropping-particle":"","family":"Abdelsamie","given":"M.","non-dropping-particle":"","parse-names":false,"suffix":""},{"dropping-particle":"","family":"Gorman","given":"J.","non-dropping-particle":"","parse-names":false,"suffix":""},{"dropping-particle":"","family":"Ashraf","given":"R. S.","non-dropping-particle":"","parse-names":false,"suffix":""},{"dropping-particle":"","family":"Holliday","given":"S.","non-dropping-particle":"","parse-names":false,"suffix":""},{"dropping-particle":"","family":"Wadsworth","given":"A.","non-dropping-particle":"","parse-names":false,"suffix":""},{"dropping-particle":"","family":"Gasparini","given":"N.","non-dropping-particle":"","parse-names":false,"suffix":""},{"dropping-particle":"","family":"Kaienburg","given":"P.","non-dropping-particle":"","parse-names":false,"suffix":""},{"dropping-particle":"","family":"Yan","given":"H.","non-dropping-particle":"","parse-names":false,"suffix":""},{"dropping-particle":"","family":"Amassian","given":"A.","non-dropping-particle":"","parse-names":false,"suffix":""},{"dropping-particle":"","family":"Brabec","given":"C. J.","non-dropping-particle":"","parse-names":false,"suffix":""},{"dropping-particle":"","family":"Durrant","given":"J. R.","non-dropping-particle":"","parse-names":false,"suffix":""},{"dropping-particle":"","family":"McCulloch","given":"I.","non-dropping-particle":"","parse-names":false,"suffix":""}],"container-title":"Energy &amp; Environmental Science","id":"ITEM-1","issue":"12","issued":{"date-parts":[["2016"]]},"page":"3783-3793","publisher":"Royal Society of Chemistry","title":"Reduced voltage losses yield 10% efficient fullerene free organic solar cells with over 1 V open circuit voltages","type":"article-journal","volume":"9"},"uris":["http://www.mendeley.com/documents/?uuid=045e2ce5-ab87-482e-9864-d2a522d894e5"]},{"id":"ITEM-2","itemData":{"DOI":"10.1038/nenergy.2016.89","ISBN":"0001415123","ISSN":"2058-7546","abstract":"Fast and efficient charge separation is essential to achieve high power conversion efficiency in organic solar cells (OSCs). In state-of-the-art OSCs, this is usually achieved by a significant driving force, defined as the offset between the bandgap (Egap) of the donor/acceptor materials and the energy of the charge transfer (CT) state (ECT), which is typically greater than 0.3 eV. The large driving force causes a relatively large voltage loss that hinders performance. Here, we report non-fullerene OSCs that exhibit ultrafast and efficient charge separation despite a negligible driving force, as ECT is nearly identical to Egap. Moreover, the small driving force is found to have minimal detrimental effects on charge transfer dynamics of the OSCs. We demonstrate a non-fullerene OSC with 9.5% efficiency and nearly 90% internal quantum efficiency despite a low voltage loss of 0.61 V. This creates a path towards highly efficient OSCs with a low voltage loss.","author":[{"dropping-particle":"","family":"Liu","given":"Jing","non-dropping-particle":"","parse-names":false,"suffix":""},{"dropping-particle":"","family":"Chen","given":"Shangshang","non-dropping-particle":"","parse-names":false,"suffix":""},{"dropping-particle":"","family":"Qian","given":"Deping","non-dropping-particle":"","parse-names":false,"suffix":""},{"dropping-particle":"","family":"Gautam","given":"Bhoj","non-dropping-particle":"","parse-names":false,"suffix":""},{"dropping-particle":"","family":"Yang","given":"Guofang","non-dropping-particle":"","parse-names":false,"suffix":""},{"dropping-particle":"","family":"Zhao","given":"Jingbo","non-dropping-particle":"","parse-names":false,"suffix":""},{"dropping-particle":"","family":"Bergqvist","given":"Jonas","non-dropping-particle":"","parse-names":false,"suffix":""},{"dropping-particle":"","family":"Zhang","given":"Fengling","non-dropping-particle":"","parse-names":false,"suffix":""},{"dropping-particle":"","family":"Ma","given":"Wei","non-dropping-particle":"","parse-names":false,"suffix":""},{"dropping-particle":"","family":"Ade","given":"Harald","non-dropping-particle":"","parse-names":false,"suffix":""},{"dropping-particle":"","family":"Inganäs","given":"Olle","non-dropping-particle":"","parse-names":false,"suffix":""},{"dropping-particle":"","family":"Gundogdu","given":"Kenan","non-dropping-particle":"","parse-names":false,"suffix":""},{"dropping-particle":"","family":"Gao","given":"Feng","non-dropping-particle":"","parse-names":false,"suffix":""},{"dropping-particle":"","family":"Yan","given":"He","non-dropping-particle":"","parse-names":false,"suffix":""}],"container-title":"Nature Energy","id":"ITEM-2","issue":"7","issued":{"date-parts":[["2016"]]},"page":"16089","title":"Fast charge separation in a non-fullerene organic solar cell with a small driving force","type":"article-journal","volume":"1"},"uris":["http://www.mendeley.com/documents/?uuid=1f9e4c77-a3fb-4f32-87c7-b5e54dafa4fb"]},{"id":"ITEM-3","itemData":{"DOI":"10.1038/s41563-018-0128-z","ISSN":"1476-1122","author":[{"dropping-particle":"","family":"Qian","given":"Deping","non-dropping-particle":"","parse-names":false,"suffix":""},{"dropping-particle":"","family":"Zheng","given":"Zilong","non-dropping-particle":"","parse-names":false,"suffix":""},{"dropping-particle":"","family":"Yao","given":"Huifeng","non-dropping-particle":"","parse-names":false,"suffix":""},{"dropping-particle":"","family":"Tress","given":"Wolfgang","non-dropping-particle":"","parse-names":false,"suffix":""},{"dropping-particle":"","family":"Hopper","given":"Thomas R","non-dropping-particle":"","parse-names":false,"suffix":""},{"dropping-particle":"","family":"Chen","given":"Shula","non-dropping-particle":"","parse-names":false,"suffix":""},{"dropping-particle":"","family":"Li","given":"Sunsun","non-dropping-particle":"","parse-names":false,"suffix":""},{"dropping-particle":"","family":"Liu","given":"Jing","non-dropping-particle":"","parse-names":false,"suffix":""},{"dropping-particle":"","family":"Chen","given":"Shangshang","non-dropping-particle":"","parse-names":false,"suffix":""},{"dropping-particle":"","family":"Zhang","given":"Jiangbin","non-dropping-particle":"","parse-names":false,"suffix":""},{"dropping-particle":"","family":"Liu","given":"Xiao-ke","non-dropping-particle":"","parse-names":false,"suffix":""},{"dropping-particle":"","family":"Gao","given":"Bowei","non-dropping-particle":"","parse-names":false,"suffix":""},{"dropping-particle":"","family":"Ouyang","given":"Liangqi","non-dropping-particle":"","parse-names":false,"suffix":""},{"dropping-particle":"","family":"Jin","given":"Yingzhi","non-dropping-particle":"","parse-names":false,"suffix":""},{"dropping-particle":"","family":"Pozina","given":"Galia","non-dropping-particle":"","parse-names":false,"suffix":""},{"dropping-particle":"","family":"Buyanova","given":"Irina A","non-dropping-particle":"","parse-names":false,"suffix":""},{"dropping-particle":"","family":"Chen","given":"Weimin M","non-dropping-particle":"","parse-names":false,"suffix":""},{"dropping-particle":"","family":"Inganäs","given":"Olle","non-dropping-particle":"","parse-names":false,"suffix":""},{"dropping-particle":"","family":"Coropceanu","given":"Veaceslav","non-dropping-particle":"","parse-names":false,"suffix":""},{"dropping-particle":"","family":"Bredas","given":"Jean-luc","non-dropping-particle":"","parse-names":false,"suffix":""},{"dropping-particle":"","family":"Yan","given":"He","non-dropping-particle":"","parse-names":false,"suffix":""},{"dropping-particle":"","family":"Hou","given":"Jianhui","non-dropping-particle":"","parse-names":false,"suffix":""},{"dropping-particle":"","family":"Zhang","given":"Fengling","non-dropping-particle":"","parse-names":false,"suffix":""},{"dropping-particle":"","family":"Bakulin","given":"Artem A","non-dropping-particle":"","parse-names":false,"suffix":""},{"dropping-particle":"","family":"Gao","given":"Feng","non-dropping-particle":"","parse-names":false,"suffix":""}],"container-title":"Nature Materials","id":"ITEM-3","issue":"8","issued":{"date-parts":[["2018","8","16"]]},"page":"703-709","publisher":"Springer US","title":"Design rules for minimizing voltage losses in high-efficiency organic solar cells","type":"article-journal","volume":"17"},"uris":["http://www.mendeley.com/documents/?uuid=725c0cba-ba12-41da-8442-0a508f617af0"]}],"mendeley":{"formattedCitation":"&lt;sup&gt;20–22&lt;/sup&gt;","plainTextFormattedCitation":"20–22","previouslyFormattedCitation":"&lt;sup&gt;20–22&lt;/sup&gt;"},"properties":{"noteIndex":0},"schema":"https://github.com/citation-style-language/schema/raw/master/csl-citation.json"}</w:instrText>
      </w:r>
      <w:r w:rsidR="00403062">
        <w:rPr>
          <w:lang w:val="en-GB"/>
        </w:rPr>
        <w:fldChar w:fldCharType="separate"/>
      </w:r>
      <w:r w:rsidR="005D75E8" w:rsidRPr="005D75E8">
        <w:rPr>
          <w:noProof/>
          <w:vertAlign w:val="superscript"/>
          <w:lang w:val="en-GB"/>
        </w:rPr>
        <w:t>20–22</w:t>
      </w:r>
      <w:r w:rsidR="00403062">
        <w:rPr>
          <w:lang w:val="en-GB"/>
        </w:rPr>
        <w:fldChar w:fldCharType="end"/>
      </w:r>
      <w:r w:rsidR="00403062" w:rsidRPr="00045547">
        <w:rPr>
          <w:lang w:val="en-GB"/>
        </w:rPr>
        <w:t xml:space="preserve">. </w:t>
      </w:r>
      <w:r w:rsidR="002A1A49">
        <w:rPr>
          <w:lang w:val="en-GB"/>
        </w:rPr>
        <w:t>Our r</w:t>
      </w:r>
      <w:r w:rsidR="002A374F">
        <w:rPr>
          <w:lang w:val="en-GB"/>
        </w:rPr>
        <w:t xml:space="preserve">ecent work provided evidence for the formation of </w:t>
      </w:r>
      <w:r w:rsidR="001F1528">
        <w:rPr>
          <w:lang w:val="en-GB"/>
        </w:rPr>
        <w:t xml:space="preserve">long-lived CTEs at the </w:t>
      </w:r>
      <w:r w:rsidR="00E52A89">
        <w:rPr>
          <w:lang w:val="en-GB"/>
        </w:rPr>
        <w:t xml:space="preserve">D/A </w:t>
      </w:r>
      <w:r w:rsidR="001F1528">
        <w:rPr>
          <w:lang w:val="en-GB"/>
        </w:rPr>
        <w:t xml:space="preserve">interface </w:t>
      </w:r>
      <w:r w:rsidR="00E52A89">
        <w:rPr>
          <w:lang w:val="en-GB"/>
        </w:rPr>
        <w:t xml:space="preserve">of these systems, </w:t>
      </w:r>
      <w:r w:rsidR="001F1528">
        <w:rPr>
          <w:lang w:val="en-GB"/>
        </w:rPr>
        <w:t xml:space="preserve">which </w:t>
      </w:r>
      <w:r w:rsidR="002A374F">
        <w:rPr>
          <w:lang w:val="en-GB"/>
        </w:rPr>
        <w:t xml:space="preserve">can </w:t>
      </w:r>
      <w:r w:rsidR="001F1528">
        <w:rPr>
          <w:lang w:val="en-GB"/>
        </w:rPr>
        <w:t xml:space="preserve">subsequently separate </w:t>
      </w:r>
      <w:r w:rsidR="001F1528" w:rsidRPr="00045547">
        <w:rPr>
          <w:lang w:val="en-GB"/>
        </w:rPr>
        <w:t xml:space="preserve">into free charges </w:t>
      </w:r>
      <w:r w:rsidR="001F1528">
        <w:rPr>
          <w:lang w:val="en-GB"/>
        </w:rPr>
        <w:t xml:space="preserve">by thermal activation </w:t>
      </w:r>
      <w:r w:rsidR="001F1528">
        <w:rPr>
          <w:lang w:val="en-GB"/>
        </w:rPr>
        <w:fldChar w:fldCharType="begin" w:fldLock="1"/>
      </w:r>
      <w:r w:rsidR="005D75E8">
        <w:rPr>
          <w:lang w:val="en-GB"/>
        </w:rPr>
        <w:instrText>ADDIN CSL_CITATION {"citationItems":[{"id":"ITEM-1","itemData":{"DOI":"10.1038/s41467-020-19332-5","ISBN":"4146702019332","ISSN":"2041-1723","abstract":"Organic solar cells based on non-fullerene acceptors can show high charge generation yields despite near-zero donor–acceptor energy offsets to drive charge separation and overcome the mutual Coulomb attraction between electron and hole. Here, we use time-resolved optical spectroscopy to show that free charges in these systems are generated by thermally activated dissociation of interfacial charge-transfer states that occurs over hundreds of picoseconds at room temperature, three orders of magnitude slower than comparable fullerene-based systems. Upon free electron–hole encounters at later times, both charge-transfer states and emissive excitons are regenerated, thus setting up an equilibrium between excitons, charge-transfer states and free charges. Our results suggest that the formation of long-lived and disorder-free charge-transfer states in these systems enables them to operate closely to quasi-thermodynamic conditions with no requirement for energy offsets to drive interfacial charge separation and achieve suppressed non-radiative recombination.","author":[{"dropping-particle":"","family":"Hinrichsen","given":"Ture F.","non-dropping-particle":"","parse-names":false,"suffix":""},{"dropping-particle":"","family":"Chan","given":"Christopher C. S.","non-dropping-particle":"","parse-names":false,"suffix":""},{"dropping-particle":"","family":"Ma","given":"Chao","non-dropping-particle":"","parse-names":false,"suffix":""},{"dropping-particle":"","family":"Paleček","given":"David","non-dropping-particle":"","parse-names":false,"suffix":""},{"dropping-particle":"","family":"Gillett","given":"Alexander","non-dropping-particle":"","parse-names":false,"suffix":""},{"dropping-particle":"","family":"Chen","given":"Shangshang","non-dropping-particle":"","parse-names":false,"suffix":""},{"dropping-particle":"","family":"Zou","given":"Xinhui","non-dropping-particle":"","parse-names":false,"suffix":""},{"dropping-particle":"","family":"Zhang","given":"Guichuan","non-dropping-particle":"","parse-names":false,"suffix":""},{"dropping-particle":"","family":"Yip","given":"Hin-Lap","non-dropping-particle":"","parse-names":false,"suffix":""},{"dropping-particle":"","family":"Wong","given":"Kam Sing","non-dropping-particle":"","parse-names":false,"suffix":""},{"dropping-particle":"","family":"Friend","given":"Richard H.","non-dropping-particle":"","parse-names":false,"suffix":""},{"dropping-particle":"","family":"Yan","given":"He","non-dropping-particle":"","parse-names":false,"suffix":""},{"dropping-particle":"","family":"Rao","given":"Akshay","non-dropping-particle":"","parse-names":false,"suffix":""},{"dropping-particle":"","family":"Chow","given":"Philip C. Y.","non-dropping-particle":"","parse-names":false,"suffix":""}],"container-title":"Nature Communications","id":"ITEM-1","issue":"1","issued":{"date-parts":[["2020","12","5"]]},"page":"5617","title":"Long-lived and disorder-free charge transfer states enable endothermic charge separation in efficient non-fullerene organic solar cells","type":"article-journal","volume":"11"},"uris":["http://www.mendeley.com/documents/?uuid=4811954e-9106-4bc9-bc5d-4fdec12073fa"]}],"mendeley":{"formattedCitation":"&lt;sup&gt;23&lt;/sup&gt;","plainTextFormattedCitation":"23","previouslyFormattedCitation":"&lt;sup&gt;23&lt;/sup&gt;"},"properties":{"noteIndex":0},"schema":"https://github.com/citation-style-language/schema/raw/master/csl-citation.json"}</w:instrText>
      </w:r>
      <w:r w:rsidR="001F1528">
        <w:rPr>
          <w:lang w:val="en-GB"/>
        </w:rPr>
        <w:fldChar w:fldCharType="separate"/>
      </w:r>
      <w:r w:rsidR="005D75E8" w:rsidRPr="005D75E8">
        <w:rPr>
          <w:noProof/>
          <w:vertAlign w:val="superscript"/>
          <w:lang w:val="en-GB"/>
        </w:rPr>
        <w:t>23</w:t>
      </w:r>
      <w:r w:rsidR="001F1528">
        <w:rPr>
          <w:lang w:val="en-GB"/>
        </w:rPr>
        <w:fldChar w:fldCharType="end"/>
      </w:r>
      <w:r w:rsidR="001F1528">
        <w:rPr>
          <w:lang w:val="en-GB"/>
        </w:rPr>
        <w:t>. This endothermic process takes ~100 ps to complete at room temperature, nearly</w:t>
      </w:r>
      <w:r w:rsidR="001F1528" w:rsidRPr="00045547">
        <w:rPr>
          <w:lang w:val="en-GB"/>
        </w:rPr>
        <w:t xml:space="preserve"> </w:t>
      </w:r>
      <w:r w:rsidR="001F1528">
        <w:rPr>
          <w:lang w:val="en-GB"/>
        </w:rPr>
        <w:t xml:space="preserve">three orders of magnitudes slower than comparable </w:t>
      </w:r>
      <w:r w:rsidR="001F1528" w:rsidRPr="00045547">
        <w:rPr>
          <w:lang w:val="en-GB"/>
        </w:rPr>
        <w:t xml:space="preserve">fullerene-based </w:t>
      </w:r>
      <w:r w:rsidR="001F1528">
        <w:rPr>
          <w:lang w:val="en-GB"/>
        </w:rPr>
        <w:t xml:space="preserve">OPV blends (in which charge separation is </w:t>
      </w:r>
      <w:r w:rsidR="00477E88">
        <w:rPr>
          <w:lang w:val="en-GB"/>
        </w:rPr>
        <w:t xml:space="preserve">largely </w:t>
      </w:r>
      <w:r w:rsidR="001F1528" w:rsidRPr="00045547">
        <w:rPr>
          <w:lang w:val="en-GB"/>
        </w:rPr>
        <w:t xml:space="preserve">driven by </w:t>
      </w:r>
      <w:r w:rsidR="002A374F">
        <w:rPr>
          <w:lang w:val="en-GB"/>
        </w:rPr>
        <w:t>charge delocalization</w:t>
      </w:r>
      <w:r w:rsidR="001F1528">
        <w:rPr>
          <w:lang w:val="en-GB"/>
        </w:rPr>
        <w:t>)</w:t>
      </w:r>
      <w:r w:rsidR="00F4018C" w:rsidRPr="00045547">
        <w:rPr>
          <w:lang w:val="en-GB"/>
        </w:rPr>
        <w:t xml:space="preserve"> </w:t>
      </w:r>
      <w:r w:rsidR="00F4018C">
        <w:rPr>
          <w:lang w:val="en-GB"/>
        </w:rPr>
        <w:fldChar w:fldCharType="begin" w:fldLock="1"/>
      </w:r>
      <w:r w:rsidR="005D75E8">
        <w:rPr>
          <w:lang w:val="en-GB"/>
        </w:rPr>
        <w:instrText>ADDIN CSL_CITATION {"citationItems":[{"id":"ITEM-1","itemData":{"DOI":"10.1126/science.1246249","ISBN":"0036-8075","ISSN":"0036-8075","PMID":"24336568","abstract":"Understanding the charge-separation mechanism in organic photovoltaic cells (OPVs) could facilitate optimization of their overall efficiency. Here we report the time dependence of the separation of photogenerated electron hole pairs across the donor-acceptor heterojunction in OPV model systems. By tracking the modulation of the optical absorption due to the electric field generated between the charges, we measure ~200 millielectron volts of electrostatic energy arising from electron-hole separation within 40 femtoseconds of excitation, corresponding to a charge separation distance of at least 4 nanometers. At this separation, the residual Coulomb attraction between charges is at or below thermal energies, so that electron and hole separate freely. This early time behavior is consistent with charge separation through access to delocalized p-electron states in ordered regions of the fullerene acceptor material.","author":[{"dropping-particle":"","family":"Gelinas","given":"S.","non-dropping-particle":"","parse-names":false,"suffix":""},{"dropping-particle":"","family":"Rao","given":"A.","non-dropping-particle":"","parse-names":false,"suffix":""},{"dropping-particle":"","family":"Kumar","given":"A.","non-dropping-particle":"","parse-names":false,"suffix":""},{"dropping-particle":"","family":"Smith","given":"S. L.","non-dropping-particle":"","parse-names":false,"suffix":""},{"dropping-particle":"","family":"Chin","given":"A. W.","non-dropping-particle":"","parse-names":false,"suffix":""},{"dropping-particle":"","family":"Clark","given":"J.","non-dropping-particle":"","parse-names":false,"suffix":""},{"dropping-particle":"","family":"Poll","given":"T. S.","non-dropping-particle":"van der","parse-names":false,"suffix":""},{"dropping-particle":"","family":"Bazan","given":"G. C.","non-dropping-particle":"","parse-names":false,"suffix":""},{"dropping-particle":"","family":"Friend","given":"R. H.","non-dropping-particle":"","parse-names":false,"suffix":""}],"container-title":"Science","id":"ITEM-1","issue":"6170","issued":{"date-parts":[["2014","1","31"]]},"page":"512-516","title":"Ultrafast Long-Range Charge Separation in Organic Semiconductor Photovoltaic Diodes","type":"article-journal","volume":"343"},"uris":["http://www.mendeley.com/documents/?uuid=17d1eeff-9a81-46cc-9175-a0c5f3d1ef46"]},{"id":"ITEM-2","itemData":{"DOI":"10.1038/ncomms12556","ISSN":"2041-1723","PMID":"27586309","abstract":"There has been long-standing debate on how free charges are generated in donor:acceptor blends that are used in organic solar cells, and which are generally comprised of a complex phase morphology, where intermixed and neat phases of the donor and acceptor material co-exist. Here we resolve this question, basing our conclusions on Stark effect spectroscopy data obtained in the absence and presence of externally applied electric fields. Reconciling opposing views found in literature, we unambiguously demonstrate that the fate of photogenerated electron-hole pairs-whether they will dissociate to free charges or geminately recombine-is determined at ultrafast times, despite the fact that their actual spatial separation can be much slower. Our insights are important to further develop rational approaches towards material design and processing of organic solar cells, assisting to realize their purported promise as lead-free, third-generation energy technology that can reach efficiencies over 10%.","author":[{"dropping-particle":"","family":"Causa'","given":"Martina","non-dropping-particle":"","parse-names":false,"suffix":""},{"dropping-particle":"","family":"Jonghe-Risse","given":"Jelissa","non-dropping-particle":"De","parse-names":false,"suffix":""},{"dropping-particle":"","family":"Scarongella","given":"Mariateresa","non-dropping-particle":"","parse-names":false,"suffix":""},{"dropping-particle":"","family":"Brauer","given":"Jan C.","non-dropping-particle":"","parse-names":false,"suffix":""},{"dropping-particle":"","family":"Buchaca-Domingo","given":"Ester","non-dropping-particle":"","parse-names":false,"suffix":""},{"dropping-particle":"","family":"Moser","given":"Jacques-E.","non-dropping-particle":"","parse-names":false,"suffix":""},{"dropping-particle":"","family":"Stingelin","given":"Natalie","non-dropping-particle":"","parse-names":false,"suffix":""},{"dropping-particle":"","family":"Banerji","given":"Natalie","non-dropping-particle":"","parse-names":false,"suffix":""}],"container-title":"Nature Communications","id":"ITEM-2","issued":{"date-parts":[["2016"]]},"page":"12556","title":"The fate of electron–hole pairs in polymer:fullerene blends for organic photovoltaics","type":"article-journal","volume":"7"},"uris":["http://www.mendeley.com/documents/?uuid=27e794e4-e438-4261-a3b0-52e454f81024"]}],"mendeley":{"formattedCitation":"&lt;sup&gt;24,25&lt;/sup&gt;","plainTextFormattedCitation":"24,25","previouslyFormattedCitation":"&lt;sup&gt;24,25&lt;/sup&gt;"},"properties":{"noteIndex":0},"schema":"https://github.com/citation-style-language/schema/raw/master/csl-citation.json"}</w:instrText>
      </w:r>
      <w:r w:rsidR="00F4018C">
        <w:rPr>
          <w:lang w:val="en-GB"/>
        </w:rPr>
        <w:fldChar w:fldCharType="separate"/>
      </w:r>
      <w:r w:rsidR="005D75E8" w:rsidRPr="005D75E8">
        <w:rPr>
          <w:noProof/>
          <w:vertAlign w:val="superscript"/>
          <w:lang w:val="en-GB"/>
        </w:rPr>
        <w:t>24,25</w:t>
      </w:r>
      <w:r w:rsidR="00F4018C">
        <w:rPr>
          <w:lang w:val="en-GB"/>
        </w:rPr>
        <w:fldChar w:fldCharType="end"/>
      </w:r>
      <w:r w:rsidR="00F4018C" w:rsidRPr="00045547">
        <w:rPr>
          <w:lang w:val="en-GB"/>
        </w:rPr>
        <w:t>.</w:t>
      </w:r>
      <w:r w:rsidR="001F1528" w:rsidRPr="001F1528">
        <w:rPr>
          <w:lang w:val="en-GB"/>
        </w:rPr>
        <w:t xml:space="preserve"> </w:t>
      </w:r>
      <w:r w:rsidR="001F1528">
        <w:rPr>
          <w:lang w:val="en-GB"/>
        </w:rPr>
        <w:t>T</w:t>
      </w:r>
      <w:r w:rsidR="001F1528" w:rsidRPr="00045547">
        <w:rPr>
          <w:lang w:val="en-GB"/>
        </w:rPr>
        <w:t xml:space="preserve">he high </w:t>
      </w:r>
      <w:r w:rsidR="001F1528">
        <w:rPr>
          <w:lang w:val="en-GB"/>
        </w:rPr>
        <w:t xml:space="preserve">photovoltaic performance </w:t>
      </w:r>
      <w:r w:rsidR="001F1528" w:rsidRPr="00045547">
        <w:rPr>
          <w:lang w:val="en-GB"/>
        </w:rPr>
        <w:t xml:space="preserve">of NFA-based </w:t>
      </w:r>
      <w:r w:rsidR="001F1528">
        <w:rPr>
          <w:lang w:val="en-GB"/>
        </w:rPr>
        <w:t>OPV</w:t>
      </w:r>
      <w:r w:rsidR="001F1528" w:rsidRPr="00045547">
        <w:rPr>
          <w:lang w:val="en-GB"/>
        </w:rPr>
        <w:t xml:space="preserve">s </w:t>
      </w:r>
      <w:r w:rsidR="001F1528">
        <w:rPr>
          <w:lang w:val="en-GB"/>
        </w:rPr>
        <w:t xml:space="preserve">indicates </w:t>
      </w:r>
      <w:r w:rsidR="001F1528" w:rsidRPr="00045547">
        <w:rPr>
          <w:lang w:val="en-GB"/>
        </w:rPr>
        <w:t xml:space="preserve">that </w:t>
      </w:r>
      <w:r w:rsidR="001F1528">
        <w:rPr>
          <w:lang w:val="en-GB"/>
        </w:rPr>
        <w:t>charge</w:t>
      </w:r>
      <w:r w:rsidR="001F1528" w:rsidRPr="00045547">
        <w:rPr>
          <w:lang w:val="en-GB"/>
        </w:rPr>
        <w:t xml:space="preserve"> recombination </w:t>
      </w:r>
      <w:r w:rsidR="001F1528">
        <w:rPr>
          <w:lang w:val="en-GB"/>
        </w:rPr>
        <w:t xml:space="preserve">via both spin states must be effectively suppressed despite the slow CTE separation rate. For the spin-singlet case, </w:t>
      </w:r>
      <w:r w:rsidR="00250BEF">
        <w:rPr>
          <w:lang w:val="en-GB"/>
        </w:rPr>
        <w:t xml:space="preserve">it is suggested that </w:t>
      </w:r>
      <w:r w:rsidR="001F1528">
        <w:rPr>
          <w:lang w:val="en-GB"/>
        </w:rPr>
        <w:t xml:space="preserve">the close </w:t>
      </w:r>
      <w:r w:rsidR="00C54B74">
        <w:rPr>
          <w:lang w:val="en-GB"/>
        </w:rPr>
        <w:t xml:space="preserve">energy </w:t>
      </w:r>
      <w:r w:rsidR="001F1528">
        <w:rPr>
          <w:lang w:val="en-GB"/>
        </w:rPr>
        <w:t xml:space="preserve">alignment between CTE and </w:t>
      </w:r>
      <w:r w:rsidR="00C54B74">
        <w:rPr>
          <w:lang w:val="en-GB"/>
        </w:rPr>
        <w:t>S</w:t>
      </w:r>
      <w:r w:rsidR="00C54B74">
        <w:rPr>
          <w:vertAlign w:val="subscript"/>
          <w:lang w:val="en-GB"/>
        </w:rPr>
        <w:t xml:space="preserve">1 </w:t>
      </w:r>
      <w:r w:rsidR="00C54B74">
        <w:rPr>
          <w:lang w:val="en-GB"/>
        </w:rPr>
        <w:t xml:space="preserve">states </w:t>
      </w:r>
      <w:r w:rsidR="001F1528">
        <w:rPr>
          <w:lang w:val="en-GB"/>
        </w:rPr>
        <w:t xml:space="preserve">enables the </w:t>
      </w:r>
      <w:r w:rsidR="001F1528" w:rsidRPr="00045547">
        <w:rPr>
          <w:lang w:val="en-GB"/>
        </w:rPr>
        <w:t xml:space="preserve">regeneration of emissive singlet </w:t>
      </w:r>
      <w:r w:rsidR="00A57670">
        <w:rPr>
          <w:lang w:val="en-GB"/>
        </w:rPr>
        <w:t xml:space="preserve">states </w:t>
      </w:r>
      <w:r w:rsidR="001F1528" w:rsidRPr="00045547">
        <w:rPr>
          <w:lang w:val="en-GB"/>
        </w:rPr>
        <w:t xml:space="preserve">upon </w:t>
      </w:r>
      <w:r w:rsidR="00C54B74">
        <w:rPr>
          <w:lang w:val="en-GB"/>
        </w:rPr>
        <w:t xml:space="preserve">free </w:t>
      </w:r>
      <w:r w:rsidR="001F1528">
        <w:rPr>
          <w:lang w:val="en-GB"/>
        </w:rPr>
        <w:t>charge encounters,</w:t>
      </w:r>
      <w:r w:rsidR="001F1528" w:rsidRPr="00045547">
        <w:rPr>
          <w:lang w:val="en-GB"/>
        </w:rPr>
        <w:t xml:space="preserve"> </w:t>
      </w:r>
      <w:r w:rsidR="001F1528">
        <w:rPr>
          <w:lang w:val="en-GB"/>
        </w:rPr>
        <w:t xml:space="preserve">thus </w:t>
      </w:r>
      <w:r w:rsidR="00C54B74">
        <w:rPr>
          <w:lang w:val="en-GB"/>
        </w:rPr>
        <w:t xml:space="preserve">suppressing </w:t>
      </w:r>
      <w:r w:rsidR="001F1528" w:rsidRPr="00045547">
        <w:rPr>
          <w:lang w:val="en-GB"/>
        </w:rPr>
        <w:t xml:space="preserve">non-radiative </w:t>
      </w:r>
      <w:r w:rsidR="005B0E52">
        <w:rPr>
          <w:lang w:val="en-GB"/>
        </w:rPr>
        <w:t xml:space="preserve">recombination </w:t>
      </w:r>
      <w:r w:rsidR="001F1528">
        <w:rPr>
          <w:lang w:val="en-GB"/>
        </w:rPr>
        <w:fldChar w:fldCharType="begin" w:fldLock="1"/>
      </w:r>
      <w:r w:rsidR="005D75E8">
        <w:rPr>
          <w:lang w:val="en-GB"/>
        </w:rPr>
        <w:instrText>ADDIN CSL_CITATION {"citationItems":[{"id":"ITEM-1","itemData":{"DOI":"10.1038/s41563-018-0128-z","ISSN":"1476-1122","author":[{"dropping-particle":"","family":"Qian","given":"Deping","non-dropping-particle":"","parse-names":false,"suffix":""},{"dropping-particle":"","family":"Zheng","given":"Zilong","non-dropping-particle":"","parse-names":false,"suffix":""},{"dropping-particle":"","family":"Yao","given":"Huifeng","non-dropping-particle":"","parse-names":false,"suffix":""},{"dropping-particle":"","family":"Tress","given":"Wolfgang","non-dropping-particle":"","parse-names":false,"suffix":""},{"dropping-particle":"","family":"Hopper","given":"Thomas R","non-dropping-particle":"","parse-names":false,"suffix":""},{"dropping-particle":"","family":"Chen","given":"Shula","non-dropping-particle":"","parse-names":false,"suffix":""},{"dropping-particle":"","family":"Li","given":"Sunsun","non-dropping-particle":"","parse-names":false,"suffix":""},{"dropping-particle":"","family":"Liu","given":"Jing","non-dropping-particle":"","parse-names":false,"suffix":""},{"dropping-particle":"","family":"Chen","given":"Shangshang","non-dropping-particle":"","parse-names":false,"suffix":""},{"dropping-particle":"","family":"Zhang","given":"Jiangbin","non-dropping-particle":"","parse-names":false,"suffix":""},{"dropping-particle":"","family":"Liu","given":"Xiao-ke","non-dropping-particle":"","parse-names":false,"suffix":""},{"dropping-particle":"","family":"Gao","given":"Bowei","non-dropping-particle":"","parse-names":false,"suffix":""},{"dropping-particle":"","family":"Ouyang","given":"Liangqi","non-dropping-particle":"","parse-names":false,"suffix":""},{"dropping-particle":"","family":"Jin","given":"Yingzhi","non-dropping-particle":"","parse-names":false,"suffix":""},{"dropping-particle":"","family":"Pozina","given":"Galia","non-dropping-particle":"","parse-names":false,"suffix":""},{"dropping-particle":"","family":"Buyanova","given":"Irina A","non-dropping-particle":"","parse-names":false,"suffix":""},{"dropping-particle":"","family":"Chen","given":"Weimin M","non-dropping-particle":"","parse-names":false,"suffix":""},{"dropping-particle":"","family":"Inganäs","given":"Olle","non-dropping-particle":"","parse-names":false,"suffix":""},{"dropping-particle":"","family":"Coropceanu","given":"Veaceslav","non-dropping-particle":"","parse-names":false,"suffix":""},{"dropping-particle":"","family":"Bredas","given":"Jean-luc","non-dropping-particle":"","parse-names":false,"suffix":""},{"dropping-particle":"","family":"Yan","given":"He","non-dropping-particle":"","parse-names":false,"suffix":""},{"dropping-particle":"","family":"Hou","given":"Jianhui","non-dropping-particle":"","parse-names":false,"suffix":""},{"dropping-particle":"","family":"Zhang","given":"Fengling","non-dropping-particle":"","parse-names":false,"suffix":""},{"dropping-particle":"","family":"Bakulin","given":"Artem A","non-dropping-particle":"","parse-names":false,"suffix":""},{"dropping-particle":"","family":"Gao","given":"Feng","non-dropping-particle":"","parse-names":false,"suffix":""}],"container-title":"Nature Materials","id":"ITEM-1","issue":"8","issued":{"date-parts":[["2018","8","16"]]},"page":"703-709","publisher":"Springer US","title":"Design rules for minimizing voltage losses in high-efficiency organic solar cells","type":"article-journal","volume":"17"},"uris":["http://www.mendeley.com/documents/?uuid=725c0cba-ba12-41da-8442-0a508f617af0"]},{"id":"ITEM-2","itemData":{"DOI":"10.1021/jacs.9b01465","ISSN":"0002-7863","author":[{"dropping-particle":"","family":"Eisner","given":"Flurin D.","non-dropping-particle":"","parse-names":false,"suffix":""},{"dropping-particle":"","family":"Azzouzi","given":"Mohammed","non-dropping-particle":"","parse-names":false,"suffix":""},{"dropping-particle":"","family":"Fei","given":"Zhuping","non-dropping-particle":"","parse-names":false,"suffix":""},{"dropping-particle":"","family":"Hou","given":"Xueyan","non-dropping-particle":"","parse-names":false,"suffix":""},{"dropping-particle":"","family":"Anthopoulos","given":"Thomas D.","non-dropping-particle":"","parse-names":false,"suffix":""},{"dropping-particle":"","family":"Dennis","given":"Terence John Stephen","non-dropping-particle":"","parse-names":false,"suffix":""},{"dropping-particle":"","family":"Heeney","given":"Martin","non-dropping-particle":"","parse-names":false,"suffix":""},{"dropping-particle":"","family":"Nelson","given":"Jenny","non-dropping-particle":"","parse-names":false,"suffix":""}],"container-title":"Journal of the American Chemical Society","id":"ITEM-2","issue":"15","issued":{"date-parts":[["2019","4","17"]]},"page":"6362-6374","title":"Hybridization of Local Exciton and Charge-Transfer States Reduces Nonradiative Voltage Losses in Organic Solar Cells","type":"article-journal","volume":"141"},"uris":["http://www.mendeley.com/documents/?uuid=dc179a48-88df-48c8-9eb8-04447f4660bb"]}],"mendeley":{"formattedCitation":"&lt;sup&gt;22,26&lt;/sup&gt;","plainTextFormattedCitation":"22,26","previouslyFormattedCitation":"&lt;sup&gt;22,26&lt;/sup&gt;"},"properties":{"noteIndex":0},"schema":"https://github.com/citation-style-language/schema/raw/master/csl-citation.json"}</w:instrText>
      </w:r>
      <w:r w:rsidR="001F1528">
        <w:rPr>
          <w:lang w:val="en-GB"/>
        </w:rPr>
        <w:fldChar w:fldCharType="separate"/>
      </w:r>
      <w:r w:rsidR="005D75E8" w:rsidRPr="005D75E8">
        <w:rPr>
          <w:noProof/>
          <w:vertAlign w:val="superscript"/>
          <w:lang w:val="en-GB"/>
        </w:rPr>
        <w:t>22,26</w:t>
      </w:r>
      <w:r w:rsidR="001F1528">
        <w:rPr>
          <w:lang w:val="en-GB"/>
        </w:rPr>
        <w:fldChar w:fldCharType="end"/>
      </w:r>
      <w:r w:rsidR="001F1528" w:rsidRPr="00045547">
        <w:rPr>
          <w:lang w:val="en-GB"/>
        </w:rPr>
        <w:t>.</w:t>
      </w:r>
      <w:r w:rsidR="001F1528">
        <w:rPr>
          <w:lang w:val="en-GB"/>
        </w:rPr>
        <w:t xml:space="preserve"> For the spin-triplet case, </w:t>
      </w:r>
      <w:r w:rsidR="00E268CC">
        <w:rPr>
          <w:lang w:val="en-GB"/>
        </w:rPr>
        <w:t xml:space="preserve">the absence of </w:t>
      </w:r>
      <w:r w:rsidR="00A57670">
        <w:rPr>
          <w:lang w:val="en-GB"/>
        </w:rPr>
        <w:t xml:space="preserve">local </w:t>
      </w:r>
      <w:r w:rsidR="00E268CC">
        <w:rPr>
          <w:lang w:val="en-GB"/>
        </w:rPr>
        <w:t>triplet exciton formation has been confirmed using spin-sensitive optical measurement</w:t>
      </w:r>
      <w:r w:rsidR="00337A55">
        <w:rPr>
          <w:lang w:val="en-GB"/>
        </w:rPr>
        <w:t xml:space="preserve"> </w:t>
      </w:r>
      <w:r w:rsidR="00337A55">
        <w:rPr>
          <w:lang w:val="en-GB"/>
        </w:rPr>
        <w:fldChar w:fldCharType="begin" w:fldLock="1"/>
      </w:r>
      <w:r w:rsidR="005D75E8">
        <w:rPr>
          <w:lang w:val="en-GB"/>
        </w:rPr>
        <w:instrText>ADDIN CSL_CITATION {"citationItems":[{"id":"ITEM-1","itemData":{"DOI":"10.1039/d0mh00286k","ISSN":"20516355","abstract":"We investigate the viability of highly efficient organic solar cells (OSCs) based on non-fullerene acceptors (NFA) by taking into consideration efficiency loss channels and stability issues caused by triplet excitons (TE) formation. OSCs based on a blend of the conjugated donor polymer PBDB-T and ITIC as acceptor were fabricated and investigated with electrical, optical and spin-sensitive methods. The spin-Hamiltonian parameters of molecular TEs and charge transfer TEs in ITIC e.g., zero-field splitting and charge distribution, were calculated by density functional theory (DFT) modelling. In addition, the energetic model describing the photophysical processes in the donor-acceptor blend was derived. Spin-sensitive photoluminescence measurements prove the formation of charge transfer (CT) states in the blend and the formation of TEs in the pure materials and the blend. However, no molecular TE signal is observed in the completed devices under working conditions by spin-sensitive electrical measurements. The absence of a molecular triplet state population allows to eliminate a charge carrier loss channel and irreversible photooxidation facilitated by long-lived triplet states. These results correlate well with the high power conversion efficiency of the PBDB-T:ITIC-based OSCs and their high stability.","author":[{"dropping-particle":"","family":"Kotova","given":"Maria S.","non-dropping-particle":"","parse-names":false,"suffix":""},{"dropping-particle":"","family":"Londi","given":"Giacomo","non-dropping-particle":"","parse-names":false,"suffix":""},{"dropping-particle":"","family":"Junker","given":"Johannes","non-dropping-particle":"","parse-names":false,"suffix":""},{"dropping-particle":"","family":"Dietz","given":"Stefanie","non-dropping-particle":"","parse-names":false,"suffix":""},{"dropping-particle":"","family":"Privitera","given":"Alberto","non-dropping-particle":"","parse-names":false,"suffix":""},{"dropping-particle":"","family":"Tvingstedt","given":"Kristofer","non-dropping-particle":"","parse-names":false,"suffix":""},{"dropping-particle":"","family":"Beljonne","given":"David","non-dropping-particle":"","parse-names":false,"suffix":""},{"dropping-particle":"","family":"Sperlich","given":"Andreas","non-dropping-particle":"","parse-names":false,"suffix":""},{"dropping-particle":"","family":"Dyakonov","given":"Vladimir","non-dropping-particle":"","parse-names":false,"suffix":""}],"container-title":"Materials Horizons","id":"ITEM-1","issue":"6","issued":{"date-parts":[["2020"]]},"page":"1641-1649","publisher":"Royal Society of Chemistry","title":"On the absence of triplet exciton loss pathways in non-fullerene acceptor based organic solar cells","type":"article-journal","volume":"7"},"uris":["http://www.mendeley.com/documents/?uuid=d7a2dd00-cb56-40c3-a5e0-f0944b9c62b9"]}],"mendeley":{"formattedCitation":"&lt;sup&gt;27&lt;/sup&gt;","plainTextFormattedCitation":"27","previouslyFormattedCitation":"&lt;sup&gt;27&lt;/sup&gt;"},"properties":{"noteIndex":0},"schema":"https://github.com/citation-style-language/schema/raw/master/csl-citation.json"}</w:instrText>
      </w:r>
      <w:r w:rsidR="00337A55">
        <w:rPr>
          <w:lang w:val="en-GB"/>
        </w:rPr>
        <w:fldChar w:fldCharType="separate"/>
      </w:r>
      <w:r w:rsidR="005D75E8" w:rsidRPr="005D75E8">
        <w:rPr>
          <w:noProof/>
          <w:vertAlign w:val="superscript"/>
          <w:lang w:val="en-GB"/>
        </w:rPr>
        <w:t>27</w:t>
      </w:r>
      <w:r w:rsidR="00337A55">
        <w:rPr>
          <w:lang w:val="en-GB"/>
        </w:rPr>
        <w:fldChar w:fldCharType="end"/>
      </w:r>
      <w:r w:rsidR="00E268CC">
        <w:rPr>
          <w:lang w:val="en-GB"/>
        </w:rPr>
        <w:t xml:space="preserve">; </w:t>
      </w:r>
      <w:r w:rsidR="001F1528">
        <w:rPr>
          <w:lang w:val="en-GB"/>
        </w:rPr>
        <w:t>h</w:t>
      </w:r>
      <w:r w:rsidR="001F1528" w:rsidRPr="00045547">
        <w:rPr>
          <w:lang w:val="en-GB"/>
        </w:rPr>
        <w:t xml:space="preserve">owever, </w:t>
      </w:r>
      <w:r w:rsidR="001F1528">
        <w:rPr>
          <w:lang w:val="en-GB"/>
        </w:rPr>
        <w:t xml:space="preserve">it remains unclear how </w:t>
      </w:r>
      <w:r w:rsidR="001F1528" w:rsidRPr="00045547">
        <w:rPr>
          <w:lang w:val="en-GB"/>
        </w:rPr>
        <w:t xml:space="preserve">triplet </w:t>
      </w:r>
      <w:r w:rsidR="001F1528">
        <w:rPr>
          <w:lang w:val="en-GB"/>
        </w:rPr>
        <w:t xml:space="preserve">recombination is </w:t>
      </w:r>
      <w:r w:rsidR="004F10B6">
        <w:rPr>
          <w:lang w:val="en-GB"/>
        </w:rPr>
        <w:t xml:space="preserve">avoided </w:t>
      </w:r>
      <w:r w:rsidR="001F1528">
        <w:rPr>
          <w:lang w:val="en-GB"/>
        </w:rPr>
        <w:t xml:space="preserve">in these systems given that </w:t>
      </w:r>
      <w:r w:rsidR="005B0E52">
        <w:rPr>
          <w:lang w:val="en-GB"/>
        </w:rPr>
        <w:t xml:space="preserve">the </w:t>
      </w:r>
      <w:r w:rsidR="00470885">
        <w:rPr>
          <w:lang w:val="en-GB"/>
        </w:rPr>
        <w:t xml:space="preserve">interfacial electron-hole pairs form localized CTEs with </w:t>
      </w:r>
      <w:r w:rsidR="004B52AA">
        <w:rPr>
          <w:lang w:val="en-GB"/>
        </w:rPr>
        <w:t xml:space="preserve">a </w:t>
      </w:r>
      <w:r w:rsidR="00470885">
        <w:rPr>
          <w:lang w:val="en-GB"/>
        </w:rPr>
        <w:t>slow dissociation rate</w:t>
      </w:r>
      <w:r w:rsidR="005B0E52">
        <w:rPr>
          <w:lang w:val="en-GB"/>
        </w:rPr>
        <w:t xml:space="preserve"> (~100 ps</w:t>
      </w:r>
      <w:r w:rsidR="00CD629A">
        <w:rPr>
          <w:lang w:val="en-GB"/>
        </w:rPr>
        <w:t xml:space="preserve">; Ref. </w:t>
      </w:r>
      <w:r w:rsidR="00CD629A">
        <w:rPr>
          <w:lang w:val="en-GB"/>
        </w:rPr>
        <w:fldChar w:fldCharType="begin" w:fldLock="1"/>
      </w:r>
      <w:r w:rsidR="005D75E8">
        <w:rPr>
          <w:lang w:val="en-GB"/>
        </w:rPr>
        <w:instrText>ADDIN CSL_CITATION {"citationItems":[{"id":"ITEM-1","itemData":{"DOI":"10.1038/s41467-020-19332-5","ISBN":"4146702019332","ISSN":"2041-1723","abstract":"Organic solar cells based on non-fullerene acceptors can show high charge generation yields despite near-zero donor–acceptor energy offsets to drive charge separation and overcome the mutual Coulomb attraction between electron and hole. Here, we use time-resolved optical spectroscopy to show that free charges in these systems are generated by thermally activated dissociation of interfacial charge-transfer states that occurs over hundreds of picoseconds at room temperature, three orders of magnitude slower than comparable fullerene-based systems. Upon free electron–hole encounters at later times, both charge-transfer states and emissive excitons are regenerated, thus setting up an equilibrium between excitons, charge-transfer states and free charges. Our results suggest that the formation of long-lived and disorder-free charge-transfer states in these systems enables them to operate closely to quasi-thermodynamic conditions with no requirement for energy offsets to drive interfacial charge separation and achieve suppressed non-radiative recombination.","author":[{"dropping-particle":"","family":"Hinrichsen","given":"Ture F.","non-dropping-particle":"","parse-names":false,"suffix":""},{"dropping-particle":"","family":"Chan","given":"Christopher C. S.","non-dropping-particle":"","parse-names":false,"suffix":""},{"dropping-particle":"","family":"Ma","given":"Chao","non-dropping-particle":"","parse-names":false,"suffix":""},{"dropping-particle":"","family":"Paleček","given":"David","non-dropping-particle":"","parse-names":false,"suffix":""},{"dropping-particle":"","family":"Gillett","given":"Alexander","non-dropping-particle":"","parse-names":false,"suffix":""},{"dropping-particle":"","family":"Chen","given":"Shangshang","non-dropping-particle":"","parse-names":false,"suffix":""},{"dropping-particle":"","family":"Zou","given":"Xinhui","non-dropping-particle":"","parse-names":false,"suffix":""},{"dropping-particle":"","family":"Zhang","given":"Guichuan","non-dropping-particle":"","parse-names":false,"suffix":""},{"dropping-particle":"","family":"Yip","given":"Hin-Lap","non-dropping-particle":"","parse-names":false,"suffix":""},{"dropping-particle":"","family":"Wong","given":"Kam Sing","non-dropping-particle":"","parse-names":false,"suffix":""},{"dropping-particle":"","family":"Friend","given":"Richard H.","non-dropping-particle":"","parse-names":false,"suffix":""},{"dropping-particle":"","family":"Yan","given":"He","non-dropping-particle":"","parse-names":false,"suffix":""},{"dropping-particle":"","family":"Rao","given":"Akshay","non-dropping-particle":"","parse-names":false,"suffix":""},{"dropping-particle":"","family":"Chow","given":"Philip C. Y.","non-dropping-particle":"","parse-names":false,"suffix":""}],"container-title":"Nature Communications","id":"ITEM-1","issue":"1","issued":{"date-parts":[["2020","12","5"]]},"page":"5617","title":"Long-lived and disorder-free charge transfer states enable endothermic charge separation in efficient non-fullerene organic solar cells","type":"article-journal","volume":"11"},"uris":["http://www.mendeley.com/documents/?uuid=4811954e-9106-4bc9-bc5d-4fdec12073fa"]}],"mendeley":{"formattedCitation":"&lt;sup&gt;23&lt;/sup&gt;","plainTextFormattedCitation":"23","previouslyFormattedCitation":"&lt;sup&gt;23&lt;/sup&gt;"},"properties":{"noteIndex":0},"schema":"https://github.com/citation-style-language/schema/raw/master/csl-citation.json"}</w:instrText>
      </w:r>
      <w:r w:rsidR="00CD629A">
        <w:rPr>
          <w:lang w:val="en-GB"/>
        </w:rPr>
        <w:fldChar w:fldCharType="separate"/>
      </w:r>
      <w:r w:rsidR="005D75E8" w:rsidRPr="005D75E8">
        <w:rPr>
          <w:noProof/>
          <w:vertAlign w:val="superscript"/>
          <w:lang w:val="en-GB"/>
        </w:rPr>
        <w:t>23</w:t>
      </w:r>
      <w:r w:rsidR="00CD629A">
        <w:rPr>
          <w:lang w:val="en-GB"/>
        </w:rPr>
        <w:fldChar w:fldCharType="end"/>
      </w:r>
      <w:r w:rsidR="005B0E52">
        <w:rPr>
          <w:lang w:val="en-GB"/>
        </w:rPr>
        <w:t>)</w:t>
      </w:r>
      <w:r w:rsidR="00470885">
        <w:rPr>
          <w:lang w:val="en-GB"/>
        </w:rPr>
        <w:t xml:space="preserve">. </w:t>
      </w:r>
    </w:p>
    <w:p w14:paraId="35AB3E99" w14:textId="77777777" w:rsidR="00303A3F" w:rsidRDefault="00303A3F" w:rsidP="001F1528">
      <w:pPr>
        <w:spacing w:line="480" w:lineRule="auto"/>
        <w:jc w:val="both"/>
        <w:rPr>
          <w:lang w:val="en-GB"/>
        </w:rPr>
      </w:pPr>
    </w:p>
    <w:p w14:paraId="0ACC43E1" w14:textId="4C4C9736" w:rsidR="005E0230" w:rsidRPr="00045547" w:rsidRDefault="00303A3F" w:rsidP="005E0230">
      <w:pPr>
        <w:spacing w:line="480" w:lineRule="auto"/>
        <w:jc w:val="both"/>
        <w:rPr>
          <w:lang w:val="en-GB"/>
        </w:rPr>
      </w:pPr>
      <w:r>
        <w:rPr>
          <w:lang w:val="en-GB"/>
        </w:rPr>
        <w:t xml:space="preserve">Here we study the </w:t>
      </w:r>
      <w:r w:rsidR="004F10B6">
        <w:rPr>
          <w:lang w:val="en-GB"/>
        </w:rPr>
        <w:t xml:space="preserve">factors that </w:t>
      </w:r>
      <w:r>
        <w:rPr>
          <w:lang w:val="en-GB"/>
        </w:rPr>
        <w:t xml:space="preserve">help </w:t>
      </w:r>
      <w:r w:rsidR="004F10B6">
        <w:rPr>
          <w:lang w:val="en-GB"/>
        </w:rPr>
        <w:t xml:space="preserve">suppress </w:t>
      </w:r>
      <w:r w:rsidR="001F1528">
        <w:rPr>
          <w:lang w:val="en-GB"/>
        </w:rPr>
        <w:t>triplet recombination in NFA-based OPVs.</w:t>
      </w:r>
      <w:r>
        <w:rPr>
          <w:lang w:val="en-GB"/>
        </w:rPr>
        <w:t xml:space="preserve"> We use time-resolved optical spectroscopy to study excited state dynamics in </w:t>
      </w:r>
      <w:r w:rsidR="005E0230" w:rsidRPr="00045547">
        <w:rPr>
          <w:lang w:val="en-GB"/>
        </w:rPr>
        <w:t xml:space="preserve">three </w:t>
      </w:r>
      <w:r w:rsidR="00377E4B">
        <w:rPr>
          <w:lang w:val="en-GB"/>
        </w:rPr>
        <w:t xml:space="preserve">bulk-heterojunction </w:t>
      </w:r>
      <w:r w:rsidR="001F1528">
        <w:rPr>
          <w:lang w:val="en-GB"/>
        </w:rPr>
        <w:t>OPV</w:t>
      </w:r>
      <w:r w:rsidR="00377E4B">
        <w:rPr>
          <w:lang w:val="en-GB"/>
        </w:rPr>
        <w:t xml:space="preserve"> blends</w:t>
      </w:r>
      <w:r w:rsidR="005E0230" w:rsidRPr="00045547">
        <w:rPr>
          <w:lang w:val="en-GB"/>
        </w:rPr>
        <w:t>, namely P3TEA:SF-PDI</w:t>
      </w:r>
      <w:r w:rsidR="005E0230" w:rsidRPr="00045547">
        <w:rPr>
          <w:vertAlign w:val="subscript"/>
          <w:lang w:val="en-GB"/>
        </w:rPr>
        <w:t>2</w:t>
      </w:r>
      <w:r w:rsidR="005E0230" w:rsidRPr="00045547">
        <w:rPr>
          <w:lang w:val="en-GB"/>
        </w:rPr>
        <w:t xml:space="preserve">, P3TEA:di-PDI and P3TEA:PCBM </w:t>
      </w:r>
      <w:r w:rsidR="005E5A36">
        <w:rPr>
          <w:lang w:val="en-GB"/>
        </w:rPr>
        <w:t>(see Figure 1a for t</w:t>
      </w:r>
      <w:r w:rsidR="005E0230" w:rsidRPr="00045547">
        <w:rPr>
          <w:lang w:val="en-GB"/>
        </w:rPr>
        <w:t>heir chemical structure</w:t>
      </w:r>
      <w:r w:rsidR="005E5A36">
        <w:rPr>
          <w:lang w:val="en-GB"/>
        </w:rPr>
        <w:t>s)</w:t>
      </w:r>
      <w:r w:rsidR="005E0230" w:rsidRPr="00045547">
        <w:rPr>
          <w:lang w:val="en-GB"/>
        </w:rPr>
        <w:t xml:space="preserve">. All three blends </w:t>
      </w:r>
      <w:r w:rsidR="002378EE">
        <w:rPr>
          <w:lang w:val="en-GB"/>
        </w:rPr>
        <w:t xml:space="preserve">comprise </w:t>
      </w:r>
      <w:r w:rsidR="002378EE" w:rsidRPr="00045547">
        <w:rPr>
          <w:lang w:val="en-GB"/>
        </w:rPr>
        <w:t>the same donor polymer, P3TEA</w:t>
      </w:r>
      <w:r w:rsidR="0037099A">
        <w:rPr>
          <w:lang w:val="en-GB"/>
        </w:rPr>
        <w:t xml:space="preserve"> (</w:t>
      </w:r>
      <w:proofErr w:type="spellStart"/>
      <w:r w:rsidR="0037099A">
        <w:rPr>
          <w:lang w:val="en-GB"/>
        </w:rPr>
        <w:t>E</w:t>
      </w:r>
      <w:r w:rsidR="0037099A">
        <w:rPr>
          <w:vertAlign w:val="subscript"/>
          <w:lang w:val="en-GB"/>
        </w:rPr>
        <w:t>optical</w:t>
      </w:r>
      <w:proofErr w:type="spellEnd"/>
      <w:r w:rsidR="0037099A">
        <w:rPr>
          <w:vertAlign w:val="subscript"/>
          <w:lang w:val="en-GB"/>
        </w:rPr>
        <w:t xml:space="preserve"> gap</w:t>
      </w:r>
      <w:r w:rsidR="0037099A">
        <w:rPr>
          <w:lang w:val="en-GB"/>
        </w:rPr>
        <w:t xml:space="preserve"> ~1.72 eV</w:t>
      </w:r>
      <w:r>
        <w:rPr>
          <w:lang w:val="en-GB"/>
        </w:rPr>
        <w:t>, which is lower than the optical gap of the acceptor molecules in all three blends</w:t>
      </w:r>
      <w:r w:rsidR="0037099A">
        <w:rPr>
          <w:lang w:val="en-GB"/>
        </w:rPr>
        <w:t xml:space="preserve">), </w:t>
      </w:r>
      <w:r w:rsidR="0037099A">
        <w:rPr>
          <w:lang w:val="en-GB"/>
        </w:rPr>
        <w:lastRenderedPageBreak/>
        <w:t xml:space="preserve">and have various D/A energy offsets and solar </w:t>
      </w:r>
      <w:r w:rsidR="005E7A02">
        <w:rPr>
          <w:lang w:val="en-GB"/>
        </w:rPr>
        <w:t>cell</w:t>
      </w:r>
      <w:r w:rsidR="0037099A">
        <w:rPr>
          <w:lang w:val="en-GB"/>
        </w:rPr>
        <w:t xml:space="preserve"> performance (see Figure 1b for </w:t>
      </w:r>
      <w:r w:rsidR="00B97F55" w:rsidRPr="00045547">
        <w:rPr>
          <w:lang w:val="en-GB"/>
        </w:rPr>
        <w:t xml:space="preserve">their energy </w:t>
      </w:r>
      <w:r w:rsidR="0037099A">
        <w:rPr>
          <w:lang w:val="en-GB"/>
        </w:rPr>
        <w:t xml:space="preserve">alignments </w:t>
      </w:r>
      <w:r w:rsidR="00B97F55" w:rsidRPr="00045547">
        <w:rPr>
          <w:lang w:val="en-GB"/>
        </w:rPr>
        <w:t xml:space="preserve">and </w:t>
      </w:r>
      <w:r w:rsidR="0037099A">
        <w:rPr>
          <w:lang w:val="en-GB"/>
        </w:rPr>
        <w:t>device</w:t>
      </w:r>
      <w:r w:rsidR="00B97F55" w:rsidRPr="00045547">
        <w:rPr>
          <w:lang w:val="en-GB"/>
        </w:rPr>
        <w:t xml:space="preserve"> performance</w:t>
      </w:r>
      <w:r w:rsidR="0037099A">
        <w:rPr>
          <w:lang w:val="en-GB"/>
        </w:rPr>
        <w:t xml:space="preserve">s; </w:t>
      </w:r>
      <w:r w:rsidR="00B97F55" w:rsidRPr="00045547">
        <w:rPr>
          <w:lang w:val="en-GB"/>
        </w:rPr>
        <w:t>Table 1 summarizes the device parameters</w:t>
      </w:r>
      <w:r w:rsidR="0037099A">
        <w:rPr>
          <w:lang w:val="en-GB"/>
        </w:rPr>
        <w:t>)</w:t>
      </w:r>
      <w:r w:rsidR="00B97F55" w:rsidRPr="00045547">
        <w:rPr>
          <w:lang w:val="en-GB"/>
        </w:rPr>
        <w:t xml:space="preserve">. </w:t>
      </w:r>
      <w:r w:rsidR="001F3505">
        <w:rPr>
          <w:lang w:val="en-GB"/>
        </w:rPr>
        <w:t xml:space="preserve">Detailed characterizations of the energetics, morphologies and </w:t>
      </w:r>
      <w:r w:rsidR="00092891">
        <w:rPr>
          <w:lang w:val="en-GB"/>
        </w:rPr>
        <w:t xml:space="preserve">sub-picosecond charge </w:t>
      </w:r>
      <w:r w:rsidR="001F3505">
        <w:rPr>
          <w:lang w:val="en-GB"/>
        </w:rPr>
        <w:t xml:space="preserve">dynamics of these systems have been reported in our previous works </w:t>
      </w:r>
      <w:r w:rsidR="001F3505">
        <w:rPr>
          <w:lang w:val="en-GB"/>
        </w:rPr>
        <w:fldChar w:fldCharType="begin" w:fldLock="1"/>
      </w:r>
      <w:r w:rsidR="005D75E8">
        <w:rPr>
          <w:lang w:val="en-GB"/>
        </w:rPr>
        <w:instrText>ADDIN CSL_CITATION {"citationItems":[{"id":"ITEM-1","itemData":{"DOI":"10.1038/nenergy.2016.89","ISBN":"0001415123","ISSN":"2058-7546","abstract":"Fast and efficient charge separation is essential to achieve high power conversion efficiency in organic solar cells (OSCs). In state-of-the-art OSCs, this is usually achieved by a significant driving force, defined as the offset between the bandgap (Egap) of the donor/acceptor materials and the energy of the charge transfer (CT) state (ECT), which is typically greater than 0.3 eV. The large driving force causes a relatively large voltage loss that hinders performance. Here, we report non-fullerene OSCs that exhibit ultrafast and efficient charge separation despite a negligible driving force, as ECT is nearly identical to Egap. Moreover, the small driving force is found to have minimal detrimental effects on charge transfer dynamics of the OSCs. We demonstrate a non-fullerene OSC with 9.5% efficiency and nearly 90% internal quantum efficiency despite a low voltage loss of 0.61 V. This creates a path towards highly efficient OSCs with a low voltage loss.","author":[{"dropping-particle":"","family":"Liu","given":"Jing","non-dropping-particle":"","parse-names":false,"suffix":""},{"dropping-particle":"","family":"Chen","given":"Shangshang","non-dropping-particle":"","parse-names":false,"suffix":""},{"dropping-particle":"","family":"Qian","given":"Deping","non-dropping-particle":"","parse-names":false,"suffix":""},{"dropping-particle":"","family":"Gautam","given":"Bhoj","non-dropping-particle":"","parse-names":false,"suffix":""},{"dropping-particle":"","family":"Yang","given":"Guofang","non-dropping-particle":"","parse-names":false,"suffix":""},{"dropping-particle":"","family":"Zhao","given":"Jingbo","non-dropping-particle":"","parse-names":false,"suffix":""},{"dropping-particle":"","family":"Bergqvist","given":"Jonas","non-dropping-particle":"","parse-names":false,"suffix":""},{"dropping-particle":"","family":"Zhang","given":"Fengling","non-dropping-particle":"","parse-names":false,"suffix":""},{"dropping-particle":"","family":"Ma","given":"Wei","non-dropping-particle":"","parse-names":false,"suffix":""},{"dropping-particle":"","family":"Ade","given":"Harald","non-dropping-particle":"","parse-names":false,"suffix":""},{"dropping-particle":"","family":"Inganäs","given":"Olle","non-dropping-particle":"","parse-names":false,"suffix":""},{"dropping-particle":"","family":"Gundogdu","given":"Kenan","non-dropping-particle":"","parse-names":false,"suffix":""},{"dropping-particle":"","family":"Gao","given":"Feng","non-dropping-particle":"","parse-names":false,"suffix":""},{"dropping-particle":"","family":"Yan","given":"He","non-dropping-particle":"","parse-names":false,"suffix":""}],"container-title":"Nature Energy","id":"ITEM-1","issue":"7","issued":{"date-parts":[["2016"]]},"page":"16089","title":"Fast charge separation in a non-fullerene organic solar cell with a small driving force","type":"article-journal","volume":"1"},"uris":["http://www.mendeley.com/documents/?uuid=1f9e4c77-a3fb-4f32-87c7-b5e54dafa4fb"]},{"id":"ITEM-2","itemData":{"DOI":"10.1038/s41467-020-19332-5","ISBN":"4146702019332","ISSN":"2041-1723","abstract":"Organic solar cells based on non-fullerene acceptors can show high charge generation yields despite near-zero donor–acceptor energy offsets to drive charge separation and overcome the mutual Coulomb attraction between electron and hole. Here, we use time-resolved optical spectroscopy to show that free charges in these systems are generated by thermally activated dissociation of interfacial charge-transfer states that occurs over hundreds of picoseconds at room temperature, three orders of magnitude slower than comparable fullerene-based systems. Upon free electron–hole encounters at later times, both charge-transfer states and emissive excitons are regenerated, thus setting up an equilibrium between excitons, charge-transfer states and free charges. Our results suggest that the formation of long-lived and disorder-free charge-transfer states in these systems enables them to operate closely to quasi-thermodynamic conditions with no requirement for energy offsets to drive interfacial charge separation and achieve suppressed non-radiative recombination.","author":[{"dropping-particle":"","family":"Hinrichsen","given":"Ture F.","non-dropping-particle":"","parse-names":false,"suffix":""},{"dropping-particle":"","family":"Chan","given":"Christopher C. S.","non-dropping-particle":"","parse-names":false,"suffix":""},{"dropping-particle":"","family":"Ma","given":"Chao","non-dropping-particle":"","parse-names":false,"suffix":""},{"dropping-particle":"","family":"Paleček","given":"David","non-dropping-particle":"","parse-names":false,"suffix":""},{"dropping-particle":"","family":"Gillett","given":"Alexander","non-dropping-particle":"","parse-names":false,"suffix":""},{"dropping-particle":"","family":"Chen","given":"Shangshang","non-dropping-particle":"","parse-names":false,"suffix":""},{"dropping-particle":"","family":"Zou","given":"Xinhui","non-dropping-particle":"","parse-names":false,"suffix":""},{"dropping-particle":"","family":"Zhang","given":"Guichuan","non-dropping-particle":"","parse-names":false,"suffix":""},{"dropping-particle":"","family":"Yip","given":"Hin-Lap","non-dropping-particle":"","parse-names":false,"suffix":""},{"dropping-particle":"","family":"Wong","given":"Kam Sing","non-dropping-particle":"","parse-names":false,"suffix":""},{"dropping-particle":"","family":"Friend","given":"Richard H.","non-dropping-particle":"","parse-names":false,"suffix":""},{"dropping-particle":"","family":"Yan","given":"He","non-dropping-particle":"","parse-names":false,"suffix":""},{"dropping-particle":"","family":"Rao","given":"Akshay","non-dropping-particle":"","parse-names":false,"suffix":""},{"dropping-particle":"","family":"Chow","given":"Philip C. Y.","non-dropping-particle":"","parse-names":false,"suffix":""}],"container-title":"Nature Communications","id":"ITEM-2","issue":"1","issued":{"date-parts":[["2020","12","5"]]},"page":"5617","title":"Long-lived and disorder-free charge transfer states enable endothermic charge separation in efficient non-fullerene organic solar cells","type":"article-journal","volume":"11"},"uris":["http://www.mendeley.com/documents/?uuid=4811954e-9106-4bc9-bc5d-4fdec12073fa"]},{"id":"ITEM-3","itemData":{"DOI":"10.1002/solr.202000789","ISSN":"2367-198X","author":[{"dropping-particle":"","family":"Ma","given":"Chao","non-dropping-particle":"","parse-names":false,"suffix":""},{"dropping-particle":"","family":"Chan","given":"Christopher C S","non-dropping-particle":"","parse-names":false,"suffix":""},{"dropping-particle":"","family":"Zou","given":"Xinhui","non-dropping-particle":"","parse-names":false,"suffix":""},{"dropping-particle":"","family":"Yu","given":"Han","non-dropping-particle":"","parse-names":false,"suffix":""},{"dropping-particle":"","family":"Zhang","given":"Jianquan","non-dropping-particle":"","parse-names":false,"suffix":""},{"dropping-particle":"","family":"Yan","given":"He","non-dropping-particle":"","parse-names":false,"suffix":""},{"dropping-particle":"","family":"Wong","given":"Kam Sing","non-dropping-particle":"","parse-names":false,"suffix":""},{"dropping-particle":"","family":"Chow","given":"Philip C. Y.","non-dropping-particle":"","parse-names":false,"suffix":""}],"container-title":"Solar RRL","id":"ITEM-3","issue":"4","issued":{"date-parts":[["2021","4","24"]]},"page":"2000789","title":"Unraveling the Temperature Dependence of Exciton Dissociation and Free Charge Generation in Nonfullerene Organic Solar Cells","type":"article-journal","volume":"5"},"uris":["http://www.mendeley.com/documents/?uuid=9dd074ac-c54c-4d19-9c68-06b6c6387127"]}],"mendeley":{"formattedCitation":"&lt;sup&gt;21,23,28&lt;/sup&gt;","plainTextFormattedCitation":"21,23,28","previouslyFormattedCitation":"&lt;sup&gt;21,23,28&lt;/sup&gt;"},"properties":{"noteIndex":0},"schema":"https://github.com/citation-style-language/schema/raw/master/csl-citation.json"}</w:instrText>
      </w:r>
      <w:r w:rsidR="001F3505">
        <w:rPr>
          <w:lang w:val="en-GB"/>
        </w:rPr>
        <w:fldChar w:fldCharType="separate"/>
      </w:r>
      <w:r w:rsidR="005D75E8" w:rsidRPr="005D75E8">
        <w:rPr>
          <w:noProof/>
          <w:vertAlign w:val="superscript"/>
          <w:lang w:val="en-GB"/>
        </w:rPr>
        <w:t>21,23,28</w:t>
      </w:r>
      <w:r w:rsidR="001F3505">
        <w:rPr>
          <w:lang w:val="en-GB"/>
        </w:rPr>
        <w:fldChar w:fldCharType="end"/>
      </w:r>
      <w:r w:rsidR="001F3505">
        <w:rPr>
          <w:lang w:val="en-GB"/>
        </w:rPr>
        <w:t xml:space="preserve">. In brief, </w:t>
      </w:r>
      <w:r w:rsidR="005E0230" w:rsidRPr="00045547">
        <w:rPr>
          <w:lang w:val="en-GB"/>
        </w:rPr>
        <w:t>P3TEA:SF-PDI</w:t>
      </w:r>
      <w:r w:rsidR="005E0230" w:rsidRPr="00045547">
        <w:rPr>
          <w:vertAlign w:val="subscript"/>
          <w:lang w:val="en-GB"/>
        </w:rPr>
        <w:t>2</w:t>
      </w:r>
      <w:r w:rsidR="005E0230" w:rsidRPr="00045547">
        <w:rPr>
          <w:lang w:val="en-GB"/>
        </w:rPr>
        <w:t xml:space="preserve"> has </w:t>
      </w:r>
      <w:r w:rsidR="002378EE">
        <w:rPr>
          <w:lang w:val="en-GB"/>
        </w:rPr>
        <w:t xml:space="preserve">near-zero </w:t>
      </w:r>
      <w:r w:rsidR="001F3505">
        <w:rPr>
          <w:lang w:val="en-GB"/>
        </w:rPr>
        <w:t>CTE-S</w:t>
      </w:r>
      <w:r w:rsidR="001F3505">
        <w:rPr>
          <w:vertAlign w:val="subscript"/>
          <w:lang w:val="en-GB"/>
        </w:rPr>
        <w:t>1</w:t>
      </w:r>
      <w:r w:rsidR="001F3505">
        <w:rPr>
          <w:lang w:val="en-GB"/>
        </w:rPr>
        <w:t xml:space="preserve"> energy offset </w:t>
      </w:r>
      <w:r w:rsidR="005E0230" w:rsidRPr="00045547">
        <w:rPr>
          <w:lang w:val="en-GB"/>
        </w:rPr>
        <w:t xml:space="preserve">and shows </w:t>
      </w:r>
      <w:r w:rsidR="00C60314">
        <w:rPr>
          <w:lang w:val="en-GB"/>
        </w:rPr>
        <w:t>small</w:t>
      </w:r>
      <w:r w:rsidR="005E0230" w:rsidRPr="00045547">
        <w:rPr>
          <w:lang w:val="en-GB"/>
        </w:rPr>
        <w:t xml:space="preserve"> </w:t>
      </w:r>
      <w:r w:rsidR="00C60314">
        <w:rPr>
          <w:lang w:val="en-GB"/>
        </w:rPr>
        <w:t>photo</w:t>
      </w:r>
      <w:r w:rsidR="005E0230" w:rsidRPr="00045547">
        <w:rPr>
          <w:lang w:val="en-GB"/>
        </w:rPr>
        <w:t>voltage loss (</w:t>
      </w:r>
      <w:r w:rsidR="00C60314">
        <w:rPr>
          <w:lang w:val="en-GB"/>
        </w:rPr>
        <w:t>~</w:t>
      </w:r>
      <w:r w:rsidR="005E0230" w:rsidRPr="00045547">
        <w:rPr>
          <w:lang w:val="en-GB"/>
        </w:rPr>
        <w:t>0.6V)</w:t>
      </w:r>
      <w:r w:rsidR="001F3505">
        <w:rPr>
          <w:lang w:val="en-GB"/>
        </w:rPr>
        <w:t xml:space="preserve">. </w:t>
      </w:r>
      <w:r w:rsidR="005E0230" w:rsidRPr="00045547">
        <w:rPr>
          <w:lang w:val="en-GB"/>
        </w:rPr>
        <w:t xml:space="preserve">P3TEA:di-PDI has larger </w:t>
      </w:r>
      <w:r w:rsidR="00274096">
        <w:rPr>
          <w:lang w:val="en-GB"/>
        </w:rPr>
        <w:t>photo</w:t>
      </w:r>
      <w:r w:rsidR="005E0230" w:rsidRPr="00045547">
        <w:rPr>
          <w:lang w:val="en-GB"/>
        </w:rPr>
        <w:t>voltage loss (</w:t>
      </w:r>
      <w:r w:rsidR="00274096">
        <w:rPr>
          <w:lang w:val="en-GB"/>
        </w:rPr>
        <w:t>~</w:t>
      </w:r>
      <w:r w:rsidR="005E0230" w:rsidRPr="00045547">
        <w:rPr>
          <w:lang w:val="en-GB"/>
        </w:rPr>
        <w:t xml:space="preserve">0.77V) due to the </w:t>
      </w:r>
      <w:r w:rsidR="00733D58">
        <w:rPr>
          <w:lang w:val="en-GB"/>
        </w:rPr>
        <w:t xml:space="preserve">increased </w:t>
      </w:r>
      <w:r w:rsidR="001F3505">
        <w:rPr>
          <w:lang w:val="en-GB"/>
        </w:rPr>
        <w:t>CTE-S</w:t>
      </w:r>
      <w:r w:rsidR="001F3505">
        <w:rPr>
          <w:vertAlign w:val="subscript"/>
          <w:lang w:val="en-GB"/>
        </w:rPr>
        <w:t>1</w:t>
      </w:r>
      <w:r w:rsidR="001F3505">
        <w:rPr>
          <w:lang w:val="en-GB"/>
        </w:rPr>
        <w:t xml:space="preserve"> </w:t>
      </w:r>
      <w:r w:rsidR="005E0230" w:rsidRPr="00045547">
        <w:rPr>
          <w:lang w:val="en-GB"/>
        </w:rPr>
        <w:t>energy offset, and CTE</w:t>
      </w:r>
      <w:r w:rsidR="005A7B7F">
        <w:rPr>
          <w:lang w:val="en-GB"/>
        </w:rPr>
        <w:t xml:space="preserve"> energy is </w:t>
      </w:r>
      <w:r w:rsidR="005E0230" w:rsidRPr="00045547">
        <w:rPr>
          <w:lang w:val="en-GB"/>
        </w:rPr>
        <w:t xml:space="preserve">placed at </w:t>
      </w:r>
      <w:r w:rsidR="00B67827">
        <w:rPr>
          <w:lang w:val="en-GB"/>
        </w:rPr>
        <w:t>~</w:t>
      </w:r>
      <w:r w:rsidR="005E0230" w:rsidRPr="00045547">
        <w:rPr>
          <w:lang w:val="en-GB"/>
        </w:rPr>
        <w:t xml:space="preserve">200 meV below the singlet </w:t>
      </w:r>
      <w:r w:rsidR="001F3505">
        <w:rPr>
          <w:lang w:val="en-GB"/>
        </w:rPr>
        <w:t>excitons.</w:t>
      </w:r>
      <w:r w:rsidR="005E0230" w:rsidRPr="00045547">
        <w:rPr>
          <w:lang w:val="en-GB"/>
        </w:rPr>
        <w:t xml:space="preserve"> </w:t>
      </w:r>
      <w:r w:rsidR="005A7B7F">
        <w:rPr>
          <w:lang w:val="en-GB"/>
        </w:rPr>
        <w:t xml:space="preserve">The fullerene blend, </w:t>
      </w:r>
      <w:r w:rsidR="005E0230" w:rsidRPr="00045547">
        <w:rPr>
          <w:lang w:val="en-GB"/>
        </w:rPr>
        <w:t>P3TEA:PCBM</w:t>
      </w:r>
      <w:r w:rsidR="005A7B7F">
        <w:rPr>
          <w:lang w:val="en-GB"/>
        </w:rPr>
        <w:t>,</w:t>
      </w:r>
      <w:r w:rsidR="005E0230" w:rsidRPr="00045547">
        <w:rPr>
          <w:lang w:val="en-GB"/>
        </w:rPr>
        <w:t xml:space="preserve"> </w:t>
      </w:r>
      <w:r w:rsidR="005A7B7F">
        <w:rPr>
          <w:lang w:val="en-GB"/>
        </w:rPr>
        <w:t xml:space="preserve">shows </w:t>
      </w:r>
      <w:r w:rsidR="006E4502">
        <w:rPr>
          <w:lang w:val="en-GB"/>
        </w:rPr>
        <w:t xml:space="preserve">larger </w:t>
      </w:r>
      <w:r w:rsidR="005A7B7F" w:rsidRPr="00045547">
        <w:rPr>
          <w:lang w:val="en-GB"/>
        </w:rPr>
        <w:t>voltage loss (</w:t>
      </w:r>
      <w:r w:rsidR="00274096">
        <w:rPr>
          <w:lang w:val="en-GB"/>
        </w:rPr>
        <w:t>~</w:t>
      </w:r>
      <w:r w:rsidR="005A7B7F" w:rsidRPr="00045547">
        <w:rPr>
          <w:lang w:val="en-GB"/>
        </w:rPr>
        <w:t>0.83V)</w:t>
      </w:r>
      <w:r w:rsidR="006E4502">
        <w:rPr>
          <w:lang w:val="en-GB"/>
        </w:rPr>
        <w:t xml:space="preserve"> than both NFA blends</w:t>
      </w:r>
      <w:r w:rsidR="001F3505">
        <w:rPr>
          <w:lang w:val="en-GB"/>
        </w:rPr>
        <w:t>,</w:t>
      </w:r>
      <w:r w:rsidR="005A7B7F">
        <w:rPr>
          <w:lang w:val="en-GB"/>
        </w:rPr>
        <w:t xml:space="preserve"> </w:t>
      </w:r>
      <w:r w:rsidR="001F3505">
        <w:rPr>
          <w:lang w:val="en-GB"/>
        </w:rPr>
        <w:t xml:space="preserve">with </w:t>
      </w:r>
      <w:r w:rsidR="005A7B7F">
        <w:rPr>
          <w:lang w:val="en-GB"/>
        </w:rPr>
        <w:t>CTE at ~1.62 eV (</w:t>
      </w:r>
      <w:r w:rsidR="00B67827">
        <w:rPr>
          <w:lang w:val="en-GB"/>
        </w:rPr>
        <w:t xml:space="preserve">near </w:t>
      </w:r>
      <w:r w:rsidR="005A7B7F">
        <w:rPr>
          <w:lang w:val="en-GB"/>
        </w:rPr>
        <w:t>100 meV below the singlet excitons)</w:t>
      </w:r>
      <w:r w:rsidR="001F3505">
        <w:rPr>
          <w:lang w:val="en-GB"/>
        </w:rPr>
        <w:t>. A</w:t>
      </w:r>
      <w:r w:rsidR="00A66415">
        <w:rPr>
          <w:lang w:val="en-GB"/>
        </w:rPr>
        <w:t>ll three blends have low Urbach energies of ~30 meV</w:t>
      </w:r>
      <w:r w:rsidR="001F3505">
        <w:rPr>
          <w:lang w:val="en-GB"/>
        </w:rPr>
        <w:t xml:space="preserve">, </w:t>
      </w:r>
      <w:r w:rsidR="00A66415">
        <w:rPr>
          <w:lang w:val="en-GB"/>
        </w:rPr>
        <w:t xml:space="preserve">which indicates </w:t>
      </w:r>
      <w:r w:rsidR="009D6682">
        <w:rPr>
          <w:lang w:val="en-GB"/>
        </w:rPr>
        <w:t xml:space="preserve">that the charges have </w:t>
      </w:r>
      <w:r w:rsidR="00A66415">
        <w:rPr>
          <w:lang w:val="en-GB"/>
        </w:rPr>
        <w:t>similarly low degree of energetic disorder at the D/A interface</w:t>
      </w:r>
      <w:r w:rsidR="002E4EBF">
        <w:rPr>
          <w:lang w:val="en-GB"/>
        </w:rPr>
        <w:t xml:space="preserve"> </w:t>
      </w:r>
      <w:r w:rsidR="002E4EBF">
        <w:rPr>
          <w:lang w:val="en-GB"/>
        </w:rPr>
        <w:fldChar w:fldCharType="begin" w:fldLock="1"/>
      </w:r>
      <w:r w:rsidR="005D75E8">
        <w:rPr>
          <w:lang w:val="en-GB"/>
        </w:rPr>
        <w:instrText>ADDIN CSL_CITATION {"citationItems":[{"id":"ITEM-1","itemData":{"DOI":"10.1038/s41467-017-02457-5","ISBN":"4146701702457","ISSN":"2041-1723","author":[{"dropping-particle":"","family":"Menke","given":"S. Matthew","non-dropping-particle":"","parse-names":false,"suffix":""},{"dropping-particle":"","family":"Cheminal","given":"Alexandre","non-dropping-particle":"","parse-names":false,"suffix":""},{"dropping-particle":"","family":"Conaghan","given":"Patrick","non-dropping-particle":"","parse-names":false,"suffix":""},{"dropping-particle":"","family":"Ran","given":"Niva A.","non-dropping-particle":"","parse-names":false,"suffix":""},{"dropping-particle":"","family":"Greehnam","given":"Neil C.","non-dropping-particle":"","parse-names":false,"suffix":""},{"dropping-particle":"","family":"Bazan","given":"Guillermo C.","non-dropping-particle":"","parse-names":false,"suffix":""},{"dropping-particle":"","family":"Nguyen","given":"Thuc-Quyen","non-dropping-particle":"","parse-names":false,"suffix":""},{"dropping-particle":"","family":"Rao","given":"Akshay","non-dropping-particle":"","parse-names":false,"suffix":""},{"dropping-particle":"","family":"Friend","given":"Richard H.","non-dropping-particle":"","parse-names":false,"suffix":""}],"container-title":"Nature Communications","id":"ITEM-1","issue":"1","issued":{"date-parts":[["2018"]]},"page":"277","publisher":"Springer US","title":"Order enables efficient electron-hole separation at an organic heterojunction with a small energy loss","type":"article-journal","volume":"9"},"uris":["http://www.mendeley.com/documents/?uuid=a8663cfe-7ee9-4fdd-91d6-3b09e585e7a9"]}],"mendeley":{"formattedCitation":"&lt;sup&gt;29&lt;/sup&gt;","plainTextFormattedCitation":"29","previouslyFormattedCitation":"&lt;sup&gt;29&lt;/sup&gt;"},"properties":{"noteIndex":0},"schema":"https://github.com/citation-style-language/schema/raw/master/csl-citation.json"}</w:instrText>
      </w:r>
      <w:r w:rsidR="002E4EBF">
        <w:rPr>
          <w:lang w:val="en-GB"/>
        </w:rPr>
        <w:fldChar w:fldCharType="separate"/>
      </w:r>
      <w:r w:rsidR="005D75E8" w:rsidRPr="005D75E8">
        <w:rPr>
          <w:noProof/>
          <w:vertAlign w:val="superscript"/>
          <w:lang w:val="en-GB"/>
        </w:rPr>
        <w:t>29</w:t>
      </w:r>
      <w:r w:rsidR="002E4EBF">
        <w:rPr>
          <w:lang w:val="en-GB"/>
        </w:rPr>
        <w:fldChar w:fldCharType="end"/>
      </w:r>
      <w:r w:rsidR="00A66415">
        <w:rPr>
          <w:lang w:val="en-GB"/>
        </w:rPr>
        <w:t xml:space="preserve">. </w:t>
      </w:r>
    </w:p>
    <w:p w14:paraId="5954B9AC" w14:textId="76C1FDEF" w:rsidR="005E0230" w:rsidRDefault="005E0230" w:rsidP="005E0230">
      <w:pPr>
        <w:spacing w:line="480" w:lineRule="auto"/>
        <w:jc w:val="both"/>
        <w:rPr>
          <w:lang w:val="en-GB"/>
        </w:rPr>
      </w:pPr>
    </w:p>
    <w:p w14:paraId="2263D866" w14:textId="75BFAE20" w:rsidR="005E0230" w:rsidRPr="00045547" w:rsidRDefault="005E0230" w:rsidP="005E0230">
      <w:pPr>
        <w:spacing w:line="480" w:lineRule="auto"/>
        <w:jc w:val="both"/>
        <w:rPr>
          <w:lang w:val="en-GB"/>
        </w:rPr>
      </w:pPr>
      <w:r w:rsidRPr="00045547">
        <w:rPr>
          <w:lang w:val="en-GB"/>
        </w:rPr>
        <w:t xml:space="preserve">Figure 2 shows the spectral evolution of the </w:t>
      </w:r>
      <w:r w:rsidR="00540DFE">
        <w:rPr>
          <w:lang w:val="en-GB"/>
        </w:rPr>
        <w:t>transient absorption (TA)</w:t>
      </w:r>
      <w:r w:rsidRPr="00045547">
        <w:rPr>
          <w:lang w:val="en-GB"/>
        </w:rPr>
        <w:t xml:space="preserve"> signal of these blends between 1 to 2000 nanoseconds following initial photoexcitation at 532 nm. </w:t>
      </w:r>
      <w:r w:rsidRPr="00D41143">
        <w:rPr>
          <w:lang w:val="en-GB"/>
        </w:rPr>
        <w:t xml:space="preserve">We note that for all three blends the TA response of P3TEA donor polymer dominates the blend TA signal because the acceptor molecules have much weaker </w:t>
      </w:r>
      <w:r w:rsidR="0000371B" w:rsidRPr="00D41143">
        <w:rPr>
          <w:lang w:val="en-GB"/>
        </w:rPr>
        <w:t>TA cross</w:t>
      </w:r>
      <w:r w:rsidR="00D41143">
        <w:rPr>
          <w:lang w:val="en-GB"/>
        </w:rPr>
        <w:t xml:space="preserve"> </w:t>
      </w:r>
      <w:r w:rsidR="0000371B" w:rsidRPr="00D41143">
        <w:rPr>
          <w:lang w:val="en-GB"/>
        </w:rPr>
        <w:t>sections</w:t>
      </w:r>
      <w:r w:rsidRPr="00D41143">
        <w:rPr>
          <w:lang w:val="en-GB"/>
        </w:rPr>
        <w:t xml:space="preserve"> in this spectral window (see </w:t>
      </w:r>
      <w:r w:rsidR="00A45F2E" w:rsidRPr="00D41143">
        <w:rPr>
          <w:lang w:val="en-GB"/>
        </w:rPr>
        <w:t>Figure S</w:t>
      </w:r>
      <w:r w:rsidR="007A4DEB" w:rsidRPr="00D41143">
        <w:rPr>
          <w:lang w:val="en-GB"/>
        </w:rPr>
        <w:t>1 and S</w:t>
      </w:r>
      <w:r w:rsidR="00A45F2E" w:rsidRPr="00D41143">
        <w:rPr>
          <w:lang w:val="en-GB"/>
        </w:rPr>
        <w:t xml:space="preserve">2 in </w:t>
      </w:r>
      <w:r w:rsidR="00856B7F" w:rsidRPr="00D41143">
        <w:rPr>
          <w:lang w:val="en-GB"/>
        </w:rPr>
        <w:t xml:space="preserve">the </w:t>
      </w:r>
      <w:r w:rsidR="00A45F2E" w:rsidRPr="00D41143">
        <w:rPr>
          <w:lang w:val="en-GB"/>
        </w:rPr>
        <w:t>Supporting Information</w:t>
      </w:r>
      <w:r w:rsidRPr="00D41143">
        <w:rPr>
          <w:lang w:val="en-GB"/>
        </w:rPr>
        <w:t>).</w:t>
      </w:r>
      <w:r w:rsidRPr="00045547">
        <w:rPr>
          <w:lang w:val="en-GB"/>
        </w:rPr>
        <w:t xml:space="preserve"> At 1 ns, the TA signal of all three blends involve a positive ground-state bleach (GSB) feature that resembles the polymer absorption and a negative photoinduced absorption (PA) feature above ~720 nm (see </w:t>
      </w:r>
      <w:r w:rsidR="00A02838" w:rsidRPr="00045547">
        <w:rPr>
          <w:lang w:val="en-GB"/>
        </w:rPr>
        <w:t>Figure</w:t>
      </w:r>
      <w:r w:rsidRPr="00045547">
        <w:rPr>
          <w:lang w:val="en-GB"/>
        </w:rPr>
        <w:t xml:space="preserve"> 2a-c). </w:t>
      </w:r>
      <w:r w:rsidR="00527CBF">
        <w:rPr>
          <w:lang w:val="en-GB"/>
        </w:rPr>
        <w:t xml:space="preserve">Our </w:t>
      </w:r>
      <w:r w:rsidR="00E01B8B">
        <w:rPr>
          <w:lang w:val="en-GB"/>
        </w:rPr>
        <w:t xml:space="preserve">previous results </w:t>
      </w:r>
      <w:r w:rsidRPr="00045547">
        <w:rPr>
          <w:lang w:val="en-GB"/>
        </w:rPr>
        <w:t xml:space="preserve">indicate that </w:t>
      </w:r>
      <w:r w:rsidR="00E01B8B">
        <w:rPr>
          <w:lang w:val="en-GB"/>
        </w:rPr>
        <w:t xml:space="preserve">all </w:t>
      </w:r>
      <w:r w:rsidR="00BF3C80">
        <w:rPr>
          <w:lang w:val="en-GB"/>
        </w:rPr>
        <w:t xml:space="preserve">conversions from excitons to charges </w:t>
      </w:r>
      <w:r w:rsidR="00E16C76">
        <w:rPr>
          <w:lang w:val="en-GB"/>
        </w:rPr>
        <w:t>occur within 1 ns</w:t>
      </w:r>
      <w:r w:rsidR="003E071C">
        <w:rPr>
          <w:lang w:val="en-GB"/>
        </w:rPr>
        <w:t xml:space="preserve"> </w:t>
      </w:r>
      <w:r w:rsidR="003E071C">
        <w:rPr>
          <w:lang w:val="en-GB"/>
        </w:rPr>
        <w:fldChar w:fldCharType="begin" w:fldLock="1"/>
      </w:r>
      <w:r w:rsidR="005D75E8">
        <w:rPr>
          <w:lang w:val="en-GB"/>
        </w:rPr>
        <w:instrText>ADDIN CSL_CITATION {"citationItems":[{"id":"ITEM-1","itemData":{"DOI":"10.1038/s41467-020-19332-5","ISBN":"4146702019332","ISSN":"2041-1723","abstract":"Organic solar cells based on non-fullerene acceptors can show high charge generation yields despite near-zero donor–acceptor energy offsets to drive charge separation and overcome the mutual Coulomb attraction between electron and hole. Here, we use time-resolved optical spectroscopy to show that free charges in these systems are generated by thermally activated dissociation of interfacial charge-transfer states that occurs over hundreds of picoseconds at room temperature, three orders of magnitude slower than comparable fullerene-based systems. Upon free electron–hole encounters at later times, both charge-transfer states and emissive excitons are regenerated, thus setting up an equilibrium between excitons, charge-transfer states and free charges. Our results suggest that the formation of long-lived and disorder-free charge-transfer states in these systems enables them to operate closely to quasi-thermodynamic conditions with no requirement for energy offsets to drive interfacial charge separation and achieve suppressed non-radiative recombination.","author":[{"dropping-particle":"","family":"Hinrichsen","given":"Ture F.","non-dropping-particle":"","parse-names":false,"suffix":""},{"dropping-particle":"","family":"Chan","given":"Christopher C. S.","non-dropping-particle":"","parse-names":false,"suffix":""},{"dropping-particle":"","family":"Ma","given":"Chao","non-dropping-particle":"","parse-names":false,"suffix":""},{"dropping-particle":"","family":"Paleček","given":"David","non-dropping-particle":"","parse-names":false,"suffix":""},{"dropping-particle":"","family":"Gillett","given":"Alexander","non-dropping-particle":"","parse-names":false,"suffix":""},{"dropping-particle":"","family":"Chen","given":"Shangshang","non-dropping-particle":"","parse-names":false,"suffix":""},{"dropping-particle":"","family":"Zou","given":"Xinhui","non-dropping-particle":"","parse-names":false,"suffix":""},{"dropping-particle":"","family":"Zhang","given":"Guichuan","non-dropping-particle":"","parse-names":false,"suffix":""},{"dropping-particle":"","family":"Yip","given":"Hin-Lap","non-dropping-particle":"","parse-names":false,"suffix":""},{"dropping-particle":"","family":"Wong","given":"Kam Sing","non-dropping-particle":"","parse-names":false,"suffix":""},{"dropping-particle":"","family":"Friend","given":"Richard H.","non-dropping-particle":"","parse-names":false,"suffix":""},{"dropping-particle":"","family":"Yan","given":"He","non-dropping-particle":"","parse-names":false,"suffix":""},{"dropping-particle":"","family":"Rao","given":"Akshay","non-dropping-particle":"","parse-names":false,"suffix":""},{"dropping-particle":"","family":"Chow","given":"Philip C. Y.","non-dropping-particle":"","parse-names":false,"suffix":""}],"container-title":"Nature Communications","id":"ITEM-1","issue":"1","issued":{"date-parts":[["2020","12","5"]]},"page":"5617","title":"Long-lived and disorder-free charge transfer states enable endothermic charge separation in efficient non-fullerene organic solar cells","type":"article-journal","volume":"11"},"uris":["http://www.mendeley.com/documents/?uuid=4811954e-9106-4bc9-bc5d-4fdec12073fa"]},{"id":"ITEM-2","itemData":{"DOI":"10.1002/solr.202000789","ISSN":"2367-198X","author":[{"dropping-particle":"","family":"Ma","given":"Chao","non-dropping-particle":"","parse-names":false,"suffix":""},{"dropping-particle":"","family":"Chan","given":"Christopher C S","non-dropping-particle":"","parse-names":false,"suffix":""},{"dropping-particle":"","family":"Zou","given":"Xinhui","non-dropping-particle":"","parse-names":false,"suffix":""},{"dropping-particle":"","family":"Yu","given":"Han","non-dropping-particle":"","parse-names":false,"suffix":""},{"dropping-particle":"","family":"Zhang","given":"Jianquan","non-dropping-particle":"","parse-names":false,"suffix":""},{"dropping-particle":"","family":"Yan","given":"He","non-dropping-particle":"","parse-names":false,"suffix":""},{"dropping-particle":"","family":"Wong","given":"Kam Sing","non-dropping-particle":"","parse-names":false,"suffix":""},{"dropping-particle":"","family":"Chow","given":"Philip C. Y.","non-dropping-particle":"","parse-names":false,"suffix":""}],"container-title":"Solar RRL","id":"ITEM-2","issue":"4","issued":{"date-parts":[["2021","4","24"]]},"page":"2000789","title":"Unraveling the Temperature Dependence of Exciton Dissociation and Free Charge Generation in Nonfullerene Organic Solar Cells","type":"article-journal","volume":"5"},"uris":["http://www.mendeley.com/documents/?uuid=9dd074ac-c54c-4d19-9c68-06b6c6387127"]}],"mendeley":{"formattedCitation":"&lt;sup&gt;23,28&lt;/sup&gt;","plainTextFormattedCitation":"23,28","previouslyFormattedCitation":"&lt;sup&gt;23,28&lt;/sup&gt;"},"properties":{"noteIndex":0},"schema":"https://github.com/citation-style-language/schema/raw/master/csl-citation.json"}</w:instrText>
      </w:r>
      <w:r w:rsidR="003E071C">
        <w:rPr>
          <w:lang w:val="en-GB"/>
        </w:rPr>
        <w:fldChar w:fldCharType="separate"/>
      </w:r>
      <w:r w:rsidR="005D75E8" w:rsidRPr="005D75E8">
        <w:rPr>
          <w:noProof/>
          <w:vertAlign w:val="superscript"/>
          <w:lang w:val="en-GB"/>
        </w:rPr>
        <w:t>23,28</w:t>
      </w:r>
      <w:r w:rsidR="003E071C">
        <w:rPr>
          <w:lang w:val="en-GB"/>
        </w:rPr>
        <w:fldChar w:fldCharType="end"/>
      </w:r>
      <w:r w:rsidRPr="00045547">
        <w:rPr>
          <w:lang w:val="en-GB"/>
        </w:rPr>
        <w:t>.</w:t>
      </w:r>
    </w:p>
    <w:p w14:paraId="6B717D85" w14:textId="77777777" w:rsidR="005E0230" w:rsidRPr="00045547" w:rsidRDefault="005E0230" w:rsidP="005E0230">
      <w:pPr>
        <w:spacing w:line="480" w:lineRule="auto"/>
        <w:jc w:val="both"/>
        <w:rPr>
          <w:lang w:val="en-GB"/>
        </w:rPr>
      </w:pPr>
    </w:p>
    <w:p w14:paraId="7BE9478E" w14:textId="08968B92" w:rsidR="005E0230" w:rsidRPr="00045547" w:rsidRDefault="005E0230" w:rsidP="005E0230">
      <w:pPr>
        <w:spacing w:line="480" w:lineRule="auto"/>
        <w:jc w:val="both"/>
        <w:rPr>
          <w:lang w:val="en-GB"/>
        </w:rPr>
      </w:pPr>
      <w:r w:rsidRPr="00045547">
        <w:rPr>
          <w:lang w:val="en-GB"/>
        </w:rPr>
        <w:t xml:space="preserve">The signal </w:t>
      </w:r>
      <w:r w:rsidR="00EB4F0F">
        <w:rPr>
          <w:lang w:val="en-GB"/>
        </w:rPr>
        <w:t>intensity</w:t>
      </w:r>
      <w:r w:rsidRPr="00045547">
        <w:rPr>
          <w:lang w:val="en-GB"/>
        </w:rPr>
        <w:t xml:space="preserve"> decreases with increasing delay time in all three blends, indicating that photogenerated charges recombine to the ground state on this timescale. The TA signals in P3TEA:SF-PDI</w:t>
      </w:r>
      <w:r w:rsidRPr="00045547">
        <w:rPr>
          <w:vertAlign w:val="subscript"/>
          <w:lang w:val="en-GB"/>
        </w:rPr>
        <w:t>2</w:t>
      </w:r>
      <w:r w:rsidRPr="00045547">
        <w:rPr>
          <w:lang w:val="en-GB"/>
        </w:rPr>
        <w:t xml:space="preserve"> and P3TEA:di-PDI blends </w:t>
      </w:r>
      <w:r w:rsidR="00E6350A">
        <w:rPr>
          <w:lang w:val="en-GB"/>
        </w:rPr>
        <w:t xml:space="preserve">(Fig. 2a,b) </w:t>
      </w:r>
      <w:r w:rsidRPr="00045547">
        <w:rPr>
          <w:lang w:val="en-GB"/>
        </w:rPr>
        <w:t xml:space="preserve">decay uniformly with no spectral evolution over time (see normalised spectra in </w:t>
      </w:r>
      <w:r w:rsidR="0000371B">
        <w:rPr>
          <w:lang w:val="en-GB"/>
        </w:rPr>
        <w:t xml:space="preserve">the </w:t>
      </w:r>
      <w:r w:rsidRPr="00045547">
        <w:rPr>
          <w:lang w:val="en-GB"/>
        </w:rPr>
        <w:t>inset</w:t>
      </w:r>
      <w:r w:rsidR="0000371B">
        <w:rPr>
          <w:lang w:val="en-GB"/>
        </w:rPr>
        <w:t>s</w:t>
      </w:r>
      <w:r w:rsidRPr="00045547">
        <w:rPr>
          <w:lang w:val="en-GB"/>
        </w:rPr>
        <w:t>), thus indicating that charge recombination events in this blend do not involve the formation of excited states other than those already created at early times (singlet excitons, CTEs and free charges</w:t>
      </w:r>
      <w:r w:rsidR="00B52721">
        <w:rPr>
          <w:lang w:val="en-GB"/>
        </w:rPr>
        <w:t>, see Ref.</w:t>
      </w:r>
      <w:r w:rsidR="00B52721">
        <w:rPr>
          <w:lang w:val="en-GB"/>
        </w:rPr>
        <w:fldChar w:fldCharType="begin" w:fldLock="1"/>
      </w:r>
      <w:r w:rsidR="005D75E8">
        <w:rPr>
          <w:lang w:val="en-GB"/>
        </w:rPr>
        <w:instrText>ADDIN CSL_CITATION {"citationItems":[{"id":"ITEM-1","itemData":{"DOI":"10.1038/s41467-020-19332-5","ISBN":"4146702019332","ISSN":"2041-1723","abstract":"Organic solar cells based on non-fullerene acceptors can show high charge generation yields despite near-zero donor–acceptor energy offsets to drive charge separation and overcome the mutual Coulomb attraction between electron and hole. Here, we use time-resolved optical spectroscopy to show that free charges in these systems are generated by thermally activated dissociation of interfacial charge-transfer states that occurs over hundreds of picoseconds at room temperature, three orders of magnitude slower than comparable fullerene-based systems. Upon free electron–hole encounters at later times, both charge-transfer states and emissive excitons are regenerated, thus setting up an equilibrium between excitons, charge-transfer states and free charges. Our results suggest that the formation of long-lived and disorder-free charge-transfer states in these systems enables them to operate closely to quasi-thermodynamic conditions with no requirement for energy offsets to drive interfacial charge separation and achieve suppressed non-radiative recombination.","author":[{"dropping-particle":"","family":"Hinrichsen","given":"Ture F.","non-dropping-particle":"","parse-names":false,"suffix":""},{"dropping-particle":"","family":"Chan","given":"Christopher C. S.","non-dropping-particle":"","parse-names":false,"suffix":""},{"dropping-particle":"","family":"Ma","given":"Chao","non-dropping-particle":"","parse-names":false,"suffix":""},{"dropping-particle":"","family":"Paleček","given":"David","non-dropping-particle":"","parse-names":false,"suffix":""},{"dropping-particle":"","family":"Gillett","given":"Alexander","non-dropping-particle":"","parse-names":false,"suffix":""},{"dropping-particle":"","family":"Chen","given":"Shangshang","non-dropping-particle":"","parse-names":false,"suffix":""},{"dropping-particle":"","family":"Zou","given":"Xinhui","non-dropping-particle":"","parse-names":false,"suffix":""},{"dropping-particle":"","family":"Zhang","given":"Guichuan","non-dropping-particle":"","parse-names":false,"suffix":""},{"dropping-particle":"","family":"Yip","given":"Hin-Lap","non-dropping-particle":"","parse-names":false,"suffix":""},{"dropping-particle":"","family":"Wong","given":"Kam Sing","non-dropping-particle":"","parse-names":false,"suffix":""},{"dropping-particle":"","family":"Friend","given":"Richard H.","non-dropping-particle":"","parse-names":false,"suffix":""},{"dropping-particle":"","family":"Yan","given":"He","non-dropping-particle":"","parse-names":false,"suffix":""},{"dropping-particle":"","family":"Rao","given":"Akshay","non-dropping-particle":"","parse-names":false,"suffix":""},{"dropping-particle":"","family":"Chow","given":"Philip C. Y.","non-dropping-particle":"","parse-names":false,"suffix":""}],"container-title":"Nature Communications","id":"ITEM-1","issue":"1","issued":{"date-parts":[["2020","12","5"]]},"page":"5617","title":"Long-lived and disorder-free charge transfer states enable endothermic charge separation in efficient non-fullerene organic solar cells","type":"article-journal","volume":"11"},"uris":["http://www.mendeley.com/documents/?uuid=4811954e-9106-4bc9-bc5d-4fdec12073fa"]}],"mendeley":{"formattedCitation":"&lt;sup&gt;23&lt;/sup&gt;","plainTextFormattedCitation":"23","previouslyFormattedCitation":"&lt;sup&gt;23&lt;/sup&gt;"},"properties":{"noteIndex":0},"schema":"https://github.com/citation-style-language/schema/raw/master/csl-citation.json"}</w:instrText>
      </w:r>
      <w:r w:rsidR="00B52721">
        <w:rPr>
          <w:lang w:val="en-GB"/>
        </w:rPr>
        <w:fldChar w:fldCharType="separate"/>
      </w:r>
      <w:r w:rsidR="005D75E8" w:rsidRPr="005D75E8">
        <w:rPr>
          <w:noProof/>
          <w:vertAlign w:val="superscript"/>
          <w:lang w:val="en-GB"/>
        </w:rPr>
        <w:t>23</w:t>
      </w:r>
      <w:r w:rsidR="00B52721">
        <w:rPr>
          <w:lang w:val="en-GB"/>
        </w:rPr>
        <w:fldChar w:fldCharType="end"/>
      </w:r>
      <w:r w:rsidRPr="00045547">
        <w:rPr>
          <w:lang w:val="en-GB"/>
        </w:rPr>
        <w:t>)</w:t>
      </w:r>
      <w:r w:rsidR="00B52721">
        <w:rPr>
          <w:lang w:val="en-GB"/>
        </w:rPr>
        <w:t xml:space="preserve">. </w:t>
      </w:r>
      <w:r w:rsidRPr="00045547">
        <w:rPr>
          <w:lang w:val="en-GB"/>
        </w:rPr>
        <w:lastRenderedPageBreak/>
        <w:t>However, we</w:t>
      </w:r>
      <w:r w:rsidR="00DE01EC">
        <w:rPr>
          <w:lang w:val="en-GB"/>
        </w:rPr>
        <w:t xml:space="preserve"> do</w:t>
      </w:r>
      <w:r w:rsidRPr="00045547">
        <w:rPr>
          <w:lang w:val="en-GB"/>
        </w:rPr>
        <w:t xml:space="preserve"> observe clear spectral shifting in P3TEA:PCBM </w:t>
      </w:r>
      <w:r w:rsidR="00E6350A">
        <w:rPr>
          <w:lang w:val="en-GB"/>
        </w:rPr>
        <w:t xml:space="preserve">(Fig. 2c) </w:t>
      </w:r>
      <w:r w:rsidRPr="00045547">
        <w:rPr>
          <w:lang w:val="en-GB"/>
        </w:rPr>
        <w:t xml:space="preserve">with increasing delay time. As shown in the inset of </w:t>
      </w:r>
      <w:r w:rsidR="00A02838" w:rsidRPr="00045547">
        <w:rPr>
          <w:lang w:val="en-GB"/>
        </w:rPr>
        <w:t>Fig</w:t>
      </w:r>
      <w:r w:rsidR="00E6350A">
        <w:rPr>
          <w:lang w:val="en-GB"/>
        </w:rPr>
        <w:t>.</w:t>
      </w:r>
      <w:r w:rsidRPr="00045547">
        <w:rPr>
          <w:lang w:val="en-GB"/>
        </w:rPr>
        <w:t xml:space="preserve"> 2c, the TA signal of P3TEA:PCBM significantly deviates from its initial spectral response from ~20 ns onwards, showing a slightly red-shifted peak with reduced </w:t>
      </w:r>
      <w:r w:rsidR="00911FCC">
        <w:rPr>
          <w:lang w:val="en-GB"/>
        </w:rPr>
        <w:t>GSB</w:t>
      </w:r>
      <w:r w:rsidRPr="00045547">
        <w:rPr>
          <w:lang w:val="en-GB"/>
        </w:rPr>
        <w:t xml:space="preserve"> response below 680 nm and lower PA signal above 730 nm. This spectral shape is preserved until the signal intensity falls to zero at ~2 </w:t>
      </w:r>
      <w:r w:rsidR="00FB289E">
        <w:rPr>
          <w:lang w:val="en-GB"/>
        </w:rPr>
        <w:t>µ</w:t>
      </w:r>
      <w:r w:rsidRPr="00045547">
        <w:rPr>
          <w:lang w:val="en-GB"/>
        </w:rPr>
        <w:t>s.</w:t>
      </w:r>
    </w:p>
    <w:p w14:paraId="3F6B16AF" w14:textId="77777777" w:rsidR="005E0230" w:rsidRPr="00045547" w:rsidRDefault="005E0230" w:rsidP="005E0230">
      <w:pPr>
        <w:spacing w:line="480" w:lineRule="auto"/>
        <w:jc w:val="both"/>
        <w:rPr>
          <w:lang w:val="en-GB"/>
        </w:rPr>
      </w:pPr>
    </w:p>
    <w:p w14:paraId="0A521A69" w14:textId="77777777" w:rsidR="005E0230" w:rsidRPr="00045547" w:rsidRDefault="005E0230" w:rsidP="005E0230">
      <w:pPr>
        <w:spacing w:line="480" w:lineRule="auto"/>
        <w:jc w:val="both"/>
        <w:rPr>
          <w:lang w:val="en-GB"/>
        </w:rPr>
      </w:pPr>
      <w:r w:rsidRPr="00045547">
        <w:rPr>
          <w:lang w:val="en-GB"/>
        </w:rPr>
        <w:t xml:space="preserve">We then explore the effect of excitation density on the TA response. Figure 2d show the normalised TA spectra </w:t>
      </w:r>
      <w:r w:rsidR="00471B98">
        <w:rPr>
          <w:lang w:val="en-GB"/>
        </w:rPr>
        <w:t xml:space="preserve">of P3TEA:PCBM </w:t>
      </w:r>
      <w:r w:rsidRPr="00045547">
        <w:rPr>
          <w:lang w:val="en-GB"/>
        </w:rPr>
        <w:t>integrated between 1-2000 ns at various excitation fluences</w:t>
      </w:r>
      <w:r w:rsidR="003E2E60">
        <w:rPr>
          <w:lang w:val="en-GB"/>
        </w:rPr>
        <w:t xml:space="preserve"> (from 2 to 16 µJ cm</w:t>
      </w:r>
      <w:r w:rsidR="003E2E60">
        <w:rPr>
          <w:vertAlign w:val="superscript"/>
          <w:lang w:val="en-GB"/>
        </w:rPr>
        <w:t>-2</w:t>
      </w:r>
      <w:r w:rsidR="00401065">
        <w:rPr>
          <w:vertAlign w:val="subscript"/>
          <w:lang w:val="en-GB"/>
        </w:rPr>
        <w:t xml:space="preserve"> </w:t>
      </w:r>
      <w:r w:rsidR="00401065">
        <w:rPr>
          <w:lang w:val="en-GB"/>
        </w:rPr>
        <w:t>per pulse</w:t>
      </w:r>
      <w:r w:rsidR="003E2E60">
        <w:rPr>
          <w:lang w:val="en-GB"/>
        </w:rPr>
        <w:t>).</w:t>
      </w:r>
      <w:r w:rsidRPr="00045547">
        <w:rPr>
          <w:lang w:val="en-GB"/>
        </w:rPr>
        <w:t xml:space="preserve"> </w:t>
      </w:r>
      <w:r w:rsidR="003E2E60">
        <w:rPr>
          <w:lang w:val="en-GB"/>
        </w:rPr>
        <w:t>W</w:t>
      </w:r>
      <w:r w:rsidRPr="00045547">
        <w:rPr>
          <w:lang w:val="en-GB"/>
        </w:rPr>
        <w:t>e find that the extent of the aforementioned spectral shifting in P3TEA:PCBM is more prominent at higher excitation fluence</w:t>
      </w:r>
      <w:r w:rsidR="003E2E60">
        <w:rPr>
          <w:lang w:val="en-GB"/>
        </w:rPr>
        <w:t>s</w:t>
      </w:r>
      <w:r w:rsidR="00F7538D">
        <w:rPr>
          <w:lang w:val="en-GB"/>
        </w:rPr>
        <w:t>, indicating that this effect scales with increasing carrier density</w:t>
      </w:r>
      <w:r w:rsidR="003E2E60">
        <w:rPr>
          <w:lang w:val="en-GB"/>
        </w:rPr>
        <w:t>.</w:t>
      </w:r>
      <w:r w:rsidRPr="00045547">
        <w:rPr>
          <w:lang w:val="en-GB"/>
        </w:rPr>
        <w:t xml:space="preserve"> </w:t>
      </w:r>
      <w:r w:rsidR="003E2E60">
        <w:rPr>
          <w:lang w:val="en-GB"/>
        </w:rPr>
        <w:t>On the other hand, w</w:t>
      </w:r>
      <w:r w:rsidR="003E2E60" w:rsidRPr="00045547">
        <w:rPr>
          <w:lang w:val="en-GB"/>
        </w:rPr>
        <w:t xml:space="preserve">e find </w:t>
      </w:r>
      <w:r w:rsidR="003E2E60">
        <w:rPr>
          <w:lang w:val="en-GB"/>
        </w:rPr>
        <w:t xml:space="preserve">almost no </w:t>
      </w:r>
      <w:r w:rsidR="003E2E60" w:rsidRPr="00045547">
        <w:rPr>
          <w:lang w:val="en-GB"/>
        </w:rPr>
        <w:t>fluence dependence for the two NFA-based blends</w:t>
      </w:r>
      <w:r w:rsidR="003E2E60">
        <w:rPr>
          <w:lang w:val="en-GB"/>
        </w:rPr>
        <w:t xml:space="preserve"> (see Fig. S3 in Supporting Information)</w:t>
      </w:r>
      <w:r w:rsidR="003E2E60" w:rsidRPr="00045547">
        <w:rPr>
          <w:lang w:val="en-GB"/>
        </w:rPr>
        <w:t xml:space="preserve">. </w:t>
      </w:r>
      <w:r w:rsidRPr="00045547">
        <w:rPr>
          <w:lang w:val="en-GB"/>
        </w:rPr>
        <w:t>Th</w:t>
      </w:r>
      <w:r w:rsidR="00EB1002">
        <w:rPr>
          <w:lang w:val="en-GB"/>
        </w:rPr>
        <w:t>ese</w:t>
      </w:r>
      <w:r w:rsidRPr="00045547">
        <w:rPr>
          <w:lang w:val="en-GB"/>
        </w:rPr>
        <w:t xml:space="preserve"> </w:t>
      </w:r>
      <w:r w:rsidR="00EB1002">
        <w:rPr>
          <w:lang w:val="en-GB"/>
        </w:rPr>
        <w:t xml:space="preserve">results </w:t>
      </w:r>
      <w:r w:rsidRPr="00045547">
        <w:rPr>
          <w:lang w:val="en-GB"/>
        </w:rPr>
        <w:t xml:space="preserve">provide evidence for </w:t>
      </w:r>
      <w:r w:rsidR="003E2E60">
        <w:rPr>
          <w:lang w:val="en-GB"/>
        </w:rPr>
        <w:t xml:space="preserve">the </w:t>
      </w:r>
      <w:r w:rsidRPr="00045547">
        <w:rPr>
          <w:lang w:val="en-GB"/>
        </w:rPr>
        <w:t>generation of a new excited state upon bimolecular charge recombination events in the fullerene blend</w:t>
      </w:r>
      <w:r w:rsidR="00EB1002">
        <w:rPr>
          <w:lang w:val="en-GB"/>
        </w:rPr>
        <w:t xml:space="preserve"> but not in the two </w:t>
      </w:r>
      <w:r w:rsidR="00EB1002" w:rsidRPr="00045547">
        <w:rPr>
          <w:lang w:val="en-GB"/>
        </w:rPr>
        <w:t>NFA-</w:t>
      </w:r>
      <w:r w:rsidR="00E82484">
        <w:rPr>
          <w:lang w:val="en-GB"/>
        </w:rPr>
        <w:t xml:space="preserve">based </w:t>
      </w:r>
      <w:r w:rsidR="00EB1002" w:rsidRPr="00045547">
        <w:rPr>
          <w:lang w:val="en-GB"/>
        </w:rPr>
        <w:t>blends</w:t>
      </w:r>
      <w:r w:rsidRPr="00045547">
        <w:rPr>
          <w:lang w:val="en-GB"/>
        </w:rPr>
        <w:t>.</w:t>
      </w:r>
    </w:p>
    <w:p w14:paraId="0ACBD1AA" w14:textId="77777777" w:rsidR="005E0230" w:rsidRPr="00045547" w:rsidRDefault="005E0230" w:rsidP="005E0230">
      <w:pPr>
        <w:spacing w:line="480" w:lineRule="auto"/>
        <w:jc w:val="both"/>
        <w:rPr>
          <w:lang w:val="en-GB" w:eastAsia="zh-CN"/>
        </w:rPr>
      </w:pPr>
    </w:p>
    <w:p w14:paraId="48371DFB" w14:textId="404C5122" w:rsidR="005E0230" w:rsidRDefault="005E0230" w:rsidP="005E0230">
      <w:pPr>
        <w:spacing w:line="480" w:lineRule="auto"/>
        <w:jc w:val="both"/>
        <w:rPr>
          <w:lang w:val="en-GB" w:eastAsia="zh-CN"/>
        </w:rPr>
      </w:pPr>
      <w:r w:rsidRPr="00045547">
        <w:rPr>
          <w:lang w:val="en-GB" w:eastAsia="zh-CN"/>
        </w:rPr>
        <w:t>Numerical spectral analysis shows that the interplay between two spectral signals are responsible for the spectral evolution observed in the P3TEA:PCBM blend. Figure 3a show</w:t>
      </w:r>
      <w:r w:rsidR="004E3A28">
        <w:rPr>
          <w:lang w:val="en-GB" w:eastAsia="zh-CN"/>
        </w:rPr>
        <w:t>s</w:t>
      </w:r>
      <w:r w:rsidRPr="00045547">
        <w:rPr>
          <w:lang w:val="en-GB" w:eastAsia="zh-CN"/>
        </w:rPr>
        <w:t xml:space="preserve"> the two </w:t>
      </w:r>
      <w:r w:rsidR="004E3A28">
        <w:rPr>
          <w:lang w:val="en-GB" w:eastAsia="zh-CN"/>
        </w:rPr>
        <w:t xml:space="preserve">numerically </w:t>
      </w:r>
      <w:r w:rsidRPr="00045547">
        <w:rPr>
          <w:lang w:val="en-GB" w:eastAsia="zh-CN"/>
        </w:rPr>
        <w:t>extracted TA spectra</w:t>
      </w:r>
      <w:r w:rsidR="004E3A28">
        <w:rPr>
          <w:lang w:val="en-GB" w:eastAsia="zh-CN"/>
        </w:rPr>
        <w:t>, and their kinetics are shown in Fig</w:t>
      </w:r>
      <w:r w:rsidR="00F64554">
        <w:rPr>
          <w:lang w:val="en-GB" w:eastAsia="zh-CN"/>
        </w:rPr>
        <w:t>.</w:t>
      </w:r>
      <w:r w:rsidR="004E3A28">
        <w:rPr>
          <w:lang w:val="en-GB" w:eastAsia="zh-CN"/>
        </w:rPr>
        <w:t xml:space="preserve"> 3b</w:t>
      </w:r>
      <w:r w:rsidRPr="00045547">
        <w:rPr>
          <w:lang w:val="en-GB" w:eastAsia="zh-CN"/>
        </w:rPr>
        <w:t xml:space="preserve">. The first spectral signal is the polymer polaron (charge) signal that we </w:t>
      </w:r>
      <w:r w:rsidR="004E3A28">
        <w:rPr>
          <w:lang w:val="en-GB" w:eastAsia="zh-CN"/>
        </w:rPr>
        <w:t xml:space="preserve">also </w:t>
      </w:r>
      <w:r w:rsidRPr="00045547">
        <w:rPr>
          <w:lang w:val="en-GB" w:eastAsia="zh-CN"/>
        </w:rPr>
        <w:t>measure</w:t>
      </w:r>
      <w:r w:rsidR="004E3A28">
        <w:rPr>
          <w:lang w:val="en-GB" w:eastAsia="zh-CN"/>
        </w:rPr>
        <w:t>d</w:t>
      </w:r>
      <w:r w:rsidRPr="00045547">
        <w:rPr>
          <w:lang w:val="en-GB" w:eastAsia="zh-CN"/>
        </w:rPr>
        <w:t xml:space="preserve"> in the two NFA-based blends</w:t>
      </w:r>
      <w:r w:rsidR="000D2BAD">
        <w:rPr>
          <w:lang w:val="en-GB" w:eastAsia="zh-CN"/>
        </w:rPr>
        <w:t xml:space="preserve"> </w:t>
      </w:r>
      <w:r w:rsidR="000D2BAD" w:rsidRPr="00D41143">
        <w:rPr>
          <w:lang w:val="en-GB" w:eastAsia="zh-CN"/>
        </w:rPr>
        <w:t>(blue line in Fig. 3a</w:t>
      </w:r>
      <w:r w:rsidR="00FD579B" w:rsidRPr="00D41143">
        <w:rPr>
          <w:lang w:val="en-GB" w:eastAsia="zh-CN"/>
        </w:rPr>
        <w:t>,b</w:t>
      </w:r>
      <w:r w:rsidR="000D2BAD" w:rsidRPr="00D41143">
        <w:rPr>
          <w:lang w:val="en-GB" w:eastAsia="zh-CN"/>
        </w:rPr>
        <w:t>)</w:t>
      </w:r>
      <w:r w:rsidRPr="00D41143">
        <w:rPr>
          <w:lang w:val="en-GB" w:eastAsia="zh-CN"/>
        </w:rPr>
        <w:t xml:space="preserve">. </w:t>
      </w:r>
      <w:r w:rsidR="004E3A28" w:rsidRPr="00D41143">
        <w:rPr>
          <w:lang w:val="en-GB" w:eastAsia="zh-CN"/>
        </w:rPr>
        <w:t xml:space="preserve">The kinetics of this extracted signal falls to zero by ~100 ns, and this timescale corresponds to the charge lifetime in P3TEA:PCBM. </w:t>
      </w:r>
      <w:r w:rsidRPr="00D41143">
        <w:rPr>
          <w:lang w:val="en-GB" w:eastAsia="zh-CN"/>
        </w:rPr>
        <w:t xml:space="preserve">The second feature </w:t>
      </w:r>
      <w:r w:rsidR="000D2BAD" w:rsidRPr="00D41143">
        <w:rPr>
          <w:lang w:val="en-GB" w:eastAsia="zh-CN"/>
        </w:rPr>
        <w:t>(red line in Fig. 3a</w:t>
      </w:r>
      <w:r w:rsidR="00FD579B" w:rsidRPr="00D41143">
        <w:rPr>
          <w:lang w:val="en-GB" w:eastAsia="zh-CN"/>
        </w:rPr>
        <w:t>,b</w:t>
      </w:r>
      <w:r w:rsidR="000D2BAD" w:rsidRPr="00D41143">
        <w:rPr>
          <w:lang w:val="en-GB" w:eastAsia="zh-CN"/>
        </w:rPr>
        <w:t xml:space="preserve">) </w:t>
      </w:r>
      <w:r w:rsidRPr="00D41143">
        <w:rPr>
          <w:lang w:val="en-GB" w:eastAsia="zh-CN"/>
        </w:rPr>
        <w:t xml:space="preserve">is </w:t>
      </w:r>
      <w:r w:rsidR="000D2BAD" w:rsidRPr="00D41143">
        <w:rPr>
          <w:lang w:val="en-GB" w:eastAsia="zh-CN"/>
        </w:rPr>
        <w:t xml:space="preserve">slighted </w:t>
      </w:r>
      <w:r w:rsidRPr="00D41143">
        <w:rPr>
          <w:lang w:val="en-GB" w:eastAsia="zh-CN"/>
        </w:rPr>
        <w:t>red-shifted with respect to the charge signal</w:t>
      </w:r>
      <w:r w:rsidR="000F6DB3" w:rsidRPr="00D41143">
        <w:rPr>
          <w:lang w:val="en-GB" w:eastAsia="zh-CN"/>
        </w:rPr>
        <w:t xml:space="preserve"> (peak at ~</w:t>
      </w:r>
      <w:r w:rsidR="00026692" w:rsidRPr="00D41143">
        <w:rPr>
          <w:lang w:val="en-GB" w:eastAsia="zh-CN"/>
        </w:rPr>
        <w:t>695</w:t>
      </w:r>
      <w:r w:rsidR="000F6DB3" w:rsidRPr="00D41143">
        <w:rPr>
          <w:lang w:val="en-GB" w:eastAsia="zh-CN"/>
        </w:rPr>
        <w:t xml:space="preserve"> nm compared to ~68</w:t>
      </w:r>
      <w:r w:rsidR="00026692" w:rsidRPr="00D41143">
        <w:rPr>
          <w:lang w:val="en-GB" w:eastAsia="zh-CN"/>
        </w:rPr>
        <w:t>5</w:t>
      </w:r>
      <w:r w:rsidR="000F6DB3" w:rsidRPr="00D41143">
        <w:rPr>
          <w:lang w:val="en-GB" w:eastAsia="zh-CN"/>
        </w:rPr>
        <w:t xml:space="preserve"> nm)</w:t>
      </w:r>
      <w:r w:rsidRPr="00D41143">
        <w:rPr>
          <w:lang w:val="en-GB" w:eastAsia="zh-CN"/>
        </w:rPr>
        <w:t xml:space="preserve">, </w:t>
      </w:r>
      <w:r w:rsidR="004E3A28" w:rsidRPr="00D41143">
        <w:rPr>
          <w:lang w:val="en-GB" w:eastAsia="zh-CN"/>
        </w:rPr>
        <w:t xml:space="preserve">and its signal intensity </w:t>
      </w:r>
      <w:r w:rsidRPr="00D41143">
        <w:rPr>
          <w:lang w:val="en-GB" w:eastAsia="zh-CN"/>
        </w:rPr>
        <w:t xml:space="preserve">grows </w:t>
      </w:r>
      <w:r w:rsidR="004E3A28" w:rsidRPr="00D41143">
        <w:rPr>
          <w:lang w:val="en-GB" w:eastAsia="zh-CN"/>
        </w:rPr>
        <w:t>up to ~10</w:t>
      </w:r>
      <w:r w:rsidRPr="00D41143">
        <w:rPr>
          <w:lang w:val="en-GB" w:eastAsia="zh-CN"/>
        </w:rPr>
        <w:t xml:space="preserve"> ns and then slowly </w:t>
      </w:r>
      <w:r w:rsidR="004E3A28" w:rsidRPr="00D41143">
        <w:rPr>
          <w:lang w:val="en-GB" w:eastAsia="zh-CN"/>
        </w:rPr>
        <w:t>decay to</w:t>
      </w:r>
      <w:r w:rsidR="004E3A28">
        <w:rPr>
          <w:lang w:val="en-GB" w:eastAsia="zh-CN"/>
        </w:rPr>
        <w:t xml:space="preserve"> </w:t>
      </w:r>
      <w:r w:rsidRPr="00045547">
        <w:rPr>
          <w:lang w:val="en-GB" w:eastAsia="zh-CN"/>
        </w:rPr>
        <w:t>zero at ~2</w:t>
      </w:r>
      <w:r w:rsidR="007E70B1">
        <w:rPr>
          <w:lang w:val="en-GB" w:eastAsia="zh-CN"/>
        </w:rPr>
        <w:t xml:space="preserve"> µs</w:t>
      </w:r>
      <w:r w:rsidRPr="00045547">
        <w:rPr>
          <w:lang w:val="en-GB" w:eastAsia="zh-CN"/>
        </w:rPr>
        <w:t xml:space="preserve">, outliving the charges. We assign the second feature to triplet excitons </w:t>
      </w:r>
      <w:r w:rsidR="00AC33F8">
        <w:rPr>
          <w:lang w:val="en-GB" w:eastAsia="zh-CN"/>
        </w:rPr>
        <w:t>of</w:t>
      </w:r>
      <w:r w:rsidRPr="00045547">
        <w:rPr>
          <w:lang w:val="en-GB" w:eastAsia="zh-CN"/>
        </w:rPr>
        <w:t xml:space="preserve"> </w:t>
      </w:r>
      <w:r w:rsidR="00AC33F8">
        <w:rPr>
          <w:lang w:val="en-GB" w:eastAsia="zh-CN"/>
        </w:rPr>
        <w:t xml:space="preserve">P3TEA </w:t>
      </w:r>
      <w:r w:rsidRPr="00045547">
        <w:rPr>
          <w:lang w:val="en-GB" w:eastAsia="zh-CN"/>
        </w:rPr>
        <w:t xml:space="preserve">polymer based on </w:t>
      </w:r>
      <w:r w:rsidR="00351789">
        <w:rPr>
          <w:lang w:val="en-GB" w:eastAsia="zh-CN"/>
        </w:rPr>
        <w:t>three</w:t>
      </w:r>
      <w:r w:rsidRPr="00045547">
        <w:rPr>
          <w:lang w:val="en-GB" w:eastAsia="zh-CN"/>
        </w:rPr>
        <w:t xml:space="preserve"> reasons</w:t>
      </w:r>
      <w:r w:rsidR="003F210E">
        <w:rPr>
          <w:lang w:val="en-GB" w:eastAsia="zh-CN"/>
        </w:rPr>
        <w:t>:</w:t>
      </w:r>
      <w:r w:rsidRPr="00045547">
        <w:rPr>
          <w:lang w:val="en-GB" w:eastAsia="zh-CN"/>
        </w:rPr>
        <w:t xml:space="preserve"> Firstly, the </w:t>
      </w:r>
      <w:r w:rsidR="00095DE3">
        <w:rPr>
          <w:lang w:val="en-GB" w:eastAsia="zh-CN"/>
        </w:rPr>
        <w:t xml:space="preserve">growth </w:t>
      </w:r>
      <w:r w:rsidRPr="00045547">
        <w:rPr>
          <w:lang w:val="en-GB" w:eastAsia="zh-CN"/>
        </w:rPr>
        <w:t xml:space="preserve">of this </w:t>
      </w:r>
      <w:r w:rsidR="00CA36D0">
        <w:rPr>
          <w:lang w:val="en-GB" w:eastAsia="zh-CN"/>
        </w:rPr>
        <w:t xml:space="preserve">signal </w:t>
      </w:r>
      <w:r w:rsidRPr="00045547">
        <w:rPr>
          <w:lang w:val="en-GB" w:eastAsia="zh-CN"/>
        </w:rPr>
        <w:t xml:space="preserve">correlates with the decay of charges and scales </w:t>
      </w:r>
      <w:r w:rsidR="00B443B0">
        <w:rPr>
          <w:lang w:val="en-GB" w:eastAsia="zh-CN"/>
        </w:rPr>
        <w:t xml:space="preserve">in intensity </w:t>
      </w:r>
      <w:r w:rsidRPr="00045547">
        <w:rPr>
          <w:lang w:val="en-GB" w:eastAsia="zh-CN"/>
        </w:rPr>
        <w:t xml:space="preserve">with excitation fluence, indicating that it is </w:t>
      </w:r>
      <w:r w:rsidR="002C415C">
        <w:rPr>
          <w:lang w:val="en-GB" w:eastAsia="zh-CN"/>
        </w:rPr>
        <w:t xml:space="preserve">caused by </w:t>
      </w:r>
      <w:r w:rsidR="00095DE3">
        <w:rPr>
          <w:lang w:val="en-GB" w:eastAsia="zh-CN"/>
        </w:rPr>
        <w:lastRenderedPageBreak/>
        <w:t xml:space="preserve">bimolecular </w:t>
      </w:r>
      <w:r w:rsidR="00B443B0">
        <w:rPr>
          <w:lang w:val="en-GB" w:eastAsia="zh-CN"/>
        </w:rPr>
        <w:t xml:space="preserve">charge </w:t>
      </w:r>
      <w:r w:rsidRPr="00045547">
        <w:rPr>
          <w:lang w:val="en-GB" w:eastAsia="zh-CN"/>
        </w:rPr>
        <w:t>recombination</w:t>
      </w:r>
      <w:r w:rsidR="008068B3">
        <w:rPr>
          <w:lang w:val="en-GB" w:eastAsia="zh-CN"/>
        </w:rPr>
        <w:t xml:space="preserve"> (see </w:t>
      </w:r>
      <w:r w:rsidR="002103D9">
        <w:rPr>
          <w:lang w:val="en-GB" w:eastAsia="zh-CN"/>
        </w:rPr>
        <w:t xml:space="preserve">Fig. 2d and </w:t>
      </w:r>
      <w:r w:rsidR="008068B3">
        <w:rPr>
          <w:lang w:val="en-GB" w:eastAsia="zh-CN"/>
        </w:rPr>
        <w:t>Fig. S4 in the Supporting Information)</w:t>
      </w:r>
      <w:r w:rsidRPr="00045547">
        <w:rPr>
          <w:lang w:val="en-GB" w:eastAsia="zh-CN"/>
        </w:rPr>
        <w:t xml:space="preserve">. This result agrees with previous </w:t>
      </w:r>
      <w:r w:rsidR="00B443B0">
        <w:rPr>
          <w:lang w:val="en-GB" w:eastAsia="zh-CN"/>
        </w:rPr>
        <w:t xml:space="preserve">reports </w:t>
      </w:r>
      <w:r w:rsidR="008A7848">
        <w:rPr>
          <w:lang w:val="en-GB" w:eastAsia="zh-CN"/>
        </w:rPr>
        <w:t>that show</w:t>
      </w:r>
      <w:r w:rsidR="00A510B5">
        <w:rPr>
          <w:lang w:val="en-GB" w:eastAsia="zh-CN"/>
        </w:rPr>
        <w:t xml:space="preserve"> </w:t>
      </w:r>
      <w:r w:rsidRPr="00045547">
        <w:rPr>
          <w:lang w:val="en-GB" w:eastAsia="zh-CN"/>
        </w:rPr>
        <w:t xml:space="preserve">bimolecular </w:t>
      </w:r>
      <w:r w:rsidR="008A7848">
        <w:rPr>
          <w:lang w:val="en-GB" w:eastAsia="zh-CN"/>
        </w:rPr>
        <w:t xml:space="preserve">charge encounters lead to formation of local </w:t>
      </w:r>
      <w:r w:rsidR="00A510B5">
        <w:rPr>
          <w:lang w:val="en-GB" w:eastAsia="zh-CN"/>
        </w:rPr>
        <w:t xml:space="preserve">triplet excitons </w:t>
      </w:r>
      <w:r w:rsidRPr="00045547">
        <w:rPr>
          <w:lang w:val="en-GB" w:eastAsia="zh-CN"/>
        </w:rPr>
        <w:t xml:space="preserve">in </w:t>
      </w:r>
      <w:r w:rsidR="001F1528">
        <w:rPr>
          <w:lang w:val="en-GB" w:eastAsia="zh-CN"/>
        </w:rPr>
        <w:t>OPV</w:t>
      </w:r>
      <w:r w:rsidRPr="00045547">
        <w:rPr>
          <w:lang w:val="en-GB" w:eastAsia="zh-CN"/>
        </w:rPr>
        <w:t xml:space="preserve"> blends involving fullerene acceptors</w:t>
      </w:r>
      <w:r w:rsidR="00161887">
        <w:rPr>
          <w:lang w:val="en-GB" w:eastAsia="zh-CN"/>
        </w:rPr>
        <w:t xml:space="preserve"> </w:t>
      </w:r>
      <w:r w:rsidR="00161887">
        <w:rPr>
          <w:lang w:val="en-GB" w:eastAsia="zh-CN"/>
        </w:rPr>
        <w:fldChar w:fldCharType="begin" w:fldLock="1"/>
      </w:r>
      <w:r w:rsidR="00B50CC7">
        <w:rPr>
          <w:lang w:val="en-GB" w:eastAsia="zh-CN"/>
        </w:rPr>
        <w:instrText>ADDIN CSL_CITATION {"citationItems":[{"id":"ITEM-1","itemData":{"DOI":"10.1038/nature12339","ISBN":"0028-0836","ISSN":"1476-4687","PMID":"23925118","abstract":"In biological complexes, cascade structures promote the spatial separation of photogenerated electrons and holes, preventing their recombination. In contrast, the photogenerated excitons in organic photovoltaic cells are dissociated at a single donor-acceptor heterojunction formed within a de-mixed blend of the donor and acceptor semiconductors. The nanoscale morphology and high charge densities give a high rate of electron-hole encounters, which should in principle result in the formation of spin-triplet excitons, as in organic light-emitting diodes. Although organic photovoltaic cells would have poor quantum efficiencies if every encounter led to recombination, state-of-the-art examples nevertheless demonstrate near-unity quantum efficiency. Here we show that this suppression of recombination arises through the interplay between spin, energetics and delocalization of electronic excitations in organic semiconductors. We use time-resolved spectroscopy to study a series of model high-efficiency polymer-fullerene systems in which the lowest-energy molecular triplet exciton (T1) for the polymer is lower in energy than the intermolecular charge transfer state. We observe the formation of T1 states following bimolecular recombination, indicating that encounters of spin-uncorrelated electrons and holes generate charge transfer states with both spin-singlet ((1)CT) and spin-triplet ((3)CT) characters. We show that the formation of triplet excitons can be the main loss mechanism in organic photovoltaic cells. But we also find that, even when energetically favoured, the relaxation of (3)CT states to T1 states can be strongly suppressed by wavefunction delocalization, allowing for the dissociation of (3)CT states back to free charges, thereby reducing recombination and enhancing device performance. Our results point towards new design rules both for photoconversion systems, enabling the suppression of electron-hole recombination, and for organic light-emitting diodes, avoiding the formation of triplet excitons and enhancing fluorescence efficiency.","author":[{"dropping-particle":"","family":"Rao","given":"Akshay","non-dropping-particle":"","parse-names":false,"suffix":""},{"dropping-particle":"","family":"Chow","given":"Philip C Y","non-dropping-particle":"","parse-names":false,"suffix":""},{"dropping-particle":"","family":"Gélinas","given":"Simon","non-dropping-particle":"","parse-names":false,"suffix":""},{"dropping-particle":"","family":"Schlenker","given":"Cody W","non-dropping-particle":"","parse-names":false,"suffix":""},{"dropping-particle":"","family":"Li","given":"Chang-Zhi","non-dropping-particle":"","parse-names":false,"suffix":""},{"dropping-particle":"","family":"Yip","given":"Hin-Lap","non-dropping-particle":"","parse-names":false,"suffix":""},{"dropping-particle":"","family":"Jen","given":"Alex K-Y","non-dropping-particle":"","parse-names":false,"suffix":""},{"dropping-particle":"","family":"Ginger","given":"David S","non-dropping-particle":"","parse-names":false,"suffix":""},{"dropping-particle":"","family":"Friend","given":"Richard H","non-dropping-particle":"","parse-names":false,"suffix":""}],"container-title":"Nature","id":"ITEM-1","issue":"7463","issued":{"date-parts":[["2013"]]},"page":"435-9","title":"The role of spin in the kinetic control of recombination in organic photovoltaics.","type":"article-journal","volume":"500"},"uris":["http://www.mendeley.com/documents/?uuid=b93e0d67-a77e-4671-b777-a355df66badb"]},{"id":"ITEM-2","itemData":{"DOI":"10.1021/ja410092n","ISBN":"1520-5126 (Electronic)\\r0002-7863 (Linking)","ISSN":"0002-7863","PMID":"24521399","abstract":"The nanoscale morphology and high charge densities in organic photovoltaics (OPVs) lead to a high rate of bimolecular encounters between spin-uncorrelated electrons and holes. This process can lead to the formation of low-energy triplet excitons on the donor polymer that decay nonradiatively and limit the device performance. We use time-resolved optical spectroscopy to characterize the effect of morphology through the use of solvent additives such as 1,8-octanedithiol (ODT) on triplet dynamics and charge recombination in blends of poly[2,6-(4,4-bis(2-ethylhexyl)-4H-cyclopenta[2,1-b;3,4-b']-dithiophene)-alt-4,7-(2,1,3-benzothiadiazole)] and [6,6]-phenyl-C71-butyric acid methyl ester. This is an attractive OPV system since the extended absorption of the polymer into the near-infrared gives good coverage of the solar spectrum, but nevertheless, the internal quantum efficiency (IQE) has not been reported to be higher than ~65% under short circuit conditions. We find that, without ODT, the IQE is 48% and 16% of excitations decay via bimolecular triplet formation. With ODT treatment, which improves crystallinity and carrier mobility, the IQE increases to 65%, but bimolecular triplet formation significantly increases and now accounts for all of the recombination (35% of charges).","author":[{"dropping-particle":"","family":"Chow","given":"Philip C Y","non-dropping-particle":"","parse-names":false,"suffix":""},{"dropping-particle":"","family":"Gélinas","given":"Simon","non-dropping-particle":"","parse-names":false,"suffix":""},{"dropping-particle":"","family":"Rao","given":"Akshay","non-dropping-particle":"","parse-names":false,"suffix":""},{"dropping-particle":"","family":"Friend","given":"Richard H.","non-dropping-particle":"","parse-names":false,"suffix":""}],"container-title":"Journal of the American Chemical Society","id":"ITEM-2","issue":"9","issued":{"date-parts":[["2014","3","5"]]},"page":"3424-3429","title":"Quantitative Bimolecular Recombination in Organic Photovoltaics through Triplet Exciton Formation","type":"article-journal","volume":"136"},"uris":["http://www.mendeley.com/documents/?uuid=a4484a2f-d9c1-4637-be2c-b9a5a70b089e"]}],"mendeley":{"formattedCitation":"&lt;sup&gt;7,8&lt;/sup&gt;","plainTextFormattedCitation":"7,8","previouslyFormattedCitation":"&lt;sup&gt;7,8&lt;/sup&gt;"},"properties":{"noteIndex":0},"schema":"https://github.com/citation-style-language/schema/raw/master/csl-citation.json"}</w:instrText>
      </w:r>
      <w:r w:rsidR="00161887">
        <w:rPr>
          <w:lang w:val="en-GB" w:eastAsia="zh-CN"/>
        </w:rPr>
        <w:fldChar w:fldCharType="separate"/>
      </w:r>
      <w:r w:rsidR="00C31944" w:rsidRPr="00C31944">
        <w:rPr>
          <w:noProof/>
          <w:vertAlign w:val="superscript"/>
          <w:lang w:val="en-GB" w:eastAsia="zh-CN"/>
        </w:rPr>
        <w:t>7,8</w:t>
      </w:r>
      <w:r w:rsidR="00161887">
        <w:rPr>
          <w:lang w:val="en-GB" w:eastAsia="zh-CN"/>
        </w:rPr>
        <w:fldChar w:fldCharType="end"/>
      </w:r>
      <w:r w:rsidRPr="00045547">
        <w:rPr>
          <w:lang w:val="en-GB" w:eastAsia="zh-CN"/>
        </w:rPr>
        <w:t>. Secondly, triplet excitons generally have long lifetimes that extend into microseconds, and this is consistent with the long lifetime measured.</w:t>
      </w:r>
      <w:r w:rsidR="00D40F19">
        <w:rPr>
          <w:lang w:val="en-GB" w:eastAsia="zh-CN"/>
        </w:rPr>
        <w:t xml:space="preserve"> And thirdly, the </w:t>
      </w:r>
      <w:r w:rsidR="00AC33F8">
        <w:rPr>
          <w:lang w:val="en-GB" w:eastAsia="zh-CN"/>
        </w:rPr>
        <w:t xml:space="preserve">spectral response of this feature matches with the </w:t>
      </w:r>
      <w:r w:rsidR="009A57A7">
        <w:rPr>
          <w:lang w:val="en-GB" w:eastAsia="zh-CN"/>
        </w:rPr>
        <w:t xml:space="preserve">weak </w:t>
      </w:r>
      <w:r w:rsidR="00AC33F8">
        <w:rPr>
          <w:lang w:val="en-GB" w:eastAsia="zh-CN"/>
        </w:rPr>
        <w:t xml:space="preserve">TA signal measured in a pristine P3TEA film </w:t>
      </w:r>
      <w:r w:rsidR="009A57A7">
        <w:rPr>
          <w:lang w:val="en-GB" w:eastAsia="zh-CN"/>
        </w:rPr>
        <w:t>at time delays of hundreds of nanoseconds (see Figure S</w:t>
      </w:r>
      <w:r w:rsidR="004B1E3A">
        <w:rPr>
          <w:lang w:val="en-GB" w:eastAsia="zh-CN"/>
        </w:rPr>
        <w:t>1</w:t>
      </w:r>
      <w:r w:rsidR="009A57A7">
        <w:rPr>
          <w:lang w:val="en-GB" w:eastAsia="zh-CN"/>
        </w:rPr>
        <w:t xml:space="preserve"> in </w:t>
      </w:r>
      <w:r w:rsidR="003F210E">
        <w:rPr>
          <w:lang w:val="en-GB" w:eastAsia="zh-CN"/>
        </w:rPr>
        <w:t xml:space="preserve">the </w:t>
      </w:r>
      <w:r w:rsidR="00E81CC3">
        <w:rPr>
          <w:lang w:val="en-GB" w:eastAsia="zh-CN"/>
        </w:rPr>
        <w:t>Supporting Information</w:t>
      </w:r>
      <w:r w:rsidR="009A57A7">
        <w:rPr>
          <w:lang w:val="en-GB" w:eastAsia="zh-CN"/>
        </w:rPr>
        <w:t xml:space="preserve">). This timescale is </w:t>
      </w:r>
      <w:r w:rsidR="000F2B3C">
        <w:rPr>
          <w:lang w:val="en-GB" w:eastAsia="zh-CN"/>
        </w:rPr>
        <w:t xml:space="preserve">much longer than </w:t>
      </w:r>
      <w:r w:rsidR="009A57A7">
        <w:rPr>
          <w:lang w:val="en-GB" w:eastAsia="zh-CN"/>
        </w:rPr>
        <w:t>the lifetime of singlet excitons in P3TEA (~</w:t>
      </w:r>
      <w:r w:rsidR="006E5035">
        <w:rPr>
          <w:lang w:val="en-GB" w:eastAsia="zh-CN"/>
        </w:rPr>
        <w:t>1</w:t>
      </w:r>
      <w:r w:rsidR="009A57A7">
        <w:rPr>
          <w:lang w:val="en-GB" w:eastAsia="zh-CN"/>
        </w:rPr>
        <w:t xml:space="preserve"> ns) and thus </w:t>
      </w:r>
      <w:r w:rsidR="00EF3A4E">
        <w:rPr>
          <w:lang w:val="en-GB" w:eastAsia="zh-CN"/>
        </w:rPr>
        <w:t xml:space="preserve">can be attributed to </w:t>
      </w:r>
      <w:r w:rsidR="009A57A7">
        <w:rPr>
          <w:lang w:val="en-GB" w:eastAsia="zh-CN"/>
        </w:rPr>
        <w:t>triplet excitons formed via intersystem crossing.</w:t>
      </w:r>
      <w:r w:rsidRPr="00045547">
        <w:rPr>
          <w:lang w:val="en-GB" w:eastAsia="zh-CN"/>
        </w:rPr>
        <w:t xml:space="preserve"> In regards to the TA spectrum, triplet excitons are expected to show similar GSB signal as in cases of singlet excitons and polarons in the polymer. We consider that the overall triplet TA spectrum of P3TEA corresponds to a positive GSB signal overlapped by a negative PA signal </w:t>
      </w:r>
      <w:r w:rsidR="00CD517C">
        <w:rPr>
          <w:lang w:val="en-GB" w:eastAsia="zh-CN"/>
        </w:rPr>
        <w:t>up to ~695</w:t>
      </w:r>
      <w:r w:rsidRPr="00045547">
        <w:rPr>
          <w:lang w:val="en-GB" w:eastAsia="zh-CN"/>
        </w:rPr>
        <w:t xml:space="preserve"> nm</w:t>
      </w:r>
      <w:r w:rsidR="00C42EB4">
        <w:rPr>
          <w:lang w:val="en-GB" w:eastAsia="zh-CN"/>
        </w:rPr>
        <w:t xml:space="preserve"> (see green dashed line in Figure 3a)</w:t>
      </w:r>
      <w:r w:rsidRPr="00045547">
        <w:rPr>
          <w:lang w:val="en-GB" w:eastAsia="zh-CN"/>
        </w:rPr>
        <w:t>.</w:t>
      </w:r>
      <w:r w:rsidR="00C42EB4">
        <w:rPr>
          <w:lang w:val="en-GB" w:eastAsia="zh-CN"/>
        </w:rPr>
        <w:t xml:space="preserve"> </w:t>
      </w:r>
    </w:p>
    <w:p w14:paraId="0585FB02" w14:textId="77777777" w:rsidR="005E0230" w:rsidRPr="00045547" w:rsidRDefault="005E0230" w:rsidP="005E0230">
      <w:pPr>
        <w:spacing w:line="480" w:lineRule="auto"/>
        <w:jc w:val="both"/>
        <w:rPr>
          <w:lang w:val="en-GB" w:eastAsia="zh-CN"/>
        </w:rPr>
      </w:pPr>
    </w:p>
    <w:p w14:paraId="7FFB2083" w14:textId="15CBA65C" w:rsidR="00D41B9C" w:rsidRDefault="005E0230" w:rsidP="005E0230">
      <w:pPr>
        <w:spacing w:line="480" w:lineRule="auto"/>
        <w:jc w:val="both"/>
        <w:rPr>
          <w:lang w:val="en-GB" w:eastAsia="zh-CN"/>
        </w:rPr>
      </w:pPr>
      <w:r w:rsidRPr="00045547">
        <w:rPr>
          <w:lang w:val="en-GB" w:eastAsia="zh-CN"/>
        </w:rPr>
        <w:t xml:space="preserve">It is thus clear that </w:t>
      </w:r>
      <w:r w:rsidR="00890F3E">
        <w:rPr>
          <w:lang w:val="en-GB" w:eastAsia="zh-CN"/>
        </w:rPr>
        <w:t xml:space="preserve">triplet </w:t>
      </w:r>
      <w:r w:rsidRPr="00045547">
        <w:rPr>
          <w:lang w:val="en-GB" w:eastAsia="zh-CN"/>
        </w:rPr>
        <w:t xml:space="preserve">recombination </w:t>
      </w:r>
      <w:r w:rsidR="00890F3E">
        <w:rPr>
          <w:lang w:val="en-GB" w:eastAsia="zh-CN"/>
        </w:rPr>
        <w:t xml:space="preserve">occurs </w:t>
      </w:r>
      <w:r w:rsidRPr="00045547">
        <w:rPr>
          <w:lang w:val="en-GB" w:eastAsia="zh-CN"/>
        </w:rPr>
        <w:t>in P3TEA:PCBM but not in P3TEA:SF-PDI</w:t>
      </w:r>
      <w:r w:rsidRPr="00045547">
        <w:rPr>
          <w:vertAlign w:val="subscript"/>
          <w:lang w:val="en-GB" w:eastAsia="zh-CN"/>
        </w:rPr>
        <w:t>2</w:t>
      </w:r>
      <w:r w:rsidRPr="00045547">
        <w:rPr>
          <w:lang w:val="en-GB" w:eastAsia="zh-CN"/>
        </w:rPr>
        <w:t xml:space="preserve"> and P3TEA-di-PDI</w:t>
      </w:r>
      <w:r w:rsidR="00C743FE" w:rsidRPr="00045547">
        <w:rPr>
          <w:lang w:val="en-GB" w:eastAsia="zh-CN"/>
        </w:rPr>
        <w:t>,</w:t>
      </w:r>
      <w:r w:rsidRPr="00045547">
        <w:rPr>
          <w:lang w:val="en-GB" w:eastAsia="zh-CN"/>
        </w:rPr>
        <w:t xml:space="preserve"> despite the fact that </w:t>
      </w:r>
      <w:r w:rsidR="00FA7884">
        <w:rPr>
          <w:lang w:val="en-GB" w:eastAsia="zh-CN"/>
        </w:rPr>
        <w:t>both donor and acceptor</w:t>
      </w:r>
      <w:r w:rsidR="00890F3E">
        <w:rPr>
          <w:lang w:val="en-GB" w:eastAsia="zh-CN"/>
        </w:rPr>
        <w:t xml:space="preserve"> </w:t>
      </w:r>
      <w:r w:rsidR="00FA7884">
        <w:rPr>
          <w:lang w:val="en-GB"/>
        </w:rPr>
        <w:t>T</w:t>
      </w:r>
      <w:r w:rsidR="00FA7884">
        <w:rPr>
          <w:vertAlign w:val="subscript"/>
          <w:lang w:val="en-GB"/>
        </w:rPr>
        <w:t xml:space="preserve">1 </w:t>
      </w:r>
      <w:r w:rsidR="00FA7884">
        <w:rPr>
          <w:lang w:val="en-GB"/>
        </w:rPr>
        <w:t>states</w:t>
      </w:r>
      <w:r w:rsidRPr="00045547">
        <w:rPr>
          <w:lang w:val="en-GB" w:eastAsia="zh-CN"/>
        </w:rPr>
        <w:t xml:space="preserve"> </w:t>
      </w:r>
      <w:r w:rsidR="007128B1">
        <w:rPr>
          <w:lang w:val="en-GB" w:eastAsia="zh-CN"/>
        </w:rPr>
        <w:t xml:space="preserve">have lower energies </w:t>
      </w:r>
      <w:r w:rsidR="00D96D10">
        <w:rPr>
          <w:lang w:val="en-GB" w:eastAsia="zh-CN"/>
        </w:rPr>
        <w:t xml:space="preserve">than </w:t>
      </w:r>
      <w:r w:rsidRPr="00045547">
        <w:rPr>
          <w:lang w:val="en-GB" w:eastAsia="zh-CN"/>
        </w:rPr>
        <w:t>CTEs in all three blends (</w:t>
      </w:r>
      <w:r w:rsidR="005436E9" w:rsidRPr="00045547">
        <w:rPr>
          <w:lang w:val="en-GB" w:eastAsia="zh-CN"/>
        </w:rPr>
        <w:t xml:space="preserve">see Table </w:t>
      </w:r>
      <w:r w:rsidR="005436E9">
        <w:rPr>
          <w:lang w:val="en-GB" w:eastAsia="zh-CN"/>
        </w:rPr>
        <w:t>1</w:t>
      </w:r>
      <w:r w:rsidR="005436E9" w:rsidRPr="00045547">
        <w:rPr>
          <w:lang w:val="en-GB" w:eastAsia="zh-CN"/>
        </w:rPr>
        <w:t>)</w:t>
      </w:r>
      <w:r w:rsidR="005436E9">
        <w:rPr>
          <w:lang w:val="en-GB" w:eastAsia="zh-CN"/>
        </w:rPr>
        <w:t xml:space="preserve">. We estimate </w:t>
      </w:r>
      <w:r w:rsidR="0089149D">
        <w:rPr>
          <w:lang w:val="en-GB" w:eastAsia="zh-CN"/>
        </w:rPr>
        <w:t>E</w:t>
      </w:r>
      <w:r w:rsidR="0089149D">
        <w:rPr>
          <w:vertAlign w:val="subscript"/>
          <w:lang w:val="en-GB" w:eastAsia="zh-CN"/>
        </w:rPr>
        <w:t>T1</w:t>
      </w:r>
      <w:r w:rsidR="0089149D">
        <w:rPr>
          <w:lang w:val="en-GB" w:eastAsia="zh-CN"/>
        </w:rPr>
        <w:t xml:space="preserve"> ~1.2 eV </w:t>
      </w:r>
      <w:r w:rsidR="005436E9">
        <w:rPr>
          <w:lang w:val="en-GB" w:eastAsia="zh-CN"/>
        </w:rPr>
        <w:t xml:space="preserve">for P3TEA based on an </w:t>
      </w:r>
      <w:r w:rsidR="00345853">
        <w:rPr>
          <w:lang w:val="en-GB"/>
        </w:rPr>
        <w:sym w:font="Symbol" w:char="F044"/>
      </w:r>
      <w:r w:rsidR="00345853">
        <w:rPr>
          <w:lang w:val="en-GB"/>
        </w:rPr>
        <w:t>E</w:t>
      </w:r>
      <w:r w:rsidR="00345853">
        <w:rPr>
          <w:vertAlign w:val="subscript"/>
          <w:lang w:val="en-GB"/>
        </w:rPr>
        <w:t>ST</w:t>
      </w:r>
      <w:r w:rsidR="00345853">
        <w:rPr>
          <w:lang w:val="en-GB" w:eastAsia="zh-CN"/>
        </w:rPr>
        <w:t xml:space="preserve"> </w:t>
      </w:r>
      <w:r w:rsidR="0089149D">
        <w:rPr>
          <w:lang w:val="en-GB" w:eastAsia="zh-CN"/>
        </w:rPr>
        <w:t>of 0.5 eV</w:t>
      </w:r>
      <w:r w:rsidR="005436E9">
        <w:rPr>
          <w:lang w:val="en-GB" w:eastAsia="zh-CN"/>
        </w:rPr>
        <w:t xml:space="preserve"> typically found for conjugated polymers</w:t>
      </w:r>
      <w:r w:rsidR="00925130">
        <w:rPr>
          <w:lang w:val="en-GB" w:eastAsia="zh-CN"/>
        </w:rPr>
        <w:t xml:space="preserve"> </w:t>
      </w:r>
      <w:r w:rsidR="00925130">
        <w:rPr>
          <w:lang w:val="en-GB" w:eastAsia="zh-CN"/>
        </w:rPr>
        <w:fldChar w:fldCharType="begin" w:fldLock="1"/>
      </w:r>
      <w:r w:rsidR="005D75E8">
        <w:rPr>
          <w:lang w:val="en-GB" w:eastAsia="zh-CN"/>
        </w:rPr>
        <w:instrText>ADDIN CSL_CITATION {"citationItems":[{"id":"ITEM-1","itemData":{"DOI":"10.1002/adfm.200305032","ISBN":"1616-3028","ISSN":"1616-301X","abstract":"Electron–electron interactions in organic semiconductors split the lowest singlet and triplet states by the exchange energy, ΔEST. Measurement of singlet and triplet emission spectra in a large number of conjugated polymers yield an almost constant ΔEST value close to 0.7 eV. This is in contrast to the situation in molecules, where the exchange energy is found to depend on molecular size and to vary over a wide range. Quantum-chemical calculations are performed to address the origin of the constant exchange energy in phenylene-based conjugated polymers. The electron–hole separation in the lowest singlet and triplet excited states is found to be independent of the π-conjugated backbone, and saturates for chains longer than a few repeating units, resulting in a constant exchange energy. In shorter conjugated oligomers, confinement of the excitations destabilizes the singlet with respect to the triplet through exchange interactions and leads to a larger and size-dependent singlet–triplet energy separation.","author":[{"dropping-particle":"","family":"Köhler","given":"A.","non-dropping-particle":"","parse-names":false,"suffix":""},{"dropping-particle":"","family":"Beljonne","given":"D.","non-dropping-particle":"","parse-names":false,"suffix":""}],"container-title":"Advanced Functional Materials","id":"ITEM-1","issue":"1","issued":{"date-parts":[["2004","1"]]},"page":"11-18","title":"The Singlet–Triplet Exchange Energy in Conjugated Polymers","type":"article-journal","volume":"14"},"uris":["http://www.mendeley.com/documents/?uuid=b671735b-82f9-4ee0-beec-786318733a2f"]}],"mendeley":{"formattedCitation":"&lt;sup&gt;3&lt;/sup&gt;","plainTextFormattedCitation":"3","previouslyFormattedCitation":"&lt;sup&gt;3&lt;/sup&gt;"},"properties":{"noteIndex":0},"schema":"https://github.com/citation-style-language/schema/raw/master/csl-citation.json"}</w:instrText>
      </w:r>
      <w:r w:rsidR="00925130">
        <w:rPr>
          <w:lang w:val="en-GB" w:eastAsia="zh-CN"/>
        </w:rPr>
        <w:fldChar w:fldCharType="separate"/>
      </w:r>
      <w:r w:rsidR="00925130" w:rsidRPr="00925130">
        <w:rPr>
          <w:noProof/>
          <w:vertAlign w:val="superscript"/>
          <w:lang w:val="en-GB" w:eastAsia="zh-CN"/>
        </w:rPr>
        <w:t>3</w:t>
      </w:r>
      <w:r w:rsidR="00925130">
        <w:rPr>
          <w:lang w:val="en-GB" w:eastAsia="zh-CN"/>
        </w:rPr>
        <w:fldChar w:fldCharType="end"/>
      </w:r>
      <w:r w:rsidR="00925130">
        <w:rPr>
          <w:lang w:val="en-GB" w:eastAsia="zh-CN"/>
        </w:rPr>
        <w:t>.</w:t>
      </w:r>
      <w:r w:rsidR="001D51E2">
        <w:rPr>
          <w:lang w:val="en-GB" w:eastAsia="zh-CN"/>
        </w:rPr>
        <w:t xml:space="preserve"> </w:t>
      </w:r>
      <w:r w:rsidR="00925130">
        <w:rPr>
          <w:lang w:val="en-GB" w:eastAsia="zh-CN"/>
        </w:rPr>
        <w:t xml:space="preserve">For the acceptors, we </w:t>
      </w:r>
      <w:r w:rsidR="007305A6">
        <w:rPr>
          <w:lang w:val="en-GB" w:eastAsia="zh-CN"/>
        </w:rPr>
        <w:t xml:space="preserve">assume </w:t>
      </w:r>
      <w:r w:rsidR="00F17681">
        <w:rPr>
          <w:lang w:val="en-GB" w:eastAsia="zh-CN"/>
        </w:rPr>
        <w:t xml:space="preserve">a similar </w:t>
      </w:r>
      <w:r w:rsidR="005436E9">
        <w:rPr>
          <w:lang w:val="en-GB" w:eastAsia="zh-CN"/>
        </w:rPr>
        <w:t>E</w:t>
      </w:r>
      <w:r w:rsidR="005436E9">
        <w:rPr>
          <w:vertAlign w:val="subscript"/>
          <w:lang w:val="en-GB" w:eastAsia="zh-CN"/>
        </w:rPr>
        <w:t>T1</w:t>
      </w:r>
      <w:r w:rsidR="005436E9">
        <w:rPr>
          <w:lang w:val="en-GB" w:eastAsia="zh-CN"/>
        </w:rPr>
        <w:t xml:space="preserve"> ~ 1.</w:t>
      </w:r>
      <w:r w:rsidR="00925130">
        <w:rPr>
          <w:lang w:val="en-GB" w:eastAsia="zh-CN"/>
        </w:rPr>
        <w:t>2</w:t>
      </w:r>
      <w:r w:rsidR="005436E9">
        <w:rPr>
          <w:lang w:val="en-GB" w:eastAsia="zh-CN"/>
        </w:rPr>
        <w:t xml:space="preserve"> eV for PDI dimers </w:t>
      </w:r>
      <w:r w:rsidR="00422DA4">
        <w:rPr>
          <w:lang w:val="en-GB" w:eastAsia="zh-CN"/>
        </w:rPr>
        <w:fldChar w:fldCharType="begin" w:fldLock="1"/>
      </w:r>
      <w:r w:rsidR="005D75E8">
        <w:rPr>
          <w:lang w:val="en-GB" w:eastAsia="zh-CN"/>
        </w:rPr>
        <w:instrText>ADDIN CSL_CITATION {"citationItems":[{"id":"ITEM-1","itemData":{"DOI":"10.1021/ja4053174","ISBN":"0002-7863","ISSN":"00027863","PMID":"24011336","abstract":"The crystal structure of N,N-bis(n-octyl)-2,5,8,11-tetraphenylperylene-3,4:9,10-bis(dicarboximide), 1, obtained by X-ray diffraction reveals that 1 has a nearly planar perylene core and π–π stacks at a 3.5 Å interplanar distance in well-separated slip-stacked columns. Theory predicts that slip-stacked, π–π-stacked structures should enhance interchromophore electronic coupling and thus favor singlet exciton fission. Photoexcitation of vapor-deposited polycrystalline 188 nm thick films of 1 results in a 140 ± 20% yield of triplet excitons (3*1) in τSF = 180 ± 10 ps. These results illustrate a design strategy for producing perylenediimide and related rylene derivatives that have the optimized interchromophore electronic interactions which promote high-yield singlet exciton fission for potentially enhancing organic solar cell performance and charge separation in systems for artificial photosynthesis.","author":[{"dropping-particle":"","family":"Eaton","given":"Samuel W.","non-dropping-particle":"","parse-names":false,"suffix":""},{"dropping-particle":"","family":"Shoer","given":"Leah E.","non-dropping-particle":"","parse-names":false,"suffix":""},{"dropping-particle":"","family":"Karlen","given":"Steven D.","non-dropping-particle":"","parse-names":false,"suffix":""},{"dropping-particle":"","family":"Dyar","given":"Scott M.","non-dropping-particle":"","parse-names":false,"suffix":""},{"dropping-particle":"","family":"Margulies","given":"Eric A.","non-dropping-particle":"","parse-names":false,"suffix":""},{"dropping-particle":"","family":"Veldkamp","given":"Brad S.","non-dropping-particle":"","parse-names":false,"suffix":""},{"dropping-particle":"","family":"Ramanan","given":"Charusheela","non-dropping-particle":"","parse-names":false,"suffix":""},{"dropping-particle":"","family":"Hartzler","given":"Daniel A.","non-dropping-particle":"","parse-names":false,"suffix":""},{"dropping-particle":"","family":"Savikhin","given":"Sergei","non-dropping-particle":"","parse-names":false,"suffix":""},{"dropping-particle":"","family":"Marks","given":"Tobin J.","non-dropping-particle":"","parse-names":false,"suffix":""},{"dropping-particle":"","family":"Wasielewski","given":"Michael R.","non-dropping-particle":"","parse-names":false,"suffix":""}],"container-title":"Journal of the American Chemical Society","id":"ITEM-1","issue":"39","issued":{"date-parts":[["2013"]]},"page":"14701-14712","title":"Singlet exciton fission in polycrystalline thin films of a slip-stacked perylenediimide","type":"article-journal","volume":"135"},"uris":["http://www.mendeley.com/documents/?uuid=176862ec-55d8-4e42-b6dc-672b5a9de162"]}],"mendeley":{"formattedCitation":"&lt;sup&gt;30&lt;/sup&gt;","plainTextFormattedCitation":"30","previouslyFormattedCitation":"&lt;sup&gt;30&lt;/sup&gt;"},"properties":{"noteIndex":0},"schema":"https://github.com/citation-style-language/schema/raw/master/csl-citation.json"}</w:instrText>
      </w:r>
      <w:r w:rsidR="00422DA4">
        <w:rPr>
          <w:lang w:val="en-GB" w:eastAsia="zh-CN"/>
        </w:rPr>
        <w:fldChar w:fldCharType="separate"/>
      </w:r>
      <w:r w:rsidR="005D75E8" w:rsidRPr="005D75E8">
        <w:rPr>
          <w:noProof/>
          <w:vertAlign w:val="superscript"/>
          <w:lang w:val="en-GB" w:eastAsia="zh-CN"/>
        </w:rPr>
        <w:t>30</w:t>
      </w:r>
      <w:r w:rsidR="00422DA4">
        <w:rPr>
          <w:lang w:val="en-GB" w:eastAsia="zh-CN"/>
        </w:rPr>
        <w:fldChar w:fldCharType="end"/>
      </w:r>
      <w:r w:rsidR="00422DA4">
        <w:rPr>
          <w:lang w:val="en-GB" w:eastAsia="zh-CN"/>
        </w:rPr>
        <w:t xml:space="preserve"> </w:t>
      </w:r>
      <w:r w:rsidR="001D51E2">
        <w:rPr>
          <w:lang w:val="en-GB" w:eastAsia="zh-CN"/>
        </w:rPr>
        <w:t>and E</w:t>
      </w:r>
      <w:r w:rsidR="001D51E2">
        <w:rPr>
          <w:vertAlign w:val="subscript"/>
          <w:lang w:val="en-GB" w:eastAsia="zh-CN"/>
        </w:rPr>
        <w:t>T1</w:t>
      </w:r>
      <w:r w:rsidR="001D51E2">
        <w:rPr>
          <w:lang w:val="en-GB" w:eastAsia="zh-CN"/>
        </w:rPr>
        <w:t xml:space="preserve"> ~ 1.5 eV for PCBM </w:t>
      </w:r>
      <w:r w:rsidR="001D51E2">
        <w:rPr>
          <w:lang w:val="en-GB" w:eastAsia="zh-CN"/>
        </w:rPr>
        <w:fldChar w:fldCharType="begin" w:fldLock="1"/>
      </w:r>
      <w:r w:rsidR="00B50CC7">
        <w:rPr>
          <w:lang w:val="en-GB" w:eastAsia="zh-CN"/>
        </w:rPr>
        <w:instrText>ADDIN CSL_CITATION {"citationItems":[{"id":"ITEM-1","itemData":{"DOI":"10.1002/adma.201400846","ISBN":"1521-4095","ISSN":"0935-9648","PMID":"24902831","abstract":"Triplet-exciton formation through intersystem crossing of photogenerated singlet excitons in fullerene acceptors can compete with charge generation in organic photovoltaic diodes. This article reports the intersystem crossing timescale (τISC ) of the most commonly used fullerene acceptors, PC60 BM and PC70 BM, in solutions and in spin-coated films. These times are on the nanosecond timescale, and are longer than the characteristic times for charge generation (τd ).","author":[{"dropping-particle":"","family":"Chow","given":"Philip C Y","non-dropping-particle":"","parse-names":false,"suffix":""},</w:instrText>
      </w:r>
      <w:r w:rsidR="00B50CC7">
        <w:rPr>
          <w:rFonts w:hint="eastAsia"/>
          <w:lang w:val="en-GB" w:eastAsia="zh-CN"/>
        </w:rPr>
        <w:instrText>{"dropping-particle":"","family":"Albert</w:instrText>
      </w:r>
      <w:r w:rsidR="00B50CC7">
        <w:rPr>
          <w:rFonts w:hint="eastAsia"/>
          <w:lang w:val="en-GB" w:eastAsia="zh-CN"/>
        </w:rPr>
        <w:instrText>‐</w:instrText>
      </w:r>
      <w:r w:rsidR="00B50CC7">
        <w:rPr>
          <w:rFonts w:hint="eastAsia"/>
          <w:lang w:val="en-GB" w:eastAsia="zh-CN"/>
        </w:rPr>
        <w:instrText>Seifried","given":"Sebastian","non-dropping-particle":"","parse-names":false,"suffix":""},{"dropping-particle":"","family":"G</w:instrText>
      </w:r>
      <w:r w:rsidR="00B50CC7">
        <w:rPr>
          <w:rFonts w:hint="eastAsia"/>
          <w:lang w:val="en-GB" w:eastAsia="zh-CN"/>
        </w:rPr>
        <w:instrText>é</w:instrText>
      </w:r>
      <w:r w:rsidR="00B50CC7">
        <w:rPr>
          <w:rFonts w:hint="eastAsia"/>
          <w:lang w:val="en-GB" w:eastAsia="zh-CN"/>
        </w:rPr>
        <w:instrText>linas","given":"Simon","non-dropping-particle":"","parse-names":false,"suffix":""},{"dro</w:instrText>
      </w:r>
      <w:r w:rsidR="00B50CC7">
        <w:rPr>
          <w:lang w:val="en-GB" w:eastAsia="zh-CN"/>
        </w:rPr>
        <w:instrText>pping-particle":"","family":"Friend","given":"Richard H.","non-dropping-particle":"","parse-names":false,"suffix":""}],"container-title":"Advanced Materials","id":"ITEM-1","issue":"28","issued":{"date-parts":[["2014","7","6"]]},"page":"4851-4854","title":"Nanosecond Intersystem Crossing Times in Fullerene Acceptors: Implications for Organic Photovoltaic Diodes","type":"article-journal","volume":"26"},"uris":["http://www.mendeley.com/documents/?uuid=8d445232-d23b-493d-a710-3c0d129c10a2"]}],"mendeley":{"formattedCitation":"&lt;sup&gt;4&lt;/sup&gt;","plainTextFormattedCitation":"4","previouslyFormattedCitation":"&lt;sup&gt;4&lt;/sup&gt;"},"properties":{"noteIndex":0},"schema":"https://github.com/citation-style-language/schema/raw/master/csl-citation.json"}</w:instrText>
      </w:r>
      <w:r w:rsidR="001D51E2">
        <w:rPr>
          <w:lang w:val="en-GB" w:eastAsia="zh-CN"/>
        </w:rPr>
        <w:fldChar w:fldCharType="separate"/>
      </w:r>
      <w:r w:rsidR="00C31944" w:rsidRPr="00C31944">
        <w:rPr>
          <w:noProof/>
          <w:vertAlign w:val="superscript"/>
          <w:lang w:val="en-GB" w:eastAsia="zh-CN"/>
        </w:rPr>
        <w:t>4</w:t>
      </w:r>
      <w:r w:rsidR="001D51E2">
        <w:rPr>
          <w:lang w:val="en-GB" w:eastAsia="zh-CN"/>
        </w:rPr>
        <w:fldChar w:fldCharType="end"/>
      </w:r>
      <w:r w:rsidR="007305A6">
        <w:rPr>
          <w:lang w:val="en-GB" w:eastAsia="zh-CN"/>
        </w:rPr>
        <w:t xml:space="preserve"> based on previous reports</w:t>
      </w:r>
      <w:r w:rsidRPr="00045547">
        <w:rPr>
          <w:lang w:val="en-GB" w:eastAsia="zh-CN"/>
        </w:rPr>
        <w:t xml:space="preserve">. </w:t>
      </w:r>
      <w:r w:rsidR="004A33B6">
        <w:rPr>
          <w:lang w:val="en-GB" w:eastAsia="zh-CN"/>
        </w:rPr>
        <w:t xml:space="preserve">The absence of </w:t>
      </w:r>
      <w:r w:rsidR="004A33B6">
        <w:rPr>
          <w:lang w:val="en-GB"/>
        </w:rPr>
        <w:t xml:space="preserve">triplet exciton formation </w:t>
      </w:r>
      <w:r w:rsidR="004A33B6">
        <w:rPr>
          <w:lang w:val="en-GB" w:eastAsia="zh-CN"/>
        </w:rPr>
        <w:t xml:space="preserve">in </w:t>
      </w:r>
      <w:r w:rsidR="004A33B6" w:rsidRPr="00045547">
        <w:rPr>
          <w:lang w:val="en-GB" w:eastAsia="zh-CN"/>
        </w:rPr>
        <w:t>the two NFA blends</w:t>
      </w:r>
      <w:r w:rsidR="004A33B6">
        <w:rPr>
          <w:lang w:val="en-GB" w:eastAsia="zh-CN"/>
        </w:rPr>
        <w:t xml:space="preserve"> indicates that the relaxation rate of CTEs to the T</w:t>
      </w:r>
      <w:r w:rsidR="004A33B6">
        <w:rPr>
          <w:vertAlign w:val="subscript"/>
          <w:lang w:val="en-GB" w:eastAsia="zh-CN"/>
        </w:rPr>
        <w:t>1</w:t>
      </w:r>
      <w:r w:rsidR="004A33B6">
        <w:rPr>
          <w:lang w:val="en-GB" w:eastAsia="zh-CN"/>
        </w:rPr>
        <w:t xml:space="preserve"> state is </w:t>
      </w:r>
      <w:r w:rsidR="00C743FE" w:rsidRPr="00045547">
        <w:rPr>
          <w:lang w:val="en-GB"/>
        </w:rPr>
        <w:t>outcompeted by thermal separation of the CTE</w:t>
      </w:r>
      <w:r w:rsidR="0087154B">
        <w:rPr>
          <w:lang w:val="en-GB"/>
        </w:rPr>
        <w:t>s</w:t>
      </w:r>
      <w:r w:rsidR="00C743FE" w:rsidRPr="00045547">
        <w:rPr>
          <w:lang w:val="en-GB"/>
        </w:rPr>
        <w:t xml:space="preserve"> to free charges</w:t>
      </w:r>
      <w:r w:rsidR="002A40D9">
        <w:rPr>
          <w:lang w:val="en-GB"/>
        </w:rPr>
        <w:t xml:space="preserve"> (~100 ps; Ref. </w:t>
      </w:r>
      <w:r w:rsidR="002A40D9">
        <w:rPr>
          <w:lang w:val="en-GB"/>
        </w:rPr>
        <w:fldChar w:fldCharType="begin" w:fldLock="1"/>
      </w:r>
      <w:r w:rsidR="005D75E8">
        <w:rPr>
          <w:lang w:val="en-GB"/>
        </w:rPr>
        <w:instrText>ADDIN CSL_CITATION {"citationItems":[{"id":"ITEM-1","itemData":{"DOI":"10.1038/s41467-020-19332-5","ISBN":"4146702019332","ISSN":"2041-1723","abstract":"Organic solar cells based on non-fullerene acceptors can show high charge generation yields despite near-zero donor–acceptor energy offsets to drive charge separation and overcome the mutual Coulomb attraction between electron and hole. Here, we use time-resolved optical spectroscopy to show that free charges in these systems are generated by thermally activated dissociation of interfacial charge-transfer states that occurs over hundreds of picoseconds at room temperature, three orders of magnitude slower than comparable fullerene-based systems. Upon free electron–hole encounters at later times, both charge-transfer states and emissive excitons are regenerated, thus setting up an equilibrium between excitons, charge-transfer states and free charges. Our results suggest that the formation of long-lived and disorder-free charge-transfer states in these systems enables them to operate closely to quasi-thermodynamic conditions with no requirement for energy offsets to drive interfacial charge separation and achieve suppressed non-radiative recombination.","author":[{"dropping-particle":"","family":"Hinrichsen","given":"Ture F.","non-dropping-particle":"","parse-names":false,"suffix":""},{"dropping-particle":"","family":"Chan","given":"Christopher C. S.","non-dropping-particle":"","parse-names":false,"suffix":""},{"dropping-particle":"","family":"Ma","given":"Chao","non-dropping-particle":"","parse-names":false,"suffix":""},{"dropping-particle":"","family":"Paleček","given":"David","non-dropping-particle":"","parse-names":false,"suffix":""},{"dropping-particle":"","family":"Gillett","given":"Alexander","non-dropping-particle":"","parse-names":false,"suffix":""},{"dropping-particle":"","family":"Chen","given":"Shangshang","non-dropping-particle":"","parse-names":false,"suffix":""},{"dropping-particle":"","family":"Zou","given":"Xinhui","non-dropping-particle":"","parse-names":false,"suffix":""},{"dropping-particle":"","family":"Zhang","given":"Guichuan","non-dropping-particle":"","parse-names":false,"suffix":""},{"dropping-particle":"","family":"Yip","given":"Hin-Lap","non-dropping-particle":"","parse-names":false,"suffix":""},{"dropping-particle":"","family":"Wong","given":"Kam Sing","non-dropping-particle":"","parse-names":false,"suffix":""},{"dropping-particle":"","family":"Friend","given":"Richard H.","non-dropping-particle":"","parse-names":false,"suffix":""},{"dropping-particle":"","family":"Yan","given":"He","non-dropping-particle":"","parse-names":false,"suffix":""},{"dropping-particle":"","family":"Rao","given":"Akshay","non-dropping-particle":"","parse-names":false,"suffix":""},{"dropping-particle":"","family":"Chow","given":"Philip C. Y.","non-dropping-particle":"","parse-names":false,"suffix":""}],"container-title":"Nature Communications","id":"ITEM-1","issue":"1","issued":{"date-parts":[["2020","12","5"]]},"page":"5617","title":"Long-lived and disorder-free charge transfer states enable endothermic charge separation in efficient non-fullerene organic solar cells","type":"article-journal","volume":"11"},"uris":["http://www.mendeley.com/documents/?uuid=4811954e-9106-4bc9-bc5d-4fdec12073fa"]}],"mendeley":{"formattedCitation":"&lt;sup&gt;23&lt;/sup&gt;","plainTextFormattedCitation":"23","previouslyFormattedCitation":"&lt;sup&gt;23&lt;/sup&gt;"},"properties":{"noteIndex":0},"schema":"https://github.com/citation-style-language/schema/raw/master/csl-citation.json"}</w:instrText>
      </w:r>
      <w:r w:rsidR="002A40D9">
        <w:rPr>
          <w:lang w:val="en-GB"/>
        </w:rPr>
        <w:fldChar w:fldCharType="separate"/>
      </w:r>
      <w:r w:rsidR="005D75E8" w:rsidRPr="005D75E8">
        <w:rPr>
          <w:noProof/>
          <w:vertAlign w:val="superscript"/>
          <w:lang w:val="en-GB"/>
        </w:rPr>
        <w:t>23</w:t>
      </w:r>
      <w:r w:rsidR="002A40D9">
        <w:rPr>
          <w:lang w:val="en-GB"/>
        </w:rPr>
        <w:fldChar w:fldCharType="end"/>
      </w:r>
      <w:r w:rsidR="002A40D9">
        <w:rPr>
          <w:lang w:val="en-GB"/>
        </w:rPr>
        <w:t>)</w:t>
      </w:r>
      <w:r w:rsidR="00BD2696">
        <w:rPr>
          <w:lang w:val="en-GB"/>
        </w:rPr>
        <w:t>,</w:t>
      </w:r>
      <w:r w:rsidR="00045547" w:rsidRPr="00045547">
        <w:rPr>
          <w:lang w:val="en-GB" w:eastAsia="zh-CN"/>
        </w:rPr>
        <w:t xml:space="preserve"> </w:t>
      </w:r>
      <w:r w:rsidR="00F8750E">
        <w:rPr>
          <w:lang w:val="en-GB" w:eastAsia="zh-CN"/>
        </w:rPr>
        <w:t xml:space="preserve">thus </w:t>
      </w:r>
      <w:r w:rsidR="00BD2696">
        <w:rPr>
          <w:lang w:val="en-GB" w:eastAsia="zh-CN"/>
        </w:rPr>
        <w:t xml:space="preserve">leading to </w:t>
      </w:r>
      <w:r w:rsidR="000B756E">
        <w:rPr>
          <w:lang w:val="en-GB" w:eastAsia="zh-CN"/>
        </w:rPr>
        <w:t xml:space="preserve">much </w:t>
      </w:r>
      <w:r w:rsidR="00C743FE" w:rsidRPr="00045547">
        <w:rPr>
          <w:lang w:val="en-GB" w:eastAsia="zh-CN"/>
        </w:rPr>
        <w:t xml:space="preserve">longer </w:t>
      </w:r>
      <w:r w:rsidR="00BD2696">
        <w:rPr>
          <w:lang w:val="en-GB" w:eastAsia="zh-CN"/>
        </w:rPr>
        <w:t xml:space="preserve">charge lifetime </w:t>
      </w:r>
      <w:r w:rsidR="00C743FE" w:rsidRPr="00045547">
        <w:rPr>
          <w:lang w:val="en-GB" w:eastAsia="zh-CN"/>
        </w:rPr>
        <w:t>than in the fullerene blend</w:t>
      </w:r>
      <w:r w:rsidR="00045547" w:rsidRPr="00045547">
        <w:rPr>
          <w:lang w:val="en-GB" w:eastAsia="zh-CN"/>
        </w:rPr>
        <w:t xml:space="preserve"> (</w:t>
      </w:r>
      <w:r w:rsidR="00297BAD">
        <w:rPr>
          <w:lang w:val="en-GB" w:eastAsia="zh-CN"/>
        </w:rPr>
        <w:t xml:space="preserve">nearly an </w:t>
      </w:r>
      <w:r w:rsidR="00297BAD" w:rsidRPr="00045547">
        <w:rPr>
          <w:lang w:val="en-GB" w:eastAsia="zh-CN"/>
        </w:rPr>
        <w:t>order of magnitude</w:t>
      </w:r>
      <w:r w:rsidR="00C2432A">
        <w:rPr>
          <w:lang w:val="en-GB" w:eastAsia="zh-CN"/>
        </w:rPr>
        <w:t xml:space="preserve"> increase</w:t>
      </w:r>
      <w:r w:rsidR="00297BAD">
        <w:rPr>
          <w:lang w:val="en-GB" w:eastAsia="zh-CN"/>
        </w:rPr>
        <w:t>;</w:t>
      </w:r>
      <w:r w:rsidR="00297BAD" w:rsidRPr="00045547">
        <w:rPr>
          <w:lang w:val="en-GB" w:eastAsia="zh-CN"/>
        </w:rPr>
        <w:t xml:space="preserve"> </w:t>
      </w:r>
      <w:r w:rsidR="00045547" w:rsidRPr="00045547">
        <w:rPr>
          <w:lang w:val="en-GB" w:eastAsia="zh-CN"/>
        </w:rPr>
        <w:t>see Fig</w:t>
      </w:r>
      <w:r w:rsidR="0063009E">
        <w:rPr>
          <w:lang w:val="en-GB" w:eastAsia="zh-CN"/>
        </w:rPr>
        <w:t>.</w:t>
      </w:r>
      <w:r w:rsidR="00045547" w:rsidRPr="00045547">
        <w:rPr>
          <w:lang w:val="en-GB" w:eastAsia="zh-CN"/>
        </w:rPr>
        <w:t xml:space="preserve"> </w:t>
      </w:r>
      <w:r w:rsidR="0063009E">
        <w:rPr>
          <w:lang w:val="en-GB" w:eastAsia="zh-CN"/>
        </w:rPr>
        <w:t>3b</w:t>
      </w:r>
      <w:r w:rsidR="00045547" w:rsidRPr="00045547">
        <w:rPr>
          <w:lang w:val="en-GB" w:eastAsia="zh-CN"/>
        </w:rPr>
        <w:t>)</w:t>
      </w:r>
      <w:r w:rsidR="00C743FE" w:rsidRPr="00045547">
        <w:rPr>
          <w:lang w:val="en-GB" w:eastAsia="zh-CN"/>
        </w:rPr>
        <w:t xml:space="preserve">. </w:t>
      </w:r>
      <w:r w:rsidRPr="002A40D9">
        <w:rPr>
          <w:lang w:val="en-GB" w:eastAsia="zh-CN"/>
        </w:rPr>
        <w:t xml:space="preserve">We </w:t>
      </w:r>
      <w:r w:rsidR="0080218F" w:rsidRPr="002A40D9">
        <w:rPr>
          <w:lang w:val="en-GB" w:eastAsia="zh-CN"/>
        </w:rPr>
        <w:t>consider</w:t>
      </w:r>
      <w:r w:rsidRPr="002A40D9">
        <w:rPr>
          <w:lang w:val="en-GB" w:eastAsia="zh-CN"/>
        </w:rPr>
        <w:t xml:space="preserve"> </w:t>
      </w:r>
      <w:r w:rsidR="00535A05" w:rsidRPr="002A40D9">
        <w:rPr>
          <w:lang w:val="en-GB" w:eastAsia="zh-CN"/>
        </w:rPr>
        <w:t>three</w:t>
      </w:r>
      <w:r w:rsidRPr="002A40D9">
        <w:rPr>
          <w:lang w:val="en-GB" w:eastAsia="zh-CN"/>
        </w:rPr>
        <w:t xml:space="preserve"> possible </w:t>
      </w:r>
      <w:r w:rsidR="00535A05" w:rsidRPr="002A40D9">
        <w:rPr>
          <w:lang w:val="en-GB" w:eastAsia="zh-CN"/>
        </w:rPr>
        <w:t xml:space="preserve">factors that help prevent </w:t>
      </w:r>
      <w:r w:rsidR="00F8750E" w:rsidRPr="002A40D9">
        <w:rPr>
          <w:lang w:val="en-GB" w:eastAsia="zh-CN"/>
        </w:rPr>
        <w:t xml:space="preserve">triplet recombination in the </w:t>
      </w:r>
      <w:r w:rsidR="00535A05" w:rsidRPr="002A40D9">
        <w:rPr>
          <w:lang w:val="en-GB" w:eastAsia="zh-CN"/>
        </w:rPr>
        <w:t xml:space="preserve">two </w:t>
      </w:r>
      <w:r w:rsidR="00F8750E" w:rsidRPr="002A40D9">
        <w:rPr>
          <w:lang w:val="en-GB" w:eastAsia="zh-CN"/>
        </w:rPr>
        <w:t>NFA blends</w:t>
      </w:r>
      <w:r w:rsidRPr="002A40D9">
        <w:rPr>
          <w:lang w:val="en-GB" w:eastAsia="zh-CN"/>
        </w:rPr>
        <w:t>.</w:t>
      </w:r>
      <w:r w:rsidRPr="00045547">
        <w:rPr>
          <w:lang w:val="en-GB" w:eastAsia="zh-CN"/>
        </w:rPr>
        <w:t xml:space="preserve"> Firstly, </w:t>
      </w:r>
      <w:r w:rsidR="006E303B">
        <w:rPr>
          <w:lang w:val="en-GB" w:eastAsia="zh-CN"/>
        </w:rPr>
        <w:t>the close energy alignment between</w:t>
      </w:r>
      <w:r w:rsidRPr="00045547">
        <w:rPr>
          <w:lang w:val="en-GB" w:eastAsia="zh-CN"/>
        </w:rPr>
        <w:t xml:space="preserve"> singlet </w:t>
      </w:r>
      <w:r w:rsidR="006E303B">
        <w:rPr>
          <w:lang w:val="en-GB" w:eastAsia="zh-CN"/>
        </w:rPr>
        <w:t xml:space="preserve">exciton </w:t>
      </w:r>
      <w:r w:rsidR="00535A05">
        <w:rPr>
          <w:lang w:val="en-GB"/>
        </w:rPr>
        <w:t>(S</w:t>
      </w:r>
      <w:r w:rsidR="00535A05">
        <w:rPr>
          <w:vertAlign w:val="subscript"/>
          <w:lang w:val="en-GB"/>
        </w:rPr>
        <w:t>1</w:t>
      </w:r>
      <w:r w:rsidR="00535A05">
        <w:rPr>
          <w:lang w:val="en-GB"/>
        </w:rPr>
        <w:t>)</w:t>
      </w:r>
      <w:r w:rsidR="00535A05">
        <w:rPr>
          <w:vertAlign w:val="subscript"/>
          <w:lang w:val="en-GB"/>
        </w:rPr>
        <w:t xml:space="preserve">  </w:t>
      </w:r>
      <w:r w:rsidRPr="00045547">
        <w:rPr>
          <w:lang w:val="en-GB" w:eastAsia="zh-CN"/>
        </w:rPr>
        <w:t xml:space="preserve">and CTE can give rise to </w:t>
      </w:r>
      <w:r w:rsidR="006E303B">
        <w:rPr>
          <w:lang w:val="en-GB" w:eastAsia="zh-CN"/>
        </w:rPr>
        <w:t xml:space="preserve">state </w:t>
      </w:r>
      <w:r w:rsidRPr="00045547">
        <w:rPr>
          <w:lang w:val="en-GB" w:eastAsia="zh-CN"/>
        </w:rPr>
        <w:t xml:space="preserve">hybridisation </w:t>
      </w:r>
      <w:r w:rsidR="00161887">
        <w:rPr>
          <w:lang w:val="en-GB" w:eastAsia="zh-CN"/>
        </w:rPr>
        <w:fldChar w:fldCharType="begin" w:fldLock="1"/>
      </w:r>
      <w:r w:rsidR="005D75E8">
        <w:rPr>
          <w:lang w:val="en-GB" w:eastAsia="zh-CN"/>
        </w:rPr>
        <w:instrText>ADDIN CSL_CITATION {"citationItems":[{"id":"ITEM-1","itemData":{"DOI":"10.1021/jacs.9b01465","ISSN":"0002-7863","author":[{"dropping-particle":"","family":"Eisner","given":"Flurin D.","non-dropping-particle":"","parse-names":false,"suffix":""},{"dropping-particle":"","family":"Azzouzi","given":"Mohammed","non-dropping-particle":"","parse-names":false,"suffix":""},{"dropping-particle":"","family":"Fei","given":"Zhuping","non-dropping-particle":"","parse-names":false,"suffix":""},{"dropping-particle":"","family":"Hou","given":"Xueyan","non-dropping-particle":"","parse-names":false,"suffix":""},{"dropping-particle":"","family":"Anthopoulos","given":"Thomas D.","non-dropping-particle":"","parse-names":false,"suffix":""},{"dropping-particle":"","family":"Dennis","given":"Terence John Stephen","non-dropping-particle":"","parse-names":false,"suffix":""},{"dropping-particle":"","family":"Heeney","given":"Martin","non-dropping-particle":"","parse-names":false,"suffix":""},{"dropping-particle":"","family":"Nelson","given":"Jenny","non-dropping-particle":"","parse-names":false,"suffix":""}],"container-title":"Journal of the American Chemical Society","id":"ITEM-1","issue":"15","issued":{"date-parts":[["2019","4","17"]]},"page":"6362-6374","title":"Hybridization of Local Exciton and Charge-Transfer States Reduces Nonradiative Voltage Losses in Organic Solar Cells","type":"article-journal","volume":"141"},"uris":["http://www.mendeley.com/documents/?uuid=dc179a48-88df-48c8-9eb8-04447f4660bb"]}],"mendeley":{"formattedCitation":"&lt;sup&gt;26&lt;/sup&gt;","plainTextFormattedCitation":"26","previouslyFormattedCitation":"&lt;sup&gt;26&lt;/sup&gt;"},"properties":{"noteIndex":0},"schema":"https://github.com/citation-style-language/schema/raw/master/csl-citation.json"}</w:instrText>
      </w:r>
      <w:r w:rsidR="00161887">
        <w:rPr>
          <w:lang w:val="en-GB" w:eastAsia="zh-CN"/>
        </w:rPr>
        <w:fldChar w:fldCharType="separate"/>
      </w:r>
      <w:r w:rsidR="005D75E8" w:rsidRPr="005D75E8">
        <w:rPr>
          <w:noProof/>
          <w:vertAlign w:val="superscript"/>
          <w:lang w:val="en-GB" w:eastAsia="zh-CN"/>
        </w:rPr>
        <w:t>26</w:t>
      </w:r>
      <w:r w:rsidR="00161887">
        <w:rPr>
          <w:lang w:val="en-GB" w:eastAsia="zh-CN"/>
        </w:rPr>
        <w:fldChar w:fldCharType="end"/>
      </w:r>
      <w:r w:rsidR="006E303B">
        <w:rPr>
          <w:lang w:val="en-GB" w:eastAsia="zh-CN"/>
        </w:rPr>
        <w:t xml:space="preserve"> that</w:t>
      </w:r>
      <w:r w:rsidRPr="00045547">
        <w:rPr>
          <w:lang w:val="en-GB" w:eastAsia="zh-CN"/>
        </w:rPr>
        <w:t xml:space="preserve"> may lower the energy of the singlet </w:t>
      </w:r>
      <w:r w:rsidRPr="00045547">
        <w:rPr>
          <w:vertAlign w:val="superscript"/>
          <w:lang w:val="en-GB" w:eastAsia="zh-CN"/>
        </w:rPr>
        <w:t>1</w:t>
      </w:r>
      <w:r w:rsidRPr="00045547">
        <w:rPr>
          <w:lang w:val="en-GB" w:eastAsia="zh-CN"/>
        </w:rPr>
        <w:t xml:space="preserve">CTE state versus the triplet </w:t>
      </w:r>
      <w:r w:rsidRPr="00045547">
        <w:rPr>
          <w:vertAlign w:val="superscript"/>
          <w:lang w:val="en-GB" w:eastAsia="zh-CN"/>
        </w:rPr>
        <w:t>3</w:t>
      </w:r>
      <w:r w:rsidRPr="00045547">
        <w:rPr>
          <w:lang w:val="en-GB" w:eastAsia="zh-CN"/>
        </w:rPr>
        <w:t xml:space="preserve">CTE states, </w:t>
      </w:r>
      <w:r w:rsidR="006E303B">
        <w:rPr>
          <w:lang w:val="en-GB" w:eastAsia="zh-CN"/>
        </w:rPr>
        <w:t xml:space="preserve">thus </w:t>
      </w:r>
      <w:r w:rsidRPr="00045547">
        <w:rPr>
          <w:lang w:val="en-GB" w:eastAsia="zh-CN"/>
        </w:rPr>
        <w:t xml:space="preserve">leading to preferential population of the </w:t>
      </w:r>
      <w:r w:rsidRPr="00045547">
        <w:rPr>
          <w:vertAlign w:val="superscript"/>
          <w:lang w:val="en-GB" w:eastAsia="zh-CN"/>
        </w:rPr>
        <w:t>1</w:t>
      </w:r>
      <w:r w:rsidRPr="00045547">
        <w:rPr>
          <w:lang w:val="en-GB" w:eastAsia="zh-CN"/>
        </w:rPr>
        <w:t xml:space="preserve">CTE state upon bimolecular </w:t>
      </w:r>
      <w:r w:rsidR="006E303B">
        <w:rPr>
          <w:lang w:val="en-GB" w:eastAsia="zh-CN"/>
        </w:rPr>
        <w:t>charge encounters</w:t>
      </w:r>
      <w:r w:rsidRPr="00045547">
        <w:rPr>
          <w:lang w:val="en-GB" w:eastAsia="zh-CN"/>
        </w:rPr>
        <w:t xml:space="preserve">. </w:t>
      </w:r>
      <w:r w:rsidR="00F8750E">
        <w:rPr>
          <w:lang w:val="en-GB" w:eastAsia="zh-CN"/>
        </w:rPr>
        <w:t xml:space="preserve">But while this </w:t>
      </w:r>
      <w:r w:rsidR="00D80184">
        <w:rPr>
          <w:lang w:val="en-GB" w:eastAsia="zh-CN"/>
        </w:rPr>
        <w:t xml:space="preserve">explanation </w:t>
      </w:r>
      <w:r w:rsidR="00F8750E">
        <w:rPr>
          <w:lang w:val="en-GB" w:eastAsia="zh-CN"/>
        </w:rPr>
        <w:lastRenderedPageBreak/>
        <w:t xml:space="preserve">may apply to the </w:t>
      </w:r>
      <w:r w:rsidR="00F8750E" w:rsidRPr="00045547">
        <w:rPr>
          <w:lang w:val="en-GB" w:eastAsia="zh-CN"/>
        </w:rPr>
        <w:t>P3TEA:SF-PDI</w:t>
      </w:r>
      <w:r w:rsidR="00F8750E" w:rsidRPr="00045547">
        <w:rPr>
          <w:vertAlign w:val="subscript"/>
          <w:lang w:val="en-GB" w:eastAsia="zh-CN"/>
        </w:rPr>
        <w:t>2</w:t>
      </w:r>
      <w:r w:rsidR="00F8750E" w:rsidRPr="00045547">
        <w:rPr>
          <w:lang w:val="en-GB" w:eastAsia="zh-CN"/>
        </w:rPr>
        <w:t xml:space="preserve"> </w:t>
      </w:r>
      <w:r w:rsidR="00F8750E">
        <w:rPr>
          <w:lang w:val="en-GB" w:eastAsia="zh-CN"/>
        </w:rPr>
        <w:t xml:space="preserve">blend, it does not apply to P3TEA:di-PDI since there is a </w:t>
      </w:r>
      <w:r w:rsidR="00F8750E" w:rsidRPr="00045547">
        <w:rPr>
          <w:lang w:val="en-GB" w:eastAsia="zh-CN"/>
        </w:rPr>
        <w:t xml:space="preserve">large offset (~200 meV) </w:t>
      </w:r>
      <w:r w:rsidR="00F8750E">
        <w:rPr>
          <w:lang w:val="en-GB" w:eastAsia="zh-CN"/>
        </w:rPr>
        <w:t xml:space="preserve">between these states to prevent </w:t>
      </w:r>
      <w:r w:rsidR="00F8750E" w:rsidRPr="00045547">
        <w:rPr>
          <w:lang w:val="en-GB" w:eastAsia="zh-CN"/>
        </w:rPr>
        <w:t>hybridisation.</w:t>
      </w:r>
      <w:r w:rsidR="00F8750E">
        <w:rPr>
          <w:lang w:val="en-GB" w:eastAsia="zh-CN"/>
        </w:rPr>
        <w:t xml:space="preserve"> </w:t>
      </w:r>
      <w:r w:rsidR="00535A05">
        <w:rPr>
          <w:lang w:val="en-GB" w:eastAsia="zh-CN"/>
        </w:rPr>
        <w:t>We therefore rule out CTE-S</w:t>
      </w:r>
      <w:r w:rsidR="00535A05">
        <w:rPr>
          <w:vertAlign w:val="subscript"/>
          <w:lang w:val="en-GB" w:eastAsia="zh-CN"/>
        </w:rPr>
        <w:t xml:space="preserve">1  </w:t>
      </w:r>
      <w:r w:rsidR="00535A05" w:rsidRPr="00535A05">
        <w:rPr>
          <w:lang w:val="en-GB" w:eastAsia="zh-CN"/>
        </w:rPr>
        <w:t>state</w:t>
      </w:r>
      <w:r w:rsidR="00535A05">
        <w:rPr>
          <w:vertAlign w:val="subscript"/>
          <w:lang w:val="en-GB" w:eastAsia="zh-CN"/>
        </w:rPr>
        <w:t xml:space="preserve"> </w:t>
      </w:r>
      <w:r w:rsidR="00535A05">
        <w:rPr>
          <w:lang w:val="en-GB" w:eastAsia="zh-CN"/>
        </w:rPr>
        <w:t xml:space="preserve">hybridization as a required condition for suppressing triplet recombination. Instead, we consider that the </w:t>
      </w:r>
      <w:r w:rsidR="00A95337">
        <w:rPr>
          <w:lang w:val="en-GB" w:eastAsia="zh-CN"/>
        </w:rPr>
        <w:t>small energy difference</w:t>
      </w:r>
      <w:r w:rsidRPr="00045547">
        <w:rPr>
          <w:lang w:val="en-GB" w:eastAsia="zh-CN"/>
        </w:rPr>
        <w:t xml:space="preserve"> between the lowest triplet</w:t>
      </w:r>
      <w:r w:rsidR="00A95337">
        <w:rPr>
          <w:lang w:val="en-GB" w:eastAsia="zh-CN"/>
        </w:rPr>
        <w:t xml:space="preserve"> excitons</w:t>
      </w:r>
      <w:r w:rsidRPr="00045547">
        <w:rPr>
          <w:lang w:val="en-GB" w:eastAsia="zh-CN"/>
        </w:rPr>
        <w:t xml:space="preserve"> of PCBM </w:t>
      </w:r>
      <w:r w:rsidR="00A95337">
        <w:rPr>
          <w:lang w:val="en-GB" w:eastAsia="zh-CN"/>
        </w:rPr>
        <w:t xml:space="preserve">molecules </w:t>
      </w:r>
      <w:r w:rsidRPr="00045547">
        <w:rPr>
          <w:lang w:val="en-GB" w:eastAsia="zh-CN"/>
        </w:rPr>
        <w:t>(E</w:t>
      </w:r>
      <w:r w:rsidRPr="00045547">
        <w:rPr>
          <w:vertAlign w:val="subscript"/>
          <w:lang w:val="en-GB" w:eastAsia="zh-CN"/>
        </w:rPr>
        <w:t xml:space="preserve">T1 </w:t>
      </w:r>
      <w:r w:rsidRPr="00045547">
        <w:rPr>
          <w:lang w:val="en-GB" w:eastAsia="zh-CN"/>
        </w:rPr>
        <w:t xml:space="preserve">~1.5eV) and </w:t>
      </w:r>
      <w:r w:rsidR="00F8750E">
        <w:rPr>
          <w:lang w:val="en-GB" w:eastAsia="zh-CN"/>
        </w:rPr>
        <w:t xml:space="preserve">the </w:t>
      </w:r>
      <w:r w:rsidRPr="00045547">
        <w:rPr>
          <w:lang w:val="en-GB" w:eastAsia="zh-CN"/>
        </w:rPr>
        <w:t>CTE</w:t>
      </w:r>
      <w:r w:rsidR="00F8750E">
        <w:rPr>
          <w:lang w:val="en-GB" w:eastAsia="zh-CN"/>
        </w:rPr>
        <w:t xml:space="preserve"> state</w:t>
      </w:r>
      <w:r w:rsidRPr="00045547">
        <w:rPr>
          <w:lang w:val="en-GB" w:eastAsia="zh-CN"/>
        </w:rPr>
        <w:t xml:space="preserve"> (</w:t>
      </w:r>
      <w:r w:rsidR="00A66EBA" w:rsidRPr="00045547">
        <w:rPr>
          <w:lang w:val="en-GB" w:eastAsia="zh-CN"/>
        </w:rPr>
        <w:t>E</w:t>
      </w:r>
      <w:r w:rsidR="00A66EBA" w:rsidRPr="00045547">
        <w:rPr>
          <w:vertAlign w:val="subscript"/>
          <w:lang w:val="en-GB" w:eastAsia="zh-CN"/>
        </w:rPr>
        <w:t xml:space="preserve">CTE </w:t>
      </w:r>
      <w:r w:rsidRPr="00045547">
        <w:rPr>
          <w:lang w:val="en-GB" w:eastAsia="zh-CN"/>
        </w:rPr>
        <w:t xml:space="preserve">~1.6eV </w:t>
      </w:r>
      <w:r w:rsidR="00045547">
        <w:rPr>
          <w:lang w:val="en-GB" w:eastAsia="zh-CN"/>
        </w:rPr>
        <w:t xml:space="preserve">in </w:t>
      </w:r>
      <w:r w:rsidR="00A66EBA" w:rsidRPr="00045547">
        <w:rPr>
          <w:lang w:val="en-GB" w:eastAsia="zh-CN"/>
        </w:rPr>
        <w:t>P3TEA:PCBM</w:t>
      </w:r>
      <w:r w:rsidRPr="00045547">
        <w:rPr>
          <w:lang w:val="en-GB" w:eastAsia="zh-CN"/>
        </w:rPr>
        <w:t>)</w:t>
      </w:r>
      <w:r w:rsidR="00535A05">
        <w:rPr>
          <w:lang w:val="en-GB" w:eastAsia="zh-CN"/>
        </w:rPr>
        <w:t xml:space="preserve"> is a key factor that drives triplet recombination in the fullerene blend</w:t>
      </w:r>
      <w:r w:rsidR="00F8750E">
        <w:rPr>
          <w:lang w:val="en-GB" w:eastAsia="zh-CN"/>
        </w:rPr>
        <w:t>.</w:t>
      </w:r>
      <w:r w:rsidRPr="00045547">
        <w:rPr>
          <w:lang w:val="en-GB" w:eastAsia="zh-CN"/>
        </w:rPr>
        <w:t xml:space="preserve"> </w:t>
      </w:r>
      <w:r w:rsidR="00D41B9C">
        <w:rPr>
          <w:lang w:val="en-GB" w:eastAsia="zh-CN"/>
        </w:rPr>
        <w:t>The transition rate from CTE to T</w:t>
      </w:r>
      <w:r w:rsidR="00D41B9C">
        <w:rPr>
          <w:vertAlign w:val="subscript"/>
          <w:lang w:val="en-GB" w:eastAsia="zh-CN"/>
        </w:rPr>
        <w:t>1</w:t>
      </w:r>
      <w:r w:rsidR="00D41B9C">
        <w:rPr>
          <w:lang w:val="en-GB" w:eastAsia="zh-CN"/>
        </w:rPr>
        <w:t xml:space="preserve"> can be estimated by the Marcus electron-transfer rate equation </w:t>
      </w:r>
      <w:r w:rsidR="00D41B9C">
        <w:rPr>
          <w:lang w:val="en-GB" w:eastAsia="zh-CN"/>
        </w:rPr>
        <w:fldChar w:fldCharType="begin" w:fldLock="1"/>
      </w:r>
      <w:r w:rsidR="005D75E8">
        <w:rPr>
          <w:lang w:val="en-GB" w:eastAsia="zh-CN"/>
        </w:rPr>
        <w:instrText>ADDIN CSL_CITATION {"citationItems":[{"id":"ITEM-1","itemData":{"DOI":"10.1103/RevModPhys.65.599","ISBN":"9810226802","ISSN":"00346861","PMID":"21417292","abstract":"Since the late 1940s, the field of electron transfer processes has grown enormously, both in chemistry and biology. The development of the field, experimentally and theoretically, as well as its relation to the study of other kinds of chemical reactions, presents to us an intriguing history, one in which many threads have been brought together. In this lecture, some history, recent trends, and my own involvement in this research are described.","author":[{"dropping-particle":"","family":"Marcus","given":"Rudolph A.","non-dropping-particle":"","parse-names":false,"suffix":""}],"container-title":"Reviews of Modern Physics","id":"ITEM-1","issue":"3","issued":{"date-parts":[["1993"]]},"page":"599-610","title":"Electron transfer reactions in chemistry. Theory and experiment","type":"article-journal","volume":"65"},"uris":["http://www.mendeley.com/documents/?uuid=08ad10f3-2b6b-4264-b9cd-1a4ee27dec80"]}],"mendeley":{"formattedCitation":"&lt;sup&gt;31&lt;/sup&gt;","plainTextFormattedCitation":"31","previouslyFormattedCitation":"&lt;sup&gt;31&lt;/sup&gt;"},"properties":{"noteIndex":0},"schema":"https://github.com/citation-style-language/schema/raw/master/csl-citation.json"}</w:instrText>
      </w:r>
      <w:r w:rsidR="00D41B9C">
        <w:rPr>
          <w:lang w:val="en-GB" w:eastAsia="zh-CN"/>
        </w:rPr>
        <w:fldChar w:fldCharType="separate"/>
      </w:r>
      <w:r w:rsidR="005D75E8" w:rsidRPr="005D75E8">
        <w:rPr>
          <w:noProof/>
          <w:vertAlign w:val="superscript"/>
          <w:lang w:val="en-GB" w:eastAsia="zh-CN"/>
        </w:rPr>
        <w:t>31</w:t>
      </w:r>
      <w:r w:rsidR="00D41B9C">
        <w:rPr>
          <w:lang w:val="en-GB" w:eastAsia="zh-CN"/>
        </w:rPr>
        <w:fldChar w:fldCharType="end"/>
      </w:r>
      <w:r w:rsidR="00D41B9C">
        <w:rPr>
          <w:lang w:val="en-GB" w:eastAsia="zh-CN"/>
        </w:rPr>
        <w:t>:</w:t>
      </w:r>
    </w:p>
    <w:p w14:paraId="601B48E9" w14:textId="1868195A" w:rsidR="00D41B9C" w:rsidRDefault="00D41B9C" w:rsidP="000D43E8">
      <w:pPr>
        <w:spacing w:line="480" w:lineRule="auto"/>
        <w:jc w:val="center"/>
        <w:rPr>
          <w:lang w:val="en-GB" w:eastAsia="zh-CN"/>
        </w:rPr>
      </w:pPr>
      <m:oMath>
        <m:r>
          <w:rPr>
            <w:rFonts w:ascii="Cambria Math" w:hAnsi="Cambria Math"/>
            <w:lang w:val="en-GB" w:eastAsia="zh-CN"/>
          </w:rPr>
          <m:t>k=</m:t>
        </m:r>
        <m:f>
          <m:fPr>
            <m:ctrlPr>
              <w:rPr>
                <w:rFonts w:ascii="Cambria Math" w:hAnsi="Cambria Math"/>
                <w:i/>
                <w:lang w:val="en-GB" w:eastAsia="zh-CN"/>
              </w:rPr>
            </m:ctrlPr>
          </m:fPr>
          <m:num>
            <m:r>
              <w:rPr>
                <w:rFonts w:ascii="Cambria Math" w:hAnsi="Cambria Math"/>
                <w:lang w:val="en-GB" w:eastAsia="zh-CN"/>
              </w:rPr>
              <m:t>2π</m:t>
            </m:r>
          </m:num>
          <m:den>
            <m:r>
              <w:rPr>
                <w:rFonts w:ascii="Cambria Math" w:hAnsi="Cambria Math"/>
                <w:lang w:val="en-GB" w:eastAsia="zh-CN"/>
              </w:rPr>
              <m:t>ℏ</m:t>
            </m:r>
          </m:den>
        </m:f>
        <m:f>
          <m:fPr>
            <m:ctrlPr>
              <w:rPr>
                <w:rFonts w:ascii="Cambria Math" w:hAnsi="Cambria Math"/>
                <w:i/>
                <w:lang w:val="en-GB" w:eastAsia="zh-CN"/>
              </w:rPr>
            </m:ctrlPr>
          </m:fPr>
          <m:num>
            <m:sSup>
              <m:sSupPr>
                <m:ctrlPr>
                  <w:rPr>
                    <w:rFonts w:ascii="Cambria Math" w:hAnsi="Cambria Math"/>
                    <w:i/>
                    <w:lang w:val="en-GB" w:eastAsia="zh-CN"/>
                  </w:rPr>
                </m:ctrlPr>
              </m:sSupPr>
              <m:e>
                <m:d>
                  <m:dPr>
                    <m:begChr m:val="|"/>
                    <m:endChr m:val="|"/>
                    <m:ctrlPr>
                      <w:rPr>
                        <w:rFonts w:ascii="Cambria Math" w:hAnsi="Cambria Math"/>
                        <w:i/>
                        <w:lang w:val="en-GB" w:eastAsia="zh-CN"/>
                      </w:rPr>
                    </m:ctrlPr>
                  </m:dPr>
                  <m:e>
                    <m:r>
                      <w:rPr>
                        <w:rFonts w:ascii="Cambria Math" w:hAnsi="Cambria Math"/>
                        <w:lang w:val="en-GB" w:eastAsia="zh-CN"/>
                      </w:rPr>
                      <m:t>V</m:t>
                    </m:r>
                  </m:e>
                </m:d>
              </m:e>
              <m:sup>
                <m:r>
                  <w:rPr>
                    <w:rFonts w:ascii="Cambria Math" w:hAnsi="Cambria Math"/>
                    <w:lang w:val="en-GB" w:eastAsia="zh-CN"/>
                  </w:rPr>
                  <m:t>2</m:t>
                </m:r>
              </m:sup>
            </m:sSup>
          </m:num>
          <m:den>
            <m:rad>
              <m:radPr>
                <m:degHide m:val="1"/>
                <m:ctrlPr>
                  <w:rPr>
                    <w:rFonts w:ascii="Cambria Math" w:hAnsi="Cambria Math"/>
                    <w:i/>
                    <w:lang w:val="en-GB" w:eastAsia="zh-CN"/>
                  </w:rPr>
                </m:ctrlPr>
              </m:radPr>
              <m:deg/>
              <m:e>
                <m:r>
                  <w:rPr>
                    <w:rFonts w:ascii="Cambria Math" w:hAnsi="Cambria Math"/>
                    <w:lang w:val="en-GB" w:eastAsia="zh-CN"/>
                  </w:rPr>
                  <m:t>4πλ</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B</m:t>
                    </m:r>
                  </m:sub>
                </m:sSub>
                <m:r>
                  <w:rPr>
                    <w:rFonts w:ascii="Cambria Math" w:hAnsi="Cambria Math"/>
                    <w:lang w:val="en-GB" w:eastAsia="zh-CN"/>
                  </w:rPr>
                  <m:t>T</m:t>
                </m:r>
              </m:e>
            </m:rad>
          </m:den>
        </m:f>
        <m:r>
          <m:rPr>
            <m:nor/>
          </m:rPr>
          <w:rPr>
            <w:rFonts w:ascii="Cambria Math" w:hAnsi="Cambria Math"/>
            <w:lang w:val="en-GB" w:eastAsia="zh-CN"/>
          </w:rPr>
          <m:t>exp</m:t>
        </m:r>
        <m:d>
          <m:dPr>
            <m:ctrlPr>
              <w:rPr>
                <w:rFonts w:ascii="Cambria Math" w:hAnsi="Cambria Math"/>
                <w:i/>
                <w:lang w:val="en-GB" w:eastAsia="zh-CN"/>
              </w:rPr>
            </m:ctrlPr>
          </m:dPr>
          <m:e>
            <m:f>
              <m:fPr>
                <m:ctrlPr>
                  <w:rPr>
                    <w:rFonts w:ascii="Cambria Math" w:hAnsi="Cambria Math"/>
                    <w:i/>
                    <w:lang w:val="en-GB" w:eastAsia="zh-CN"/>
                  </w:rPr>
                </m:ctrlPr>
              </m:fPr>
              <m:num>
                <m:r>
                  <w:rPr>
                    <w:rFonts w:ascii="Cambria Math" w:hAnsi="Cambria Math"/>
                    <w:lang w:val="en-GB" w:eastAsia="zh-CN"/>
                  </w:rPr>
                  <m:t>-</m:t>
                </m:r>
                <m:sSup>
                  <m:sSupPr>
                    <m:ctrlPr>
                      <w:rPr>
                        <w:rFonts w:ascii="Cambria Math" w:hAnsi="Cambria Math"/>
                        <w:i/>
                        <w:lang w:val="en-GB" w:eastAsia="zh-CN"/>
                      </w:rPr>
                    </m:ctrlPr>
                  </m:sSupPr>
                  <m:e>
                    <m:r>
                      <w:rPr>
                        <w:rFonts w:ascii="Cambria Math" w:hAnsi="Cambria Math"/>
                        <w:lang w:val="en-GB" w:eastAsia="zh-CN"/>
                      </w:rPr>
                      <m:t>(∆G+λ)</m:t>
                    </m:r>
                  </m:e>
                  <m:sup>
                    <m:r>
                      <w:rPr>
                        <w:rFonts w:ascii="Cambria Math" w:hAnsi="Cambria Math"/>
                        <w:lang w:val="en-GB" w:eastAsia="zh-CN"/>
                      </w:rPr>
                      <m:t>2</m:t>
                    </m:r>
                  </m:sup>
                </m:sSup>
              </m:num>
              <m:den>
                <m:r>
                  <w:rPr>
                    <w:rFonts w:ascii="Cambria Math" w:hAnsi="Cambria Math"/>
                    <w:lang w:val="en-GB" w:eastAsia="zh-CN"/>
                  </w:rPr>
                  <m:t>4λ</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B</m:t>
                    </m:r>
                  </m:sub>
                </m:sSub>
                <m:r>
                  <w:rPr>
                    <w:rFonts w:ascii="Cambria Math" w:hAnsi="Cambria Math"/>
                    <w:lang w:val="en-GB" w:eastAsia="zh-CN"/>
                  </w:rPr>
                  <m:t>T</m:t>
                </m:r>
              </m:den>
            </m:f>
          </m:e>
        </m:d>
      </m:oMath>
      <w:r w:rsidR="000D43E8">
        <w:rPr>
          <w:lang w:val="en-GB" w:eastAsia="zh-CN"/>
        </w:rPr>
        <w:t xml:space="preserve">    </w:t>
      </w:r>
      <w:r w:rsidR="000D43E8">
        <w:rPr>
          <w:lang w:val="en-GB" w:eastAsia="zh-CN"/>
        </w:rPr>
        <w:tab/>
      </w:r>
      <w:r w:rsidR="000D43E8">
        <w:rPr>
          <w:lang w:val="en-GB" w:eastAsia="zh-CN"/>
        </w:rPr>
        <w:tab/>
        <w:t>(1)</w:t>
      </w:r>
    </w:p>
    <w:p w14:paraId="7778396B" w14:textId="60A013D8" w:rsidR="002A40D9" w:rsidRDefault="00D41B9C" w:rsidP="005E0230">
      <w:pPr>
        <w:spacing w:line="480" w:lineRule="auto"/>
        <w:jc w:val="both"/>
        <w:rPr>
          <w:lang w:val="en-GB"/>
        </w:rPr>
      </w:pPr>
      <w:r>
        <w:rPr>
          <w:lang w:val="en-GB" w:eastAsia="zh-CN"/>
        </w:rPr>
        <w:t xml:space="preserve">where </w:t>
      </w:r>
      <w:r w:rsidRPr="00D41B9C">
        <w:rPr>
          <w:i/>
          <w:iCs/>
          <w:lang w:val="en-GB" w:eastAsia="zh-CN"/>
        </w:rPr>
        <w:t>T</w:t>
      </w:r>
      <w:r>
        <w:rPr>
          <w:lang w:val="en-GB" w:eastAsia="zh-CN"/>
        </w:rPr>
        <w:t xml:space="preserve"> is </w:t>
      </w:r>
      <w:r w:rsidR="000D43E8">
        <w:rPr>
          <w:lang w:val="en-GB" w:eastAsia="zh-CN"/>
        </w:rPr>
        <w:t xml:space="preserve">the </w:t>
      </w:r>
      <w:r>
        <w:rPr>
          <w:lang w:val="en-GB" w:eastAsia="zh-CN"/>
        </w:rPr>
        <w:t>temperature,</w:t>
      </w:r>
      <w:r w:rsidR="000D43E8">
        <w:rPr>
          <w:lang w:val="en-GB" w:eastAsia="zh-CN"/>
        </w:rPr>
        <w:t xml:space="preserve"> </w:t>
      </w:r>
      <w:r w:rsidR="000D43E8" w:rsidRPr="000D43E8">
        <w:rPr>
          <w:i/>
          <w:iCs/>
          <w:lang w:val="en-GB" w:eastAsia="zh-CN"/>
        </w:rPr>
        <w:t>k</w:t>
      </w:r>
      <w:r w:rsidR="000D43E8" w:rsidRPr="000D43E8">
        <w:rPr>
          <w:i/>
          <w:iCs/>
          <w:vertAlign w:val="subscript"/>
          <w:lang w:val="en-GB" w:eastAsia="zh-CN"/>
        </w:rPr>
        <w:t>B</w:t>
      </w:r>
      <w:r w:rsidR="000D43E8">
        <w:rPr>
          <w:vertAlign w:val="subscript"/>
          <w:lang w:val="en-GB" w:eastAsia="zh-CN"/>
        </w:rPr>
        <w:t xml:space="preserve"> </w:t>
      </w:r>
      <w:r w:rsidR="000D43E8" w:rsidRPr="000D43E8">
        <w:rPr>
          <w:lang w:val="en-GB" w:eastAsia="zh-CN"/>
        </w:rPr>
        <w:t>is the</w:t>
      </w:r>
      <w:r w:rsidR="000D43E8">
        <w:rPr>
          <w:lang w:val="en-GB" w:eastAsia="zh-CN"/>
        </w:rPr>
        <w:t xml:space="preserve"> Boltzmann constant,</w:t>
      </w:r>
      <m:oMath>
        <m:r>
          <w:rPr>
            <w:rFonts w:ascii="Cambria Math" w:hAnsi="Cambria Math"/>
            <w:lang w:val="en-GB" w:eastAsia="zh-CN"/>
          </w:rPr>
          <m:t xml:space="preserve"> λ</m:t>
        </m:r>
      </m:oMath>
      <w:r w:rsidR="000D43E8">
        <w:rPr>
          <w:lang w:val="en-GB" w:eastAsia="zh-CN"/>
        </w:rPr>
        <w:t xml:space="preserve"> is the reorganization energy, and </w:t>
      </w:r>
      <m:oMath>
        <m:r>
          <w:rPr>
            <w:rFonts w:ascii="Cambria Math" w:hAnsi="Cambria Math"/>
            <w:lang w:val="en-GB" w:eastAsia="zh-CN"/>
          </w:rPr>
          <m:t>∆G</m:t>
        </m:r>
      </m:oMath>
      <w:r>
        <w:rPr>
          <w:lang w:val="en-GB" w:eastAsia="zh-CN"/>
        </w:rPr>
        <w:t xml:space="preserve"> and </w:t>
      </w:r>
      <m:oMath>
        <m:r>
          <w:rPr>
            <w:rFonts w:ascii="Cambria Math" w:hAnsi="Cambria Math"/>
            <w:lang w:val="en-GB" w:eastAsia="zh-CN"/>
          </w:rPr>
          <m:t>V</m:t>
        </m:r>
      </m:oMath>
      <w:r>
        <w:rPr>
          <w:lang w:val="en-GB" w:eastAsia="zh-CN"/>
        </w:rPr>
        <w:t xml:space="preserve"> denot</w:t>
      </w:r>
      <w:r w:rsidR="000D43E8">
        <w:rPr>
          <w:lang w:val="en-GB" w:eastAsia="zh-CN"/>
        </w:rPr>
        <w:t>e</w:t>
      </w:r>
      <w:r>
        <w:rPr>
          <w:lang w:val="en-GB" w:eastAsia="zh-CN"/>
        </w:rPr>
        <w:t xml:space="preserve"> the Gibbs free energy difference and the electronic coupling between the </w:t>
      </w:r>
      <w:r w:rsidR="002258F1">
        <w:rPr>
          <w:lang w:val="en-GB" w:eastAsia="zh-CN"/>
        </w:rPr>
        <w:t>final and initial electronic states, respectively.</w:t>
      </w:r>
      <w:r w:rsidR="00B34A75">
        <w:rPr>
          <w:lang w:val="en-GB" w:eastAsia="zh-CN"/>
        </w:rPr>
        <w:t xml:space="preserve"> Previous work has shown that </w:t>
      </w:r>
      <w:r w:rsidR="00535A05">
        <w:rPr>
          <w:lang w:val="en-GB" w:eastAsia="zh-CN"/>
        </w:rPr>
        <w:t>CTE-</w:t>
      </w:r>
      <w:r w:rsidR="00535A05">
        <w:rPr>
          <w:lang w:val="en-GB"/>
        </w:rPr>
        <w:t>T</w:t>
      </w:r>
      <w:r w:rsidR="00535A05">
        <w:rPr>
          <w:vertAlign w:val="subscript"/>
          <w:lang w:val="en-GB"/>
        </w:rPr>
        <w:t xml:space="preserve">1 </w:t>
      </w:r>
      <w:r w:rsidR="00535A05">
        <w:rPr>
          <w:lang w:val="en-GB"/>
        </w:rPr>
        <w:t>transition falls into the Marcus inverted regime and</w:t>
      </w:r>
      <w:r w:rsidR="00535A05">
        <w:rPr>
          <w:vertAlign w:val="subscript"/>
          <w:lang w:val="en-GB"/>
        </w:rPr>
        <w:t xml:space="preserve"> </w:t>
      </w:r>
      <m:oMath>
        <m:r>
          <w:rPr>
            <w:rFonts w:ascii="Cambria Math" w:hAnsi="Cambria Math"/>
            <w:lang w:val="en-GB" w:eastAsia="zh-CN"/>
          </w:rPr>
          <m:t>∆G</m:t>
        </m:r>
      </m:oMath>
      <w:r w:rsidR="00B34A75">
        <w:rPr>
          <w:lang w:val="en-GB" w:eastAsia="zh-CN"/>
        </w:rPr>
        <w:t xml:space="preserve"> can be approximated by the energy difference between the local T</w:t>
      </w:r>
      <w:r w:rsidR="00B34A75">
        <w:rPr>
          <w:vertAlign w:val="subscript"/>
          <w:lang w:val="en-GB" w:eastAsia="zh-CN"/>
        </w:rPr>
        <w:t>1</w:t>
      </w:r>
      <w:r w:rsidR="00B34A75">
        <w:rPr>
          <w:lang w:val="en-GB" w:eastAsia="zh-CN"/>
        </w:rPr>
        <w:t xml:space="preserve"> state and the CTE state </w:t>
      </w:r>
      <w:r w:rsidR="00B34A75">
        <w:rPr>
          <w:lang w:val="en-GB" w:eastAsia="zh-CN"/>
        </w:rPr>
        <w:fldChar w:fldCharType="begin" w:fldLock="1"/>
      </w:r>
      <w:r w:rsidR="00D342E4">
        <w:rPr>
          <w:lang w:val="en-GB" w:eastAsia="zh-CN"/>
        </w:rPr>
        <w:instrText>ADDIN CSL_CITATION {"citationItems":[{"id":"ITEM-1","itemData":{"DOI":"10.1002/aenm.201602713","ISSN":"16146832","author":[{"dropping-particle":"","family":"Chen","given":"Xian-kai","non-dropping-particle":"","parse-names":false,"suffix":""},{"dropping-particle":"","family":"Wang","given":"Tonghui","non-dropping-particle":"","parse-names":false,"suffix":""},{"dropping-particle":"","family":"Brédas","given":"Jean-luc","non-dropping-particle":"","parse-names":false,"suffix":""}],"container-title":"Advanced Energy Materials","id":"ITEM-1","issue":"15","issued":{"date-parts":[["2017","8"]]},"page":"1602713","title":"Suppressing Energy Loss due to Triplet Exciton Formation in Organic Solar Cells: The Role of Chemical Structures and Molecular Packing","type":"article-journal","volume":"7"},"uris":["http://www.mendeley.com/documents/?uuid=44e8bab6-9414-4ea8-8b33-56748023a03f"]}],"mendeley":{"formattedCitation":"&lt;sup&gt;15&lt;/sup&gt;","plainTextFormattedCitation":"15","previouslyFormattedCitation":"&lt;sup&gt;15&lt;/sup&gt;"},"properties":{"noteIndex":0},"schema":"https://github.com/citation-style-language/schema/raw/master/csl-citation.json"}</w:instrText>
      </w:r>
      <w:r w:rsidR="00B34A75">
        <w:rPr>
          <w:lang w:val="en-GB" w:eastAsia="zh-CN"/>
        </w:rPr>
        <w:fldChar w:fldCharType="separate"/>
      </w:r>
      <w:r w:rsidR="00F94D9F" w:rsidRPr="00F94D9F">
        <w:rPr>
          <w:noProof/>
          <w:vertAlign w:val="superscript"/>
          <w:lang w:val="en-GB" w:eastAsia="zh-CN"/>
        </w:rPr>
        <w:t>15</w:t>
      </w:r>
      <w:r w:rsidR="00B34A75">
        <w:rPr>
          <w:lang w:val="en-GB" w:eastAsia="zh-CN"/>
        </w:rPr>
        <w:fldChar w:fldCharType="end"/>
      </w:r>
      <w:r w:rsidR="00B34A75">
        <w:rPr>
          <w:lang w:val="en-GB" w:eastAsia="zh-CN"/>
        </w:rPr>
        <w:t xml:space="preserve">. </w:t>
      </w:r>
      <w:r w:rsidR="00535A05">
        <w:rPr>
          <w:lang w:val="en-GB" w:eastAsia="zh-CN"/>
        </w:rPr>
        <w:t xml:space="preserve">Given the Marcus inverted regime, </w:t>
      </w:r>
      <w:r w:rsidR="00F8750E">
        <w:rPr>
          <w:lang w:val="en-GB" w:eastAsia="zh-CN"/>
        </w:rPr>
        <w:t xml:space="preserve">the </w:t>
      </w:r>
      <w:r w:rsidR="00A30C21">
        <w:rPr>
          <w:lang w:val="en-GB" w:eastAsia="zh-CN"/>
        </w:rPr>
        <w:t>CTE-T</w:t>
      </w:r>
      <w:r w:rsidR="00A30C21">
        <w:rPr>
          <w:vertAlign w:val="subscript"/>
          <w:lang w:val="en-GB" w:eastAsia="zh-CN"/>
        </w:rPr>
        <w:t>1</w:t>
      </w:r>
      <w:r w:rsidR="00A30C21">
        <w:rPr>
          <w:lang w:val="en-GB" w:eastAsia="zh-CN"/>
        </w:rPr>
        <w:t xml:space="preserve"> transition </w:t>
      </w:r>
      <w:r w:rsidR="00F8750E">
        <w:rPr>
          <w:lang w:val="en-GB" w:eastAsia="zh-CN"/>
        </w:rPr>
        <w:t xml:space="preserve">rate </w:t>
      </w:r>
      <w:r w:rsidR="00A30C21">
        <w:rPr>
          <w:lang w:val="en-GB" w:eastAsia="zh-CN"/>
        </w:rPr>
        <w:t>increasing exponentially</w:t>
      </w:r>
      <w:r w:rsidR="00F8750E">
        <w:rPr>
          <w:lang w:val="en-GB" w:eastAsia="zh-CN"/>
        </w:rPr>
        <w:t xml:space="preserve"> with </w:t>
      </w:r>
      <w:r w:rsidR="00A30C21">
        <w:rPr>
          <w:lang w:val="en-GB" w:eastAsia="zh-CN"/>
        </w:rPr>
        <w:t xml:space="preserve">reducing </w:t>
      </w:r>
      <w:r w:rsidR="00F8750E">
        <w:rPr>
          <w:lang w:val="en-GB" w:eastAsia="zh-CN"/>
        </w:rPr>
        <w:t xml:space="preserve">energy difference </w:t>
      </w:r>
      <w:r w:rsidR="00A30C21">
        <w:rPr>
          <w:lang w:val="en-GB" w:eastAsia="zh-CN"/>
        </w:rPr>
        <w:t>between these states.</w:t>
      </w:r>
      <w:r w:rsidR="00F8750E">
        <w:rPr>
          <w:lang w:val="en-GB" w:eastAsia="zh-CN"/>
        </w:rPr>
        <w:t xml:space="preserve"> </w:t>
      </w:r>
      <w:r w:rsidR="00A30C21">
        <w:rPr>
          <w:lang w:val="en-GB" w:eastAsia="zh-CN"/>
        </w:rPr>
        <w:t>Therefore, t</w:t>
      </w:r>
      <w:r w:rsidR="00F8750E">
        <w:rPr>
          <w:lang w:val="en-GB" w:eastAsia="zh-CN"/>
        </w:rPr>
        <w:t>he high</w:t>
      </w:r>
      <w:r w:rsidR="00A30C21">
        <w:rPr>
          <w:lang w:val="en-GB" w:eastAsia="zh-CN"/>
        </w:rPr>
        <w:t>er</w:t>
      </w:r>
      <w:r w:rsidR="00F8750E">
        <w:rPr>
          <w:lang w:val="en-GB" w:eastAsia="zh-CN"/>
        </w:rPr>
        <w:t xml:space="preserve"> T</w:t>
      </w:r>
      <w:r w:rsidR="00F8750E">
        <w:rPr>
          <w:vertAlign w:val="subscript"/>
          <w:lang w:val="en-GB" w:eastAsia="zh-CN"/>
        </w:rPr>
        <w:t>1</w:t>
      </w:r>
      <w:r w:rsidR="00F8750E">
        <w:rPr>
          <w:lang w:val="en-GB" w:eastAsia="zh-CN"/>
        </w:rPr>
        <w:t xml:space="preserve"> energy of PCBM leads to a much faster </w:t>
      </w:r>
      <w:r w:rsidR="00F8750E" w:rsidRPr="00045547">
        <w:rPr>
          <w:lang w:val="en-GB" w:eastAsia="zh-CN"/>
        </w:rPr>
        <w:t xml:space="preserve">triplet </w:t>
      </w:r>
      <w:r w:rsidR="00F8750E">
        <w:rPr>
          <w:lang w:val="en-GB" w:eastAsia="zh-CN"/>
        </w:rPr>
        <w:t>formation rate in P3TEA:PCBM compared to the two NFA blends</w:t>
      </w:r>
      <w:r w:rsidR="00535A05">
        <w:rPr>
          <w:lang w:val="en-GB" w:eastAsia="zh-CN"/>
        </w:rPr>
        <w:t xml:space="preserve">. </w:t>
      </w:r>
      <w:r w:rsidR="007654F3">
        <w:rPr>
          <w:lang w:val="en-GB" w:eastAsia="zh-CN"/>
        </w:rPr>
        <w:t>This is reflected in</w:t>
      </w:r>
      <w:r w:rsidR="00535A05">
        <w:rPr>
          <w:lang w:val="en-GB" w:eastAsia="zh-CN"/>
        </w:rPr>
        <w:t xml:space="preserve"> the </w:t>
      </w:r>
      <w:r w:rsidR="00D04427">
        <w:rPr>
          <w:lang w:val="en-GB" w:eastAsia="zh-CN"/>
        </w:rPr>
        <w:t xml:space="preserve">calculated </w:t>
      </w:r>
      <w:r w:rsidR="00E52EFF">
        <w:rPr>
          <w:lang w:val="en-GB" w:eastAsia="zh-CN"/>
        </w:rPr>
        <w:t>CTE-T</w:t>
      </w:r>
      <w:r w:rsidR="00E52EFF">
        <w:rPr>
          <w:vertAlign w:val="subscript"/>
          <w:lang w:val="en-GB" w:eastAsia="zh-CN"/>
        </w:rPr>
        <w:t>1</w:t>
      </w:r>
      <w:r w:rsidR="00E52EFF">
        <w:rPr>
          <w:lang w:val="en-GB" w:eastAsia="zh-CN"/>
        </w:rPr>
        <w:t xml:space="preserve"> transition </w:t>
      </w:r>
      <w:r w:rsidR="00D04427">
        <w:rPr>
          <w:lang w:val="en-GB" w:eastAsia="zh-CN"/>
        </w:rPr>
        <w:t>rate versus energy difference</w:t>
      </w:r>
      <w:r w:rsidR="007654F3">
        <w:rPr>
          <w:lang w:val="en-GB" w:eastAsia="zh-CN"/>
        </w:rPr>
        <w:t xml:space="preserve"> (Fig. 4a)</w:t>
      </w:r>
      <w:r w:rsidR="00535A05">
        <w:rPr>
          <w:lang w:val="en-GB" w:eastAsia="zh-CN"/>
        </w:rPr>
        <w:t xml:space="preserve">, taking reorganization energy </w:t>
      </w:r>
      <m:oMath>
        <m:r>
          <w:rPr>
            <w:rFonts w:ascii="Cambria Math" w:hAnsi="Cambria Math"/>
            <w:lang w:val="en-GB" w:eastAsia="zh-CN"/>
          </w:rPr>
          <m:t>λ</m:t>
        </m:r>
      </m:oMath>
      <w:r w:rsidR="00535A05">
        <w:rPr>
          <w:lang w:val="en-GB" w:eastAsia="zh-CN"/>
        </w:rPr>
        <w:t xml:space="preserve"> </w:t>
      </w:r>
      <w:r w:rsidR="00236FCD">
        <w:rPr>
          <w:lang w:val="en-GB" w:eastAsia="zh-CN"/>
        </w:rPr>
        <w:t xml:space="preserve">of </w:t>
      </w:r>
      <w:r w:rsidR="00535A05">
        <w:rPr>
          <w:lang w:val="en-GB" w:eastAsia="zh-CN"/>
        </w:rPr>
        <w:t xml:space="preserve">150 meV and electronic coupling </w:t>
      </w:r>
      <w:r w:rsidR="00535A05" w:rsidRPr="00121F3E">
        <w:rPr>
          <w:i/>
          <w:iCs/>
          <w:lang w:val="en-GB" w:eastAsia="zh-CN"/>
        </w:rPr>
        <w:t>V</w:t>
      </w:r>
      <w:r w:rsidR="00535A05">
        <w:rPr>
          <w:lang w:val="en-GB" w:eastAsia="zh-CN"/>
        </w:rPr>
        <w:t xml:space="preserve"> between the two states </w:t>
      </w:r>
      <w:r w:rsidR="00236FCD">
        <w:rPr>
          <w:lang w:val="en-GB" w:eastAsia="zh-CN"/>
        </w:rPr>
        <w:t xml:space="preserve">as </w:t>
      </w:r>
      <w:r w:rsidR="00535A05">
        <w:rPr>
          <w:lang w:val="en-GB" w:eastAsia="zh-CN"/>
        </w:rPr>
        <w:t>10 cm</w:t>
      </w:r>
      <w:r w:rsidR="00535A05">
        <w:rPr>
          <w:vertAlign w:val="superscript"/>
          <w:lang w:val="en-GB" w:eastAsia="zh-CN"/>
        </w:rPr>
        <w:t>-1</w:t>
      </w:r>
      <w:r w:rsidR="005B2934">
        <w:rPr>
          <w:vertAlign w:val="superscript"/>
          <w:lang w:val="en-GB" w:eastAsia="zh-CN"/>
        </w:rPr>
        <w:t xml:space="preserve"> </w:t>
      </w:r>
      <w:r w:rsidR="005B2934">
        <w:rPr>
          <w:lang w:val="en-GB" w:eastAsia="zh-CN"/>
        </w:rPr>
        <w:t xml:space="preserve">(Ref. </w:t>
      </w:r>
      <w:r w:rsidR="00236FCD">
        <w:rPr>
          <w:lang w:val="en-GB" w:eastAsia="zh-CN"/>
        </w:rPr>
        <w:fldChar w:fldCharType="begin" w:fldLock="1"/>
      </w:r>
      <w:r w:rsidR="00D342E4">
        <w:rPr>
          <w:lang w:val="en-GB" w:eastAsia="zh-CN"/>
        </w:rPr>
        <w:instrText>ADDIN CSL_CITATION {"citationItems":[{"id":"ITEM-1","itemData":{"DOI":"10.1002/aenm.201602713","ISSN":"16146832","author":[{"dropping-particle":"","family":"Chen","given":"Xian-kai","non-dropping-particle":"","parse-names":false,"suffix":""},{"dropping-particle":"","family":"Wang","given":"Tonghui","non-dropping-particle":"","parse-names":false,"suffix":""},{"dropping-particle":"","family":"Brédas","given":"Jean-luc","non-dropping-particle":"","parse-names":false,"suffix":""}],"container-title":"Advanced Energy Materials","id":"ITEM-1","issue":"15","issued":{"date-parts":[["2017","8"]]},"page":"1602713","title":"Suppressing Energy Loss due to Triplet Exciton Formation in Organic Solar Cells: The Role of Chemical Structures and Molecular Packing","type":"article-journal","volume":"7"},"uris":["http://www.mendeley.com/documents/?uuid=44e8bab6-9414-4ea8-8b33-56748023a03f"]}],"mendeley":{"formattedCitation":"&lt;sup&gt;15&lt;/sup&gt;","plainTextFormattedCitation":"15","previouslyFormattedCitation":"&lt;sup&gt;15&lt;/sup&gt;"},"properties":{"noteIndex":0},"schema":"https://github.com/citation-style-language/schema/raw/master/csl-citation.json"}</w:instrText>
      </w:r>
      <w:r w:rsidR="00236FCD">
        <w:rPr>
          <w:lang w:val="en-GB" w:eastAsia="zh-CN"/>
        </w:rPr>
        <w:fldChar w:fldCharType="separate"/>
      </w:r>
      <w:r w:rsidR="00F94D9F" w:rsidRPr="00F94D9F">
        <w:rPr>
          <w:noProof/>
          <w:vertAlign w:val="superscript"/>
          <w:lang w:val="en-GB" w:eastAsia="zh-CN"/>
        </w:rPr>
        <w:t>15</w:t>
      </w:r>
      <w:r w:rsidR="00236FCD">
        <w:rPr>
          <w:lang w:val="en-GB" w:eastAsia="zh-CN"/>
        </w:rPr>
        <w:fldChar w:fldCharType="end"/>
      </w:r>
      <w:r w:rsidR="005B2934">
        <w:rPr>
          <w:lang w:val="en-GB" w:eastAsia="zh-CN"/>
        </w:rPr>
        <w:t xml:space="preserve">; </w:t>
      </w:r>
      <w:r w:rsidR="007D049A">
        <w:rPr>
          <w:lang w:val="en-GB" w:eastAsia="zh-CN"/>
        </w:rPr>
        <w:t xml:space="preserve">calculated transition rates at various </w:t>
      </w:r>
      <m:oMath>
        <m:r>
          <w:rPr>
            <w:rFonts w:ascii="Cambria Math" w:hAnsi="Cambria Math"/>
            <w:lang w:val="en-GB" w:eastAsia="zh-CN"/>
          </w:rPr>
          <m:t>λ</m:t>
        </m:r>
      </m:oMath>
      <w:r w:rsidR="007D049A">
        <w:rPr>
          <w:lang w:val="en-GB" w:eastAsia="zh-CN"/>
        </w:rPr>
        <w:t xml:space="preserve"> and </w:t>
      </w:r>
      <w:r w:rsidR="007D049A" w:rsidRPr="00121F3E">
        <w:rPr>
          <w:i/>
          <w:iCs/>
          <w:lang w:val="en-GB" w:eastAsia="zh-CN"/>
        </w:rPr>
        <w:t>V</w:t>
      </w:r>
      <w:r w:rsidR="007D049A">
        <w:rPr>
          <w:lang w:val="en-GB" w:eastAsia="zh-CN"/>
        </w:rPr>
        <w:t xml:space="preserve"> are shown in Fig. S5 of Supporting Information).</w:t>
      </w:r>
      <w:r w:rsidR="00F8750E">
        <w:rPr>
          <w:lang w:val="en-GB" w:eastAsia="zh-CN"/>
        </w:rPr>
        <w:t xml:space="preserve"> </w:t>
      </w:r>
      <w:r w:rsidR="00E52EFF">
        <w:rPr>
          <w:lang w:val="en-GB" w:eastAsia="zh-CN"/>
        </w:rPr>
        <w:t>The results show that transition from CTE to the PCBM T</w:t>
      </w:r>
      <w:r w:rsidR="00E52EFF">
        <w:rPr>
          <w:vertAlign w:val="subscript"/>
          <w:lang w:val="en-GB" w:eastAsia="zh-CN"/>
        </w:rPr>
        <w:t>1</w:t>
      </w:r>
      <w:r w:rsidR="00E52EFF">
        <w:rPr>
          <w:lang w:val="en-GB" w:eastAsia="zh-CN"/>
        </w:rPr>
        <w:t xml:space="preserve"> state happens at a fast rate of ~10</w:t>
      </w:r>
      <w:r w:rsidR="00E52EFF">
        <w:rPr>
          <w:vertAlign w:val="superscript"/>
          <w:lang w:val="en-GB" w:eastAsia="zh-CN"/>
        </w:rPr>
        <w:t>11</w:t>
      </w:r>
      <w:r w:rsidR="00E52EFF">
        <w:rPr>
          <w:lang w:val="en-GB" w:eastAsia="zh-CN"/>
        </w:rPr>
        <w:t xml:space="preserve"> s</w:t>
      </w:r>
      <w:r w:rsidR="00E52EFF">
        <w:rPr>
          <w:vertAlign w:val="superscript"/>
          <w:lang w:val="en-GB" w:eastAsia="zh-CN"/>
        </w:rPr>
        <w:t>-1</w:t>
      </w:r>
      <w:r w:rsidR="00E52EFF">
        <w:rPr>
          <w:lang w:val="en-GB" w:eastAsia="zh-CN"/>
        </w:rPr>
        <w:t xml:space="preserve">. </w:t>
      </w:r>
      <w:r w:rsidR="002A40D9">
        <w:rPr>
          <w:lang w:val="en-GB" w:eastAsia="zh-CN"/>
        </w:rPr>
        <w:t>Once formed, these PCBM T</w:t>
      </w:r>
      <w:r w:rsidR="002A40D9">
        <w:rPr>
          <w:vertAlign w:val="subscript"/>
          <w:lang w:val="en-GB" w:eastAsia="zh-CN"/>
        </w:rPr>
        <w:t>1</w:t>
      </w:r>
      <w:r w:rsidR="002A40D9">
        <w:rPr>
          <w:lang w:val="en-GB" w:eastAsia="zh-CN"/>
        </w:rPr>
        <w:t xml:space="preserve"> states can subsequently transfer </w:t>
      </w:r>
      <w:r w:rsidR="002A40D9" w:rsidRPr="00045547">
        <w:rPr>
          <w:lang w:val="en-GB" w:eastAsia="zh-CN"/>
        </w:rPr>
        <w:t xml:space="preserve">to the </w:t>
      </w:r>
      <w:r w:rsidR="002A40D9">
        <w:rPr>
          <w:lang w:val="en-GB" w:eastAsia="zh-CN"/>
        </w:rPr>
        <w:t>lower-lying polymeric donor T</w:t>
      </w:r>
      <w:r w:rsidR="002A40D9">
        <w:rPr>
          <w:vertAlign w:val="subscript"/>
          <w:lang w:val="en-GB" w:eastAsia="zh-CN"/>
        </w:rPr>
        <w:t>1</w:t>
      </w:r>
      <w:r w:rsidR="002A40D9">
        <w:rPr>
          <w:lang w:val="en-GB" w:eastAsia="zh-CN"/>
        </w:rPr>
        <w:t xml:space="preserve"> state (as we observed in the TA experiments), and then recombine to the ground state </w:t>
      </w:r>
      <w:r w:rsidR="002A40D9">
        <w:rPr>
          <w:lang w:val="en-GB" w:eastAsia="zh-CN"/>
        </w:rPr>
        <w:fldChar w:fldCharType="begin" w:fldLock="1"/>
      </w:r>
      <w:r w:rsidR="00B50CC7">
        <w:rPr>
          <w:lang w:val="en-GB" w:eastAsia="zh-CN"/>
        </w:rPr>
        <w:instrText>ADDIN CSL_CITATION {"citationItems":[{"id":"ITEM-1","itemData":{"DOI":"10.1021/ja410092n","ISBN":"1520-5126 (Electronic)\\r0002-7863 (Linking)","ISSN":"0002-7863","PMID":"24521399","abstract":"The nanoscale morphology and high charge densities in organic photovoltaics (OPVs) lead to a high rate of bimolecular encounters between spin-uncorrelated electrons and holes. This process can lead to the formation of low-energy triplet excitons on the donor polymer that decay nonradiatively and limit the device performance. We use time-resolved optical spectroscopy to characterize the effect of morphology through the use of solvent additives such as 1,8-octanedithiol (ODT) on triplet dynamics and charge recombination in blends of poly[2,6-(4,4-bis(2-ethylhexyl)-4H-cyclopenta[2,1-b;3,4-b']-dithiophene)-alt-4,7-(2,1,3-benzothiadiazole)] and [6,6]-phenyl-C71-butyric acid methyl ester. This is an attractive OPV system since the extended absorption of the polymer into the near-infrared gives good coverage of the solar spectrum, but nevertheless, the internal quantum efficiency (IQE) has not been reported to be higher than ~65% under short circuit conditions. We find that, without ODT, the IQE is 48% and 16% of excitations decay via bimolecular triplet formation. With ODT treatment, which improves crystallinity and carrier mobility, the IQE increases to 65%, but bimolecular triplet formation significantly increases and now accounts for all of the recombination (35% of charges).","author":[{"dropping-particle":"","family":"Chow","given":"Philip C Y","non-dropping-particle":"","parse-names":false,"suffix":""},{"dropping-particle":"","family":"Gélinas","given":"Simon","non-dropping-particle":"","parse-names":false,"suffix":""},{"dropping-particle":"","family":"Rao","given":"Akshay","non-dropping-particle":"","parse-names":false,"suffix":""},{"dropping-particle":"","family":"Friend","given":"Richard H.","non-dropping-particle":"","parse-names":false,"suffix":""}],"container-title":"Journal of the American Chemical Society","id":"ITEM-1","issue":"9","issued":{"date-parts":[["2014","3","5"]]},"page":"3424-3429","title":"Quantitative Bimolecular Recombination in Organic Photovoltaics through Triplet Exciton Formation","type":"article-journal","volume":"136"},"uris":["http://www.mendeley.com/documents/?uuid=a4484a2f-d9c1-4637-be2c-b9a5a70b089e"]}],"mendeley":{"formattedCitation":"&lt;sup&gt;8&lt;/sup&gt;","plainTextFormattedCitation":"8","previouslyFormattedCitation":"&lt;sup&gt;8&lt;/sup&gt;"},"properties":{"noteIndex":0},"schema":"https://github.com/citation-style-language/schema/raw/master/csl-citation.json"}</w:instrText>
      </w:r>
      <w:r w:rsidR="002A40D9">
        <w:rPr>
          <w:lang w:val="en-GB" w:eastAsia="zh-CN"/>
        </w:rPr>
        <w:fldChar w:fldCharType="separate"/>
      </w:r>
      <w:r w:rsidR="00C31944" w:rsidRPr="00C31944">
        <w:rPr>
          <w:noProof/>
          <w:vertAlign w:val="superscript"/>
          <w:lang w:val="en-GB" w:eastAsia="zh-CN"/>
        </w:rPr>
        <w:t>8</w:t>
      </w:r>
      <w:r w:rsidR="002A40D9">
        <w:rPr>
          <w:lang w:val="en-GB" w:eastAsia="zh-CN"/>
        </w:rPr>
        <w:fldChar w:fldCharType="end"/>
      </w:r>
      <w:r w:rsidR="002A40D9" w:rsidRPr="00045547">
        <w:rPr>
          <w:lang w:val="en-GB" w:eastAsia="zh-CN"/>
        </w:rPr>
        <w:t>.</w:t>
      </w:r>
      <w:r w:rsidR="002A40D9">
        <w:rPr>
          <w:lang w:val="en-GB" w:eastAsia="zh-CN"/>
        </w:rPr>
        <w:t xml:space="preserve"> </w:t>
      </w:r>
      <w:r w:rsidR="00E9410B" w:rsidRPr="00D41143">
        <w:rPr>
          <w:lang w:val="en-GB" w:eastAsia="zh-CN"/>
        </w:rPr>
        <w:t>We note that the PCBM T</w:t>
      </w:r>
      <w:r w:rsidR="00E9410B" w:rsidRPr="00D41143">
        <w:rPr>
          <w:vertAlign w:val="subscript"/>
          <w:lang w:val="en-GB" w:eastAsia="zh-CN"/>
        </w:rPr>
        <w:t>1</w:t>
      </w:r>
      <w:r w:rsidR="00E9410B" w:rsidRPr="00D41143">
        <w:rPr>
          <w:lang w:val="en-GB" w:eastAsia="zh-CN"/>
        </w:rPr>
        <w:t xml:space="preserve"> signal is not observed in the TA data because they are much weaker than the polymer </w:t>
      </w:r>
      <w:r w:rsidR="00BA65B2" w:rsidRPr="00D41143">
        <w:rPr>
          <w:lang w:val="en-GB" w:eastAsia="zh-CN"/>
        </w:rPr>
        <w:t>charge/triplet signals</w:t>
      </w:r>
      <w:r w:rsidR="00DB4A90" w:rsidRPr="00D41143">
        <w:rPr>
          <w:lang w:val="en-GB" w:eastAsia="zh-CN"/>
        </w:rPr>
        <w:t xml:space="preserve"> (see SI for details)</w:t>
      </w:r>
      <w:r w:rsidR="00680ABB" w:rsidRPr="00D41143">
        <w:rPr>
          <w:lang w:val="en-GB" w:eastAsia="zh-CN"/>
        </w:rPr>
        <w:t xml:space="preserve"> </w:t>
      </w:r>
      <w:r w:rsidR="00680ABB" w:rsidRPr="00D41143">
        <w:rPr>
          <w:vertAlign w:val="superscript"/>
          <w:lang w:val="en-GB" w:eastAsia="zh-CN"/>
        </w:rPr>
        <w:t>4,8</w:t>
      </w:r>
      <w:r w:rsidR="00BA65B2" w:rsidRPr="00D41143">
        <w:rPr>
          <w:lang w:val="en-GB" w:eastAsia="zh-CN"/>
        </w:rPr>
        <w:t>.</w:t>
      </w:r>
      <w:r w:rsidR="00BA65B2">
        <w:rPr>
          <w:lang w:val="en-GB" w:eastAsia="zh-CN"/>
        </w:rPr>
        <w:t xml:space="preserve"> </w:t>
      </w:r>
      <w:r w:rsidR="00E52EFF">
        <w:rPr>
          <w:lang w:val="en-GB" w:eastAsia="zh-CN"/>
        </w:rPr>
        <w:t xml:space="preserve">In comparison, </w:t>
      </w:r>
      <w:r w:rsidR="007848C7">
        <w:rPr>
          <w:lang w:val="en-GB" w:eastAsia="zh-CN"/>
        </w:rPr>
        <w:t>taking only CTE-T</w:t>
      </w:r>
      <w:r w:rsidR="007848C7">
        <w:rPr>
          <w:vertAlign w:val="subscript"/>
          <w:lang w:val="en-GB" w:eastAsia="zh-CN"/>
        </w:rPr>
        <w:t>1</w:t>
      </w:r>
      <w:r w:rsidR="007848C7">
        <w:rPr>
          <w:lang w:val="en-GB" w:eastAsia="zh-CN"/>
        </w:rPr>
        <w:t xml:space="preserve"> energy difference into consideration, </w:t>
      </w:r>
      <w:r w:rsidR="00E52EFF">
        <w:rPr>
          <w:lang w:val="en-GB" w:eastAsia="zh-CN"/>
        </w:rPr>
        <w:t xml:space="preserve">the </w:t>
      </w:r>
      <w:r w:rsidR="007848C7">
        <w:rPr>
          <w:lang w:val="en-GB" w:eastAsia="zh-CN"/>
        </w:rPr>
        <w:t xml:space="preserve">triplet relaxation </w:t>
      </w:r>
      <w:r w:rsidR="00E52EFF">
        <w:rPr>
          <w:lang w:val="en-GB" w:eastAsia="zh-CN"/>
        </w:rPr>
        <w:t xml:space="preserve">rate is about two and six orders of </w:t>
      </w:r>
      <w:r w:rsidR="00E52EFF">
        <w:rPr>
          <w:lang w:val="en-GB" w:eastAsia="zh-CN"/>
        </w:rPr>
        <w:lastRenderedPageBreak/>
        <w:t>magnitudes slower in P3TEA:di-PDI</w:t>
      </w:r>
      <w:r w:rsidR="00E52EFF">
        <w:rPr>
          <w:vertAlign w:val="subscript"/>
          <w:lang w:val="en-GB" w:eastAsia="zh-CN"/>
        </w:rPr>
        <w:t>2</w:t>
      </w:r>
      <w:r w:rsidR="00E52EFF">
        <w:rPr>
          <w:lang w:val="en-GB" w:eastAsia="zh-CN"/>
        </w:rPr>
        <w:t xml:space="preserve"> and P3TEA:SF-PDI</w:t>
      </w:r>
      <w:r w:rsidR="00E52EFF">
        <w:rPr>
          <w:vertAlign w:val="subscript"/>
          <w:lang w:val="en-GB" w:eastAsia="zh-CN"/>
        </w:rPr>
        <w:t>2</w:t>
      </w:r>
      <w:r w:rsidR="00E52EFF">
        <w:rPr>
          <w:lang w:val="en-GB" w:eastAsia="zh-CN"/>
        </w:rPr>
        <w:t xml:space="preserve">, respectively, which is </w:t>
      </w:r>
      <w:r w:rsidR="007848C7">
        <w:rPr>
          <w:lang w:val="en-GB" w:eastAsia="zh-CN"/>
        </w:rPr>
        <w:t xml:space="preserve">sufficiently </w:t>
      </w:r>
      <w:r w:rsidR="00E52EFF">
        <w:rPr>
          <w:lang w:val="en-GB" w:eastAsia="zh-CN"/>
        </w:rPr>
        <w:t>slower than the CTE thermal separation rate (~10</w:t>
      </w:r>
      <w:r w:rsidR="00E52EFF">
        <w:rPr>
          <w:vertAlign w:val="superscript"/>
          <w:lang w:val="en-GB" w:eastAsia="zh-CN"/>
        </w:rPr>
        <w:t>10</w:t>
      </w:r>
      <w:r w:rsidR="00E52EFF">
        <w:rPr>
          <w:lang w:val="en-GB" w:eastAsia="zh-CN"/>
        </w:rPr>
        <w:t xml:space="preserve"> s</w:t>
      </w:r>
      <w:r w:rsidR="00E52EFF">
        <w:rPr>
          <w:vertAlign w:val="superscript"/>
          <w:lang w:val="en-GB" w:eastAsia="zh-CN"/>
        </w:rPr>
        <w:t>-1</w:t>
      </w:r>
      <w:r w:rsidR="00E52EFF">
        <w:rPr>
          <w:lang w:val="en-GB" w:eastAsia="zh-CN"/>
        </w:rPr>
        <w:t>)</w:t>
      </w:r>
      <w:r w:rsidR="007848C7">
        <w:rPr>
          <w:lang w:val="en-GB" w:eastAsia="zh-CN"/>
        </w:rPr>
        <w:t xml:space="preserve"> to prevent triplet formation</w:t>
      </w:r>
      <w:r w:rsidR="00E52EFF">
        <w:rPr>
          <w:lang w:val="en-GB" w:eastAsia="zh-CN"/>
        </w:rPr>
        <w:t xml:space="preserve">. </w:t>
      </w:r>
      <w:r w:rsidR="007654F3">
        <w:rPr>
          <w:lang w:val="en-GB" w:eastAsia="zh-CN"/>
        </w:rPr>
        <w:t xml:space="preserve">Furthermore, </w:t>
      </w:r>
      <w:r w:rsidR="004F4B43">
        <w:rPr>
          <w:lang w:val="en-GB" w:eastAsia="zh-CN"/>
        </w:rPr>
        <w:t xml:space="preserve">we consider that </w:t>
      </w:r>
      <w:r w:rsidR="007654F3">
        <w:rPr>
          <w:lang w:val="en-GB" w:eastAsia="zh-CN"/>
        </w:rPr>
        <w:t xml:space="preserve">the </w:t>
      </w:r>
      <w:r w:rsidR="007654F3">
        <w:rPr>
          <w:lang w:val="en-GB"/>
        </w:rPr>
        <w:t>spherical shape of fullerene molecules</w:t>
      </w:r>
      <w:r w:rsidR="004F4B43">
        <w:rPr>
          <w:lang w:val="en-GB"/>
        </w:rPr>
        <w:t xml:space="preserve"> may lead to better D/A mixing at the interface that leads to smaller </w:t>
      </w:r>
      <w:r w:rsidR="007654F3">
        <w:rPr>
          <w:lang w:val="en-GB"/>
        </w:rPr>
        <w:t xml:space="preserve">spatial distance between CTE and </w:t>
      </w:r>
      <w:r w:rsidR="007654F3">
        <w:rPr>
          <w:lang w:val="en-GB" w:eastAsia="zh-CN"/>
        </w:rPr>
        <w:t>T</w:t>
      </w:r>
      <w:r w:rsidR="007654F3">
        <w:rPr>
          <w:vertAlign w:val="subscript"/>
          <w:lang w:val="en-GB" w:eastAsia="zh-CN"/>
        </w:rPr>
        <w:t>1</w:t>
      </w:r>
      <w:r w:rsidR="007654F3">
        <w:rPr>
          <w:lang w:val="en-GB" w:eastAsia="zh-CN"/>
        </w:rPr>
        <w:t xml:space="preserve"> </w:t>
      </w:r>
      <w:r w:rsidR="007654F3">
        <w:rPr>
          <w:lang w:val="en-GB"/>
        </w:rPr>
        <w:t>state</w:t>
      </w:r>
      <w:r w:rsidR="004F4B43">
        <w:rPr>
          <w:lang w:val="en-GB"/>
        </w:rPr>
        <w:t xml:space="preserve"> </w:t>
      </w:r>
      <w:r w:rsidR="007654F3">
        <w:rPr>
          <w:lang w:val="en-GB"/>
        </w:rPr>
        <w:t>compared to NFA blends</w:t>
      </w:r>
      <w:r w:rsidR="00F83E5F">
        <w:rPr>
          <w:lang w:val="en-GB"/>
        </w:rPr>
        <w:t xml:space="preserve"> </w:t>
      </w:r>
      <w:r w:rsidR="00F83E5F">
        <w:rPr>
          <w:lang w:val="en-GB"/>
        </w:rPr>
        <w:fldChar w:fldCharType="begin" w:fldLock="1"/>
      </w:r>
      <w:r w:rsidR="00D342E4">
        <w:rPr>
          <w:lang w:val="en-GB"/>
        </w:rPr>
        <w:instrText>ADDIN CSL_CITATION {"citationItems":[{"id":"ITEM-1","itemData":{"DOI":"10.1002/aenm.201601325","ISSN":"16146832","abstract":"In organic solar cells, a major source of energy loss is attributed to nonradiative recombination from the interfacial charge transfer states to the ground state. By taking pentacene–C60 complexes as model donor–acceptor systems, a comprehensive theoretical understanding of how molecular packing and charge delocalization impact these nonradiative recombination rates at donor–acceptor interfaces is provided.","author":[{"dropping-particle":"","family":"Chen","given":"Xian-Kai","non-dropping-particle":"","parse-names":false,"suffix":""},{"dropping-particle":"","family":"Ravva","given":"Mahesh Kumar","non-dropping-particle":"","parse-names":false,"suffix":""},{"dropping-particle":"","family":"Li","given":"Hong","non-dropping-particle":"","parse-names":false,"suffix":""},{"dropping-particle":"","family":"Ryno","given":"Sean M.","non-dropping-particle":"","parse-names":false,"suffix":""},{"dropping-particle":"","family":"Brédas","given":"Jean-Luc","non-dropping-particle":"","parse-names":false,"suffix":""}],"container-title":"Advanced Energy Materials","id":"ITEM-1","issue":"24","issued":{"date-parts":[["2016"]]},"page":"1601325","title":"Effect of Molecular Packing and Charge Delocalization on the Nonradiative Recombination of Charge-Transfer States in Organic Solar Cells","type":"article-journal","volume":"6"},"uris":["http://www.mendeley.com/documents/?uuid=2ee2f77c-3266-44c3-9a0e-4f868cd37329"]}],"mendeley":{"formattedCitation":"&lt;sup&gt;17&lt;/sup&gt;","plainTextFormattedCitation":"17","previouslyFormattedCitation":"&lt;sup&gt;17&lt;/sup&gt;"},"properties":{"noteIndex":0},"schema":"https://github.com/citation-style-language/schema/raw/master/csl-citation.json"}</w:instrText>
      </w:r>
      <w:r w:rsidR="00F83E5F">
        <w:rPr>
          <w:lang w:val="en-GB"/>
        </w:rPr>
        <w:fldChar w:fldCharType="separate"/>
      </w:r>
      <w:r w:rsidR="00F94D9F" w:rsidRPr="00F94D9F">
        <w:rPr>
          <w:noProof/>
          <w:vertAlign w:val="superscript"/>
          <w:lang w:val="en-GB"/>
        </w:rPr>
        <w:t>17</w:t>
      </w:r>
      <w:r w:rsidR="00F83E5F">
        <w:rPr>
          <w:lang w:val="en-GB"/>
        </w:rPr>
        <w:fldChar w:fldCharType="end"/>
      </w:r>
      <w:r w:rsidR="0035558A">
        <w:rPr>
          <w:lang w:val="en-GB"/>
        </w:rPr>
        <w:t xml:space="preserve">. </w:t>
      </w:r>
      <w:r w:rsidR="004F4B43">
        <w:rPr>
          <w:lang w:val="en-GB"/>
        </w:rPr>
        <w:t xml:space="preserve">Thus, the smaller electronic couplings between </w:t>
      </w:r>
      <w:r w:rsidR="0035558A">
        <w:rPr>
          <w:lang w:val="en-GB"/>
        </w:rPr>
        <w:t>CTE and T</w:t>
      </w:r>
      <w:r w:rsidR="0035558A">
        <w:rPr>
          <w:vertAlign w:val="subscript"/>
          <w:lang w:val="en-GB"/>
        </w:rPr>
        <w:t>1</w:t>
      </w:r>
      <w:r w:rsidR="0035558A">
        <w:rPr>
          <w:lang w:val="en-GB"/>
        </w:rPr>
        <w:t xml:space="preserve"> states </w:t>
      </w:r>
      <w:r w:rsidR="004F4B43">
        <w:rPr>
          <w:lang w:val="en-GB"/>
        </w:rPr>
        <w:t xml:space="preserve">in NFA blends </w:t>
      </w:r>
      <w:r w:rsidR="0035558A">
        <w:rPr>
          <w:lang w:val="en-GB"/>
        </w:rPr>
        <w:t xml:space="preserve">may further reduce the </w:t>
      </w:r>
      <w:r w:rsidR="007848C7">
        <w:rPr>
          <w:lang w:val="en-GB"/>
        </w:rPr>
        <w:t xml:space="preserve">triplet relaxation rates </w:t>
      </w:r>
      <w:r w:rsidR="0035558A">
        <w:rPr>
          <w:lang w:val="en-GB"/>
        </w:rPr>
        <w:t xml:space="preserve">compared to those with fullerene acceptors </w:t>
      </w:r>
      <w:r w:rsidR="007848C7">
        <w:rPr>
          <w:lang w:val="en-GB"/>
        </w:rPr>
        <w:t>(</w:t>
      </w:r>
      <w:r w:rsidR="00534C00">
        <w:rPr>
          <w:lang w:val="en-GB"/>
        </w:rPr>
        <w:t>see Fig. S5)</w:t>
      </w:r>
      <w:r w:rsidR="007654F3">
        <w:rPr>
          <w:lang w:val="en-GB"/>
        </w:rPr>
        <w:t xml:space="preserve">. </w:t>
      </w:r>
    </w:p>
    <w:p w14:paraId="646A1F9D" w14:textId="77777777" w:rsidR="00B17320" w:rsidRDefault="00B17320" w:rsidP="005E0230">
      <w:pPr>
        <w:spacing w:line="480" w:lineRule="auto"/>
        <w:jc w:val="both"/>
        <w:rPr>
          <w:lang w:val="en-GB" w:eastAsia="zh-CN"/>
        </w:rPr>
      </w:pPr>
    </w:p>
    <w:p w14:paraId="564BB39C" w14:textId="39A5EC86" w:rsidR="001A0CA8" w:rsidRDefault="00F06A2B" w:rsidP="005E0230">
      <w:pPr>
        <w:spacing w:line="480" w:lineRule="auto"/>
        <w:jc w:val="both"/>
        <w:rPr>
          <w:lang w:val="en-GB" w:eastAsia="zh-CN"/>
        </w:rPr>
      </w:pPr>
      <w:r>
        <w:rPr>
          <w:lang w:val="en-GB" w:eastAsia="zh-CN"/>
        </w:rPr>
        <w:t>The presence of</w:t>
      </w:r>
      <w:r w:rsidR="004747AB">
        <w:rPr>
          <w:lang w:val="en-GB" w:eastAsia="zh-CN"/>
        </w:rPr>
        <w:t xml:space="preserve"> </w:t>
      </w:r>
      <w:r w:rsidR="00B17320">
        <w:rPr>
          <w:lang w:val="en-GB" w:eastAsia="zh-CN"/>
        </w:rPr>
        <w:t xml:space="preserve">triplet recombination in P3TEA:PCBM is consistent with the higher </w:t>
      </w:r>
      <w:r w:rsidR="00905E41">
        <w:rPr>
          <w:lang w:val="en-GB" w:eastAsia="zh-CN"/>
        </w:rPr>
        <w:t>open-</w:t>
      </w:r>
      <w:r w:rsidR="00B17320">
        <w:rPr>
          <w:lang w:val="en-GB" w:eastAsia="zh-CN"/>
        </w:rPr>
        <w:t xml:space="preserve">voltage loss </w:t>
      </w:r>
      <w:r w:rsidR="00905E41">
        <w:rPr>
          <w:lang w:val="en-GB" w:eastAsia="zh-CN"/>
        </w:rPr>
        <w:t xml:space="preserve">(0.83 V) for </w:t>
      </w:r>
      <w:r w:rsidR="00B17320">
        <w:rPr>
          <w:lang w:val="en-GB" w:eastAsia="zh-CN"/>
        </w:rPr>
        <w:t>this blend</w:t>
      </w:r>
      <w:r w:rsidR="00905E41">
        <w:rPr>
          <w:lang w:val="en-GB" w:eastAsia="zh-CN"/>
        </w:rPr>
        <w:t xml:space="preserve"> (0.61 V for P3TEA:SF-PDI</w:t>
      </w:r>
      <w:r w:rsidR="00905E41">
        <w:rPr>
          <w:vertAlign w:val="subscript"/>
          <w:lang w:val="en-GB" w:eastAsia="zh-CN"/>
        </w:rPr>
        <w:t>2</w:t>
      </w:r>
      <w:r w:rsidR="00905E41">
        <w:rPr>
          <w:lang w:val="en-GB" w:eastAsia="zh-CN"/>
        </w:rPr>
        <w:t xml:space="preserve"> and 0.77 V for P3TEA:di-PDI)</w:t>
      </w:r>
      <w:r w:rsidR="00B17320">
        <w:rPr>
          <w:lang w:val="en-GB" w:eastAsia="zh-CN"/>
        </w:rPr>
        <w:t xml:space="preserve">. </w:t>
      </w:r>
      <w:r w:rsidR="001A0CA8">
        <w:rPr>
          <w:lang w:val="en-GB" w:eastAsia="zh-CN"/>
        </w:rPr>
        <w:t xml:space="preserve">Three terms contribute to the </w:t>
      </w:r>
      <w:r w:rsidR="005577B5">
        <w:rPr>
          <w:lang w:val="en-GB" w:eastAsia="zh-CN"/>
        </w:rPr>
        <w:t xml:space="preserve">total voltage loss </w:t>
      </w:r>
      <w:r w:rsidR="001A0CA8">
        <w:rPr>
          <w:lang w:val="en-GB" w:eastAsia="zh-CN"/>
        </w:rPr>
        <w:t>(</w:t>
      </w:r>
      <w:r w:rsidR="001A0CA8">
        <w:rPr>
          <w:lang w:val="en-GB" w:eastAsia="zh-CN"/>
        </w:rPr>
        <w:sym w:font="Symbol" w:char="F044"/>
      </w:r>
      <w:r w:rsidR="001A0CA8">
        <w:rPr>
          <w:lang w:val="en-GB" w:eastAsia="zh-CN"/>
        </w:rPr>
        <w:t xml:space="preserve">V) </w:t>
      </w:r>
      <w:r w:rsidR="005577B5">
        <w:rPr>
          <w:lang w:val="en-GB" w:eastAsia="zh-CN"/>
        </w:rPr>
        <w:t>of a solar cell</w:t>
      </w:r>
      <w:r w:rsidR="00161887">
        <w:rPr>
          <w:lang w:val="en-GB" w:eastAsia="zh-CN"/>
        </w:rPr>
        <w:t xml:space="preserve"> </w:t>
      </w:r>
      <w:r w:rsidR="00161887">
        <w:rPr>
          <w:lang w:val="en-GB" w:eastAsia="zh-CN"/>
        </w:rPr>
        <w:fldChar w:fldCharType="begin" w:fldLock="1"/>
      </w:r>
      <w:r w:rsidR="005D75E8">
        <w:rPr>
          <w:lang w:val="en-GB" w:eastAsia="zh-CN"/>
        </w:rPr>
        <w:instrText>ADDIN CSL_CITATION {"citationItems":[{"id":"ITEM-1","itemData":{"DOI":"10.1038/nenergy.2016.89","ISBN":"0001415123","ISSN":"2058-7546","abstract":"Fast and efficient charge separation is essential to achieve high power conversion efficiency in organic solar cells (OSCs). In state-of-the-art OSCs, this is usually achieved by a significant driving force, defined as the offset between the bandgap (Egap) of the donor/acceptor materials and the energy of the charge transfer (CT) state (ECT), which is typically greater than 0.3 eV. The large driving force causes a relatively large voltage loss that hinders performance. Here, we report non-fullerene OSCs that exhibit ultrafast and efficient charge separation despite a negligible driving force, as ECT is nearly identical to Egap. Moreover, the small driving force is found to have minimal detrimental effects on charge transfer dynamics of the OSCs. We demonstrate a non-fullerene OSC with 9.5% efficiency and nearly 90% internal quantum efficiency despite a low voltage loss of 0.61 V. This creates a path towards highly efficient OSCs with a low voltage loss.","author":[{"dropping-particle":"","family":"Liu","given":"Jing","non-dropping-particle":"","parse-names":false,"suffix":""},{"dropping-particle":"","family":"Chen","given":"Shangshang","non-dropping-particle":"","parse-names":false,"suffix":""},{"dropping-particle":"","family":"Qian","given":"Deping","non-dropping-particle":"","parse-names":false,"suffix":""},{"dropping-particle":"","family":"Gautam","given":"Bhoj","non-dropping-particle":"","parse-names":false,"suffix":""},{"dropping-particle":"","family":"Yang","given":"Guofang","non-dropping-particle":"","parse-names":false,"suffix":""},{"dropping-particle":"","family":"Zhao","given":"Jingbo","non-dropping-particle":"","parse-names":false,"suffix":""},{"dropping-particle":"","family":"Bergqvist","given":"Jonas","non-dropping-particle":"","parse-names":false,"suffix":""},{"dropping-particle":"","family":"Zhang","given":"Fengling","non-dropping-particle":"","parse-names":false,"suffix":""},{"dropping-particle":"","family":"Ma","given":"Wei","non-dropping-particle":"","parse-names":false,"suffix":""},{"dropping-particle":"","family":"Ade","given":"Harald","non-dropping-particle":"","parse-names":false,"suffix":""},{"dropping-particle":"","family":"Inganäs","given":"Olle","non-dropping-particle":"","parse-names":false,"suffix":""},{"dropping-particle":"","family":"Gundogdu","given":"Kenan","non-dropping-particle":"","parse-names":false,"suffix":""},{"dropping-particle":"","family":"Gao","given":"Feng","non-dropping-particle":"","parse-names":false,"suffix":""},{"dropping-particle":"","family":"Yan","given":"He","non-dropping-particle":"","parse-names":false,"suffix":""}],"container-title":"Nature Energy","id":"ITEM-1","issue":"7","issued":{"date-parts":[["2016"]]},"page":"16089","title":"Fast charge separation in a non-fullerene organic solar cell with a small driving force","type":"article-journal","volume":"1"},"uris":["http://www.mendeley.com/documents/?uuid=1f9e4c77-a3fb-4f32-87c7-b5e54dafa4fb"]},{"id":"ITEM-2","itemData":{"DOI":"10.1103/PhysRevApplied.5.054003","ISSN":"2331-7019","abstract":"Reciprocity relations based on the principle of detailed balance have been frequently used to analyze luminescence intensity and the spectrum of organic solar cells. These reciprocity relations were derived for cases where a linear extrapolation of equilibrium conditions to the nonequilibrium situations present during measurements is possible and therefore requires semiconductors with linear recombination mechanisms. Here, we discuss the impact of nonlinear recombination typically found in organic solar cells on the analysis of luminescence spectra and estimate criteria under which reciprocity relations can still be used to analyze the data. We find that depending on the exact application, only for low mobilities μ&lt;10-4 cm2/V s or very asymmetric mobilities do substantial disagreements between simulation and analytical equations occur. © 2016 American Physical Society.","author":[{"dropping-particle":"","family":"Kirchartz","given":"Thomas","non-dropping-particle":"","parse-names":false,"suffix":""},{"dropping-particle":"","family":"Nelson","given":"Jenny","non-dropping-particle":"","parse-names":false,"suffix":""},{"dropping-particle":"","family":"Rau","given":"Uwe","non-dropping-particle":"","parse-names":false,"suffix":""}],"container-title":"Physical Review Applied","id":"ITEM-2","issue":"5","issued":{"date-parts":[["2016","5","3"]]},"page":"054003","title":"Reciprocity between Charge Injection and Extraction and Its Influence on the Interpretation of Electroluminescence Spectra in Organic Solar Cells","type":"article-journal","volume":"5"},"uris":["http://www.mendeley.com/documents/?uuid=b6bf2795-ab37-4862-ba8d-d3a245414c28"]}],"mendeley":{"formattedCitation":"&lt;sup&gt;21,32&lt;/sup&gt;","plainTextFormattedCitation":"21,32","previouslyFormattedCitation":"&lt;sup&gt;21,32&lt;/sup&gt;"},"properties":{"noteIndex":0},"schema":"https://github.com/citation-style-language/schema/raw/master/csl-citation.json"}</w:instrText>
      </w:r>
      <w:r w:rsidR="00161887">
        <w:rPr>
          <w:lang w:val="en-GB" w:eastAsia="zh-CN"/>
        </w:rPr>
        <w:fldChar w:fldCharType="separate"/>
      </w:r>
      <w:r w:rsidR="005D75E8" w:rsidRPr="005D75E8">
        <w:rPr>
          <w:noProof/>
          <w:vertAlign w:val="superscript"/>
          <w:lang w:val="en-GB" w:eastAsia="zh-CN"/>
        </w:rPr>
        <w:t>21,32</w:t>
      </w:r>
      <w:r w:rsidR="00161887">
        <w:rPr>
          <w:lang w:val="en-GB" w:eastAsia="zh-CN"/>
        </w:rPr>
        <w:fldChar w:fldCharType="end"/>
      </w:r>
      <w:r w:rsidR="009E39FB">
        <w:rPr>
          <w:lang w:val="en-GB" w:eastAsia="zh-CN"/>
        </w:rPr>
        <w:t>:</w:t>
      </w:r>
    </w:p>
    <w:p w14:paraId="31363EE4" w14:textId="5570038D" w:rsidR="00E24897" w:rsidRPr="00E24897" w:rsidRDefault="001A0CA8" w:rsidP="00E24897">
      <w:pPr>
        <w:spacing w:line="480" w:lineRule="auto"/>
        <w:ind w:left="1985"/>
        <w:jc w:val="both"/>
        <w:rPr>
          <w:lang w:val="en-GB" w:eastAsia="zh-CN"/>
        </w:rPr>
      </w:pPr>
      <m:oMath>
        <m:r>
          <w:rPr>
            <w:rFonts w:ascii="Cambria Math" w:hAnsi="Cambria Math"/>
            <w:lang w:val="en-GB" w:eastAsia="zh-CN"/>
          </w:rPr>
          <m:t xml:space="preserve">q∆V= </m:t>
        </m:r>
        <m:sSub>
          <m:sSubPr>
            <m:ctrlPr>
              <w:rPr>
                <w:rFonts w:ascii="Cambria Math" w:hAnsi="Cambria Math"/>
                <w:i/>
                <w:lang w:val="en-GB" w:eastAsia="zh-CN"/>
              </w:rPr>
            </m:ctrlPr>
          </m:sSubPr>
          <m:e>
            <m:r>
              <w:rPr>
                <w:rFonts w:ascii="Cambria Math" w:hAnsi="Cambria Math"/>
                <w:lang w:val="en-GB" w:eastAsia="zh-CN"/>
              </w:rPr>
              <m:t>E</m:t>
            </m:r>
          </m:e>
          <m:sub>
            <m:r>
              <w:rPr>
                <w:rFonts w:ascii="Cambria Math" w:hAnsi="Cambria Math"/>
                <w:lang w:val="en-GB" w:eastAsia="zh-CN"/>
              </w:rPr>
              <m:t>g</m:t>
            </m:r>
          </m:sub>
        </m:sSub>
        <m:r>
          <w:rPr>
            <w:rFonts w:ascii="Cambria Math" w:hAnsi="Cambria Math"/>
            <w:lang w:val="en-GB" w:eastAsia="zh-CN"/>
          </w:rPr>
          <m:t>-q</m:t>
        </m:r>
        <m:sSub>
          <m:sSubPr>
            <m:ctrlPr>
              <w:rPr>
                <w:rFonts w:ascii="Cambria Math" w:hAnsi="Cambria Math"/>
                <w:i/>
                <w:lang w:val="en-GB" w:eastAsia="zh-CN"/>
              </w:rPr>
            </m:ctrlPr>
          </m:sSubPr>
          <m:e>
            <m:r>
              <w:rPr>
                <w:rFonts w:ascii="Cambria Math" w:hAnsi="Cambria Math"/>
                <w:lang w:val="en-GB" w:eastAsia="zh-CN"/>
              </w:rPr>
              <m:t>V</m:t>
            </m:r>
          </m:e>
          <m:sub>
            <m:r>
              <w:rPr>
                <w:rFonts w:ascii="Cambria Math" w:hAnsi="Cambria Math"/>
                <w:lang w:val="en-GB" w:eastAsia="zh-CN"/>
              </w:rPr>
              <m:t>OC</m:t>
            </m:r>
          </m:sub>
        </m:sSub>
      </m:oMath>
      <w:r w:rsidR="00514B03">
        <w:rPr>
          <w:lang w:val="en-GB" w:eastAsia="zh-CN"/>
        </w:rPr>
        <w:tab/>
      </w:r>
      <w:r w:rsidR="00514B03">
        <w:rPr>
          <w:lang w:val="en-GB" w:eastAsia="zh-CN"/>
        </w:rPr>
        <w:tab/>
      </w:r>
      <w:r w:rsidR="00514B03">
        <w:rPr>
          <w:lang w:val="en-GB" w:eastAsia="zh-CN"/>
        </w:rPr>
        <w:tab/>
      </w:r>
      <w:r w:rsidR="00514B03">
        <w:rPr>
          <w:lang w:val="en-GB" w:eastAsia="zh-CN"/>
        </w:rPr>
        <w:tab/>
      </w:r>
      <w:r w:rsidR="00514B03">
        <w:rPr>
          <w:lang w:val="en-GB" w:eastAsia="zh-CN"/>
        </w:rPr>
        <w:tab/>
      </w:r>
      <w:r w:rsidR="00514B03">
        <w:rPr>
          <w:lang w:val="en-GB" w:eastAsia="zh-CN"/>
        </w:rPr>
        <w:tab/>
      </w:r>
      <w:r w:rsidR="00514B03">
        <w:rPr>
          <w:lang w:val="en-GB" w:eastAsia="zh-CN"/>
        </w:rPr>
        <w:tab/>
        <w:t>(2)</w:t>
      </w:r>
    </w:p>
    <w:p w14:paraId="091774CB" w14:textId="77777777" w:rsidR="001A0CA8" w:rsidRPr="001A0CA8" w:rsidRDefault="001A0CA8" w:rsidP="004D24C7">
      <w:pPr>
        <w:spacing w:line="480" w:lineRule="auto"/>
        <w:ind w:left="1134"/>
        <w:jc w:val="both"/>
        <w:rPr>
          <w:lang w:val="en-GB" w:eastAsia="zh-CN"/>
        </w:rPr>
      </w:pPr>
      <m:oMathPara>
        <m:oMath>
          <m:r>
            <w:rPr>
              <w:rFonts w:ascii="Cambria Math" w:hAnsi="Cambria Math"/>
              <w:lang w:val="en-GB" w:eastAsia="zh-CN"/>
            </w:rPr>
            <m:t xml:space="preserve"> = </m:t>
          </m:r>
          <m:sSub>
            <m:sSubPr>
              <m:ctrlPr>
                <w:rPr>
                  <w:rFonts w:ascii="Cambria Math" w:hAnsi="Cambria Math"/>
                  <w:i/>
                  <w:lang w:val="en-GB" w:eastAsia="zh-CN"/>
                </w:rPr>
              </m:ctrlPr>
            </m:sSubPr>
            <m:e>
              <m:r>
                <w:rPr>
                  <w:rFonts w:ascii="Cambria Math" w:hAnsi="Cambria Math"/>
                  <w:lang w:val="en-GB" w:eastAsia="zh-CN"/>
                </w:rPr>
                <m:t>(E</m:t>
              </m:r>
            </m:e>
            <m:sub>
              <m:r>
                <w:rPr>
                  <w:rFonts w:ascii="Cambria Math" w:hAnsi="Cambria Math"/>
                  <w:lang w:val="en-GB" w:eastAsia="zh-CN"/>
                </w:rPr>
                <m:t>g</m:t>
              </m:r>
            </m:sub>
          </m:sSub>
          <m:r>
            <w:rPr>
              <w:rFonts w:ascii="Cambria Math" w:hAnsi="Cambria Math"/>
              <w:lang w:val="en-GB" w:eastAsia="zh-CN"/>
            </w:rPr>
            <m:t>-q</m:t>
          </m:r>
          <m:sSubSup>
            <m:sSubSupPr>
              <m:ctrlPr>
                <w:rPr>
                  <w:rFonts w:ascii="Cambria Math" w:hAnsi="Cambria Math"/>
                  <w:i/>
                  <w:lang w:val="en-GB" w:eastAsia="zh-CN"/>
                </w:rPr>
              </m:ctrlPr>
            </m:sSubSupPr>
            <m:e>
              <m:r>
                <w:rPr>
                  <w:rFonts w:ascii="Cambria Math" w:hAnsi="Cambria Math"/>
                  <w:lang w:val="en-GB" w:eastAsia="zh-CN"/>
                </w:rPr>
                <m:t>V</m:t>
              </m:r>
            </m:e>
            <m:sub>
              <m:r>
                <w:rPr>
                  <w:rFonts w:ascii="Cambria Math" w:hAnsi="Cambria Math"/>
                  <w:lang w:val="en-GB" w:eastAsia="zh-CN"/>
                </w:rPr>
                <m:t>OC</m:t>
              </m:r>
            </m:sub>
            <m:sup>
              <m:r>
                <w:rPr>
                  <w:rFonts w:ascii="Cambria Math" w:hAnsi="Cambria Math"/>
                  <w:lang w:val="en-GB" w:eastAsia="zh-CN"/>
                </w:rPr>
                <m:t>SQ</m:t>
              </m:r>
            </m:sup>
          </m:sSubSup>
          <m:r>
            <w:rPr>
              <w:rFonts w:ascii="Cambria Math" w:hAnsi="Cambria Math"/>
              <w:lang w:val="en-GB" w:eastAsia="zh-CN"/>
            </w:rPr>
            <m:t>)+q</m:t>
          </m:r>
          <m:sSubSup>
            <m:sSubSupPr>
              <m:ctrlPr>
                <w:rPr>
                  <w:rFonts w:ascii="Cambria Math" w:hAnsi="Cambria Math"/>
                  <w:i/>
                  <w:lang w:val="en-GB" w:eastAsia="zh-CN"/>
                </w:rPr>
              </m:ctrlPr>
            </m:sSubSupPr>
            <m:e>
              <m:r>
                <w:rPr>
                  <w:rFonts w:ascii="Cambria Math" w:hAnsi="Cambria Math"/>
                  <w:lang w:val="en-GB" w:eastAsia="zh-CN"/>
                </w:rPr>
                <m:t>∆V</m:t>
              </m:r>
            </m:e>
            <m:sub>
              <m:r>
                <w:rPr>
                  <w:rFonts w:ascii="Cambria Math" w:hAnsi="Cambria Math"/>
                  <w:lang w:val="en-GB" w:eastAsia="zh-CN"/>
                </w:rPr>
                <m:t>OC</m:t>
              </m:r>
            </m:sub>
            <m:sup>
              <m:r>
                <w:rPr>
                  <w:rFonts w:ascii="Cambria Math" w:hAnsi="Cambria Math"/>
                  <w:lang w:val="en-GB" w:eastAsia="zh-CN"/>
                </w:rPr>
                <m:t>rad,below gap</m:t>
              </m:r>
            </m:sup>
          </m:sSubSup>
          <m:r>
            <w:rPr>
              <w:rFonts w:ascii="Cambria Math" w:hAnsi="Cambria Math"/>
              <w:lang w:val="en-GB" w:eastAsia="zh-CN"/>
            </w:rPr>
            <m:t>+q</m:t>
          </m:r>
          <m:sSubSup>
            <m:sSubSupPr>
              <m:ctrlPr>
                <w:rPr>
                  <w:rFonts w:ascii="Cambria Math" w:hAnsi="Cambria Math"/>
                  <w:i/>
                  <w:lang w:val="en-GB" w:eastAsia="zh-CN"/>
                </w:rPr>
              </m:ctrlPr>
            </m:sSubSupPr>
            <m:e>
              <m:r>
                <w:rPr>
                  <w:rFonts w:ascii="Cambria Math" w:hAnsi="Cambria Math"/>
                  <w:lang w:val="en-GB" w:eastAsia="zh-CN"/>
                </w:rPr>
                <m:t>∆V</m:t>
              </m:r>
            </m:e>
            <m:sub>
              <m:r>
                <w:rPr>
                  <w:rFonts w:ascii="Cambria Math" w:hAnsi="Cambria Math"/>
                  <w:lang w:val="en-GB" w:eastAsia="zh-CN"/>
                </w:rPr>
                <m:t>OC</m:t>
              </m:r>
            </m:sub>
            <m:sup>
              <m:r>
                <w:rPr>
                  <w:rFonts w:ascii="Cambria Math" w:hAnsi="Cambria Math"/>
                  <w:lang w:val="en-GB" w:eastAsia="zh-CN"/>
                </w:rPr>
                <m:t>non-rad</m:t>
              </m:r>
            </m:sup>
          </m:sSubSup>
        </m:oMath>
      </m:oMathPara>
    </w:p>
    <w:p w14:paraId="63E8398E" w14:textId="33624367" w:rsidR="00B17320" w:rsidRPr="00045547" w:rsidRDefault="00E24897" w:rsidP="005E0230">
      <w:pPr>
        <w:spacing w:line="480" w:lineRule="auto"/>
        <w:jc w:val="both"/>
        <w:rPr>
          <w:lang w:val="en-GB" w:eastAsia="zh-CN"/>
        </w:rPr>
      </w:pPr>
      <w:r>
        <w:rPr>
          <w:lang w:val="en-GB" w:eastAsia="zh-CN"/>
        </w:rPr>
        <w:t xml:space="preserve">The first term </w:t>
      </w:r>
      <m:oMath>
        <m:sSub>
          <m:sSubPr>
            <m:ctrlPr>
              <w:rPr>
                <w:rFonts w:ascii="Cambria Math" w:hAnsi="Cambria Math"/>
                <w:i/>
                <w:lang w:val="en-GB" w:eastAsia="zh-CN"/>
              </w:rPr>
            </m:ctrlPr>
          </m:sSubPr>
          <m:e>
            <m:r>
              <w:rPr>
                <w:rFonts w:ascii="Cambria Math" w:hAnsi="Cambria Math"/>
                <w:lang w:val="en-GB" w:eastAsia="zh-CN"/>
              </w:rPr>
              <m:t>(E</m:t>
            </m:r>
          </m:e>
          <m:sub>
            <m:r>
              <w:rPr>
                <w:rFonts w:ascii="Cambria Math" w:hAnsi="Cambria Math"/>
                <w:lang w:val="en-GB" w:eastAsia="zh-CN"/>
              </w:rPr>
              <m:t>g</m:t>
            </m:r>
          </m:sub>
        </m:sSub>
        <m:r>
          <w:rPr>
            <w:rFonts w:ascii="Cambria Math" w:hAnsi="Cambria Math"/>
            <w:lang w:val="en-GB" w:eastAsia="zh-CN"/>
          </w:rPr>
          <m:t>-q</m:t>
        </m:r>
        <m:sSubSup>
          <m:sSubSupPr>
            <m:ctrlPr>
              <w:rPr>
                <w:rFonts w:ascii="Cambria Math" w:hAnsi="Cambria Math"/>
                <w:i/>
                <w:lang w:val="en-GB" w:eastAsia="zh-CN"/>
              </w:rPr>
            </m:ctrlPr>
          </m:sSubSupPr>
          <m:e>
            <m:r>
              <w:rPr>
                <w:rFonts w:ascii="Cambria Math" w:hAnsi="Cambria Math"/>
                <w:lang w:val="en-GB" w:eastAsia="zh-CN"/>
              </w:rPr>
              <m:t>V</m:t>
            </m:r>
          </m:e>
          <m:sub>
            <m:r>
              <w:rPr>
                <w:rFonts w:ascii="Cambria Math" w:hAnsi="Cambria Math"/>
                <w:lang w:val="en-GB" w:eastAsia="zh-CN"/>
              </w:rPr>
              <m:t>OC</m:t>
            </m:r>
          </m:sub>
          <m:sup>
            <m:r>
              <w:rPr>
                <w:rFonts w:ascii="Cambria Math" w:hAnsi="Cambria Math"/>
                <w:lang w:val="en-GB" w:eastAsia="zh-CN"/>
              </w:rPr>
              <m:t>SQ</m:t>
            </m:r>
          </m:sup>
        </m:sSubSup>
        <m:r>
          <w:rPr>
            <w:rFonts w:ascii="Cambria Math" w:hAnsi="Cambria Math"/>
            <w:lang w:val="en-GB" w:eastAsia="zh-CN"/>
          </w:rPr>
          <m:t>)</m:t>
        </m:r>
      </m:oMath>
      <w:r>
        <w:rPr>
          <w:lang w:val="en-GB" w:eastAsia="zh-CN"/>
        </w:rPr>
        <w:t xml:space="preserve"> corresponds to radiative recombination above the bandgap </w:t>
      </w:r>
      <w:r w:rsidR="00F518D8">
        <w:rPr>
          <w:lang w:val="en-GB" w:eastAsia="zh-CN"/>
        </w:rPr>
        <w:t>(</w:t>
      </w:r>
      <m:oMath>
        <m:sSubSup>
          <m:sSubSupPr>
            <m:ctrlPr>
              <w:rPr>
                <w:rFonts w:ascii="Cambria Math" w:hAnsi="Cambria Math"/>
                <w:i/>
                <w:lang w:val="en-GB" w:eastAsia="zh-CN"/>
              </w:rPr>
            </m:ctrlPr>
          </m:sSubSupPr>
          <m:e>
            <m:r>
              <w:rPr>
                <w:rFonts w:ascii="Cambria Math" w:hAnsi="Cambria Math"/>
                <w:lang w:val="en-GB" w:eastAsia="zh-CN"/>
              </w:rPr>
              <m:t>V</m:t>
            </m:r>
          </m:e>
          <m:sub>
            <m:r>
              <w:rPr>
                <w:rFonts w:ascii="Cambria Math" w:hAnsi="Cambria Math"/>
                <w:lang w:val="en-GB" w:eastAsia="zh-CN"/>
              </w:rPr>
              <m:t>OC</m:t>
            </m:r>
          </m:sub>
          <m:sup>
            <m:r>
              <w:rPr>
                <w:rFonts w:ascii="Cambria Math" w:hAnsi="Cambria Math"/>
                <w:lang w:val="en-GB" w:eastAsia="zh-CN"/>
              </w:rPr>
              <m:t>SQ</m:t>
            </m:r>
          </m:sup>
        </m:sSubSup>
      </m:oMath>
      <w:r w:rsidR="00F518D8">
        <w:rPr>
          <w:lang w:val="en-GB" w:eastAsia="zh-CN"/>
        </w:rPr>
        <w:t xml:space="preserve"> is the maximum voltage by the Shockley-Queisser limit</w:t>
      </w:r>
      <w:r>
        <w:rPr>
          <w:lang w:val="en-GB" w:eastAsia="zh-CN"/>
        </w:rPr>
        <w:t>), and is unavoidable for any solar cells (typically ~0.3 V</w:t>
      </w:r>
      <w:r w:rsidR="00A1010A">
        <w:rPr>
          <w:lang w:val="en-GB" w:eastAsia="zh-CN"/>
        </w:rPr>
        <w:t xml:space="preserve"> for OPV with standard device structures; Ref. </w:t>
      </w:r>
      <w:r w:rsidR="00A1010A">
        <w:rPr>
          <w:lang w:val="en-GB" w:eastAsia="zh-CN"/>
        </w:rPr>
        <w:fldChar w:fldCharType="begin" w:fldLock="1"/>
      </w:r>
      <w:r w:rsidR="005D75E8">
        <w:rPr>
          <w:lang w:val="en-GB" w:eastAsia="zh-CN"/>
        </w:rPr>
        <w:instrText>ADDIN CSL_CITATION {"citationItems":[{"id":"ITEM-1","itemData":{"DOI":"10.1038/nenergy.2016.89","ISBN":"0001415123","ISSN":"2058-7546","abstract":"Fast and efficient charge separation is essential to achieve high power conversion efficiency in organic solar cells (OSCs). In state-of-the-art OSCs, this is usually achieved by a significant driving force, defined as the offset between the bandgap (Egap) of the donor/acceptor materials and the energy of the charge transfer (CT) state (ECT), which is typically greater than 0.3 eV. The large driving force causes a relatively large voltage loss that hinders performance. Here, we report non-fullerene OSCs that exhibit ultrafast and efficient charge separation despite a negligible driving force, as ECT is nearly identical to Egap. Moreover, the small driving force is found to have minimal detrimental effects on charge transfer dynamics of the OSCs. We demonstrate a non-fullerene OSC with 9.5% efficiency and nearly 90% internal quantum efficiency despite a low voltage loss of 0.61 V. This creates a path towards highly efficient OSCs with a low voltage loss.","author":[{"dropping-particle":"","family":"Liu","given":"Jing","non-dropping-particle":"","parse-names":false,"suffix":""},{"dropping-particle":"","family":"Chen","given":"Shangshang","non-dropping-particle":"","parse-names":false,"suffix":""},{"dropping-particle":"","family":"Qian","given":"Deping","non-dropping-particle":"","parse-names":false,"suffix":""},{"dropping-particle":"","family":"Gautam","given":"Bhoj","non-dropping-particle":"","parse-names":false,"suffix":""},{"dropping-particle":"","family":"Yang","given":"Guofang","non-dropping-particle":"","parse-names":false,"suffix":""},{"dropping-particle":"","family":"Zhao","given":"Jingbo","non-dropping-particle":"","parse-names":false,"suffix":""},{"dropping-particle":"","family":"Bergqvist","given":"Jonas","non-dropping-particle":"","parse-names":false,"suffix":""},{"dropping-particle":"","family":"Zhang","given":"Fengling","non-dropping-particle":"","parse-names":false,"suffix":""},{"dropping-particle":"","family":"Ma","given":"Wei","non-dropping-particle":"","parse-names":false,"suffix":""},{"dropping-particle":"","family":"Ade","given":"Harald","non-dropping-particle":"","parse-names":false,"suffix":""},{"dropping-particle":"","family":"Inganäs","given":"Olle","non-dropping-particle":"","parse-names":false,"suffix":""},{"dropping-particle":"","family":"Gundogdu","given":"Kenan","non-dropping-particle":"","parse-names":false,"suffix":""},{"dropping-particle":"","family":"Gao","given":"Feng","non-dropping-particle":"","parse-names":false,"suffix":""},{"dropping-particle":"","family":"Yan","given":"He","non-dropping-particle":"","parse-names":false,"suffix":""}],"container-title":"Nature Energy","id":"ITEM-1","issue":"7","issued":{"date-parts":[["2016"]]},"page":"16089","title":"Fast charge separation in a non-fullerene organic solar cell with a small driving force","type":"article-journal","volume":"1"},"uris":["http://www.mendeley.com/documents/?uuid=1f9e4c77-a3fb-4f32-87c7-b5e54dafa4fb"]}],"mendeley":{"formattedCitation":"&lt;sup&gt;21&lt;/sup&gt;","plainTextFormattedCitation":"21","previouslyFormattedCitation":"&lt;sup&gt;21&lt;/sup&gt;"},"properties":{"noteIndex":0},"schema":"https://github.com/citation-style-language/schema/raw/master/csl-citation.json"}</w:instrText>
      </w:r>
      <w:r w:rsidR="00A1010A">
        <w:rPr>
          <w:lang w:val="en-GB" w:eastAsia="zh-CN"/>
        </w:rPr>
        <w:fldChar w:fldCharType="separate"/>
      </w:r>
      <w:r w:rsidR="005D75E8" w:rsidRPr="005D75E8">
        <w:rPr>
          <w:noProof/>
          <w:vertAlign w:val="superscript"/>
          <w:lang w:val="en-GB" w:eastAsia="zh-CN"/>
        </w:rPr>
        <w:t>21</w:t>
      </w:r>
      <w:r w:rsidR="00A1010A">
        <w:rPr>
          <w:lang w:val="en-GB" w:eastAsia="zh-CN"/>
        </w:rPr>
        <w:fldChar w:fldCharType="end"/>
      </w:r>
      <w:r>
        <w:rPr>
          <w:lang w:val="en-GB" w:eastAsia="zh-CN"/>
        </w:rPr>
        <w:t>). The second term (</w:t>
      </w:r>
      <m:oMath>
        <m:r>
          <w:rPr>
            <w:rFonts w:ascii="Cambria Math" w:hAnsi="Cambria Math"/>
            <w:lang w:val="en-GB" w:eastAsia="zh-CN"/>
          </w:rPr>
          <m:t>q</m:t>
        </m:r>
        <m:sSubSup>
          <m:sSubSupPr>
            <m:ctrlPr>
              <w:rPr>
                <w:rFonts w:ascii="Cambria Math" w:hAnsi="Cambria Math"/>
                <w:i/>
                <w:lang w:val="en-GB" w:eastAsia="zh-CN"/>
              </w:rPr>
            </m:ctrlPr>
          </m:sSubSupPr>
          <m:e>
            <m:r>
              <w:rPr>
                <w:rFonts w:ascii="Cambria Math" w:hAnsi="Cambria Math"/>
                <w:lang w:val="en-GB" w:eastAsia="zh-CN"/>
              </w:rPr>
              <m:t>∆V</m:t>
            </m:r>
          </m:e>
          <m:sub>
            <m:r>
              <w:rPr>
                <w:rFonts w:ascii="Cambria Math" w:hAnsi="Cambria Math"/>
                <w:lang w:val="en-GB" w:eastAsia="zh-CN"/>
              </w:rPr>
              <m:t>OC</m:t>
            </m:r>
          </m:sub>
          <m:sup>
            <m:r>
              <w:rPr>
                <w:rFonts w:ascii="Cambria Math" w:hAnsi="Cambria Math"/>
                <w:lang w:val="en-GB" w:eastAsia="zh-CN"/>
              </w:rPr>
              <m:t>rad,below gap</m:t>
            </m:r>
          </m:sup>
        </m:sSubSup>
      </m:oMath>
      <w:r>
        <w:rPr>
          <w:lang w:val="en-GB" w:eastAsia="zh-CN"/>
        </w:rPr>
        <w:t xml:space="preserve">) is due to radiative recombination from CTEs with energy below the </w:t>
      </w:r>
      <w:r w:rsidR="00A1010A">
        <w:rPr>
          <w:lang w:val="en-GB" w:eastAsia="zh-CN"/>
        </w:rPr>
        <w:t>optical gap</w:t>
      </w:r>
      <w:r>
        <w:rPr>
          <w:lang w:val="en-GB" w:eastAsia="zh-CN"/>
        </w:rPr>
        <w:t xml:space="preserve">, and is </w:t>
      </w:r>
      <w:r w:rsidR="00A1010A">
        <w:rPr>
          <w:lang w:val="en-GB" w:eastAsia="zh-CN"/>
        </w:rPr>
        <w:t xml:space="preserve">about </w:t>
      </w:r>
      <w:r w:rsidR="00B31782">
        <w:rPr>
          <w:lang w:val="en-GB" w:eastAsia="zh-CN"/>
        </w:rPr>
        <w:t xml:space="preserve">zero </w:t>
      </w:r>
      <w:r>
        <w:rPr>
          <w:lang w:val="en-GB" w:eastAsia="zh-CN"/>
        </w:rPr>
        <w:t xml:space="preserve">for systems </w:t>
      </w:r>
      <w:r w:rsidR="00A1010A">
        <w:rPr>
          <w:lang w:val="en-GB" w:eastAsia="zh-CN"/>
        </w:rPr>
        <w:t>with negligible D/A energy offset</w:t>
      </w:r>
      <w:r>
        <w:rPr>
          <w:lang w:val="en-GB" w:eastAsia="zh-CN"/>
        </w:rPr>
        <w:t xml:space="preserve">. </w:t>
      </w:r>
      <w:r w:rsidR="00A1010A">
        <w:rPr>
          <w:lang w:val="en-GB" w:eastAsia="zh-CN"/>
        </w:rPr>
        <w:t xml:space="preserve">The </w:t>
      </w:r>
      <w:r w:rsidR="00A36E59">
        <w:rPr>
          <w:lang w:val="en-GB" w:eastAsia="zh-CN"/>
        </w:rPr>
        <w:t xml:space="preserve">photovoltage losses associated with CTE energy for the three studied systems are summarized in </w:t>
      </w:r>
      <w:r w:rsidR="00A36E59" w:rsidRPr="00A36E59">
        <w:rPr>
          <w:b/>
          <w:bCs/>
          <w:lang w:val="en-GB" w:eastAsia="zh-CN"/>
        </w:rPr>
        <w:t>Table 1</w:t>
      </w:r>
      <w:r w:rsidR="00A36E59">
        <w:rPr>
          <w:lang w:val="en-GB" w:eastAsia="zh-CN"/>
        </w:rPr>
        <w:t xml:space="preserve">. </w:t>
      </w:r>
      <w:r>
        <w:rPr>
          <w:lang w:val="en-GB" w:eastAsia="zh-CN"/>
        </w:rPr>
        <w:t>The third term (</w:t>
      </w:r>
      <m:oMath>
        <m:r>
          <w:rPr>
            <w:rFonts w:ascii="Cambria Math" w:hAnsi="Cambria Math"/>
            <w:lang w:val="en-GB" w:eastAsia="zh-CN"/>
          </w:rPr>
          <m:t>q</m:t>
        </m:r>
        <m:sSubSup>
          <m:sSubSupPr>
            <m:ctrlPr>
              <w:rPr>
                <w:rFonts w:ascii="Cambria Math" w:hAnsi="Cambria Math"/>
                <w:i/>
                <w:lang w:val="en-GB" w:eastAsia="zh-CN"/>
              </w:rPr>
            </m:ctrlPr>
          </m:sSubSupPr>
          <m:e>
            <m:r>
              <w:rPr>
                <w:rFonts w:ascii="Cambria Math" w:hAnsi="Cambria Math"/>
                <w:lang w:val="en-GB" w:eastAsia="zh-CN"/>
              </w:rPr>
              <m:t>∆V</m:t>
            </m:r>
          </m:e>
          <m:sub>
            <m:r>
              <w:rPr>
                <w:rFonts w:ascii="Cambria Math" w:hAnsi="Cambria Math"/>
                <w:lang w:val="en-GB" w:eastAsia="zh-CN"/>
              </w:rPr>
              <m:t>OC</m:t>
            </m:r>
          </m:sub>
          <m:sup>
            <m:r>
              <w:rPr>
                <w:rFonts w:ascii="Cambria Math" w:hAnsi="Cambria Math"/>
                <w:lang w:val="en-GB" w:eastAsia="zh-CN"/>
              </w:rPr>
              <m:t>non-rad</m:t>
            </m:r>
          </m:sup>
        </m:sSubSup>
        <m:r>
          <w:rPr>
            <w:rFonts w:ascii="Cambria Math" w:hAnsi="Cambria Math"/>
            <w:lang w:val="en-GB" w:eastAsia="zh-CN"/>
          </w:rPr>
          <m:t>)</m:t>
        </m:r>
      </m:oMath>
      <w:r>
        <w:rPr>
          <w:lang w:val="en-GB" w:eastAsia="zh-CN"/>
        </w:rPr>
        <w:t xml:space="preserve"> </w:t>
      </w:r>
      <w:r w:rsidR="004D24C7">
        <w:rPr>
          <w:lang w:val="en-GB" w:eastAsia="zh-CN"/>
        </w:rPr>
        <w:t xml:space="preserve">is due to non-radiative recombination losses and is given by </w:t>
      </w:r>
      <m:oMath>
        <m:r>
          <w:rPr>
            <w:rFonts w:ascii="Cambria Math" w:hAnsi="Cambria Math"/>
            <w:lang w:val="en-GB" w:eastAsia="zh-CN"/>
          </w:rPr>
          <m:t>kT</m:t>
        </m:r>
        <m:func>
          <m:funcPr>
            <m:ctrlPr>
              <w:rPr>
                <w:rFonts w:ascii="Cambria Math" w:hAnsi="Cambria Math"/>
                <w:i/>
                <w:lang w:val="en-GB" w:eastAsia="zh-CN"/>
              </w:rPr>
            </m:ctrlPr>
          </m:funcPr>
          <m:fName>
            <m:r>
              <m:rPr>
                <m:sty m:val="p"/>
              </m:rPr>
              <w:rPr>
                <w:rFonts w:ascii="Cambria Math" w:hAnsi="Cambria Math"/>
              </w:rPr>
              <m:t>ln</m:t>
            </m:r>
          </m:fName>
          <m:e>
            <m:sSub>
              <m:sSubPr>
                <m:ctrlPr>
                  <w:rPr>
                    <w:rFonts w:ascii="Cambria Math" w:hAnsi="Cambria Math"/>
                    <w:i/>
                    <w:lang w:val="en-GB" w:eastAsia="zh-CN"/>
                  </w:rPr>
                </m:ctrlPr>
              </m:sSubPr>
              <m:e>
                <m:r>
                  <w:rPr>
                    <w:rFonts w:ascii="Cambria Math" w:hAnsi="Cambria Math"/>
                    <w:lang w:val="en-GB" w:eastAsia="zh-CN"/>
                  </w:rPr>
                  <m:t>(EQE</m:t>
                </m:r>
              </m:e>
              <m:sub>
                <m:r>
                  <w:rPr>
                    <w:rFonts w:ascii="Cambria Math" w:hAnsi="Cambria Math"/>
                    <w:lang w:val="en-GB" w:eastAsia="zh-CN"/>
                  </w:rPr>
                  <m:t>EL</m:t>
                </m:r>
              </m:sub>
            </m:sSub>
            <m:r>
              <w:rPr>
                <w:rFonts w:ascii="Cambria Math" w:hAnsi="Cambria Math"/>
                <w:lang w:val="en-GB" w:eastAsia="zh-CN"/>
              </w:rPr>
              <m:t>)</m:t>
            </m:r>
          </m:e>
        </m:func>
      </m:oMath>
      <w:r w:rsidR="004D24C7">
        <w:rPr>
          <w:lang w:val="en-GB" w:eastAsia="zh-CN"/>
        </w:rPr>
        <w:t>, where</w:t>
      </w:r>
      <m:oMath>
        <m:r>
          <w:rPr>
            <w:rFonts w:ascii="Cambria Math" w:hAnsi="Cambria Math"/>
            <w:lang w:val="en-GB" w:eastAsia="zh-CN"/>
          </w:rPr>
          <m:t xml:space="preserve"> kT</m:t>
        </m:r>
      </m:oMath>
      <w:r w:rsidR="00B31782">
        <w:rPr>
          <w:lang w:val="en-GB" w:eastAsia="zh-CN"/>
        </w:rPr>
        <w:t xml:space="preserve"> is thermal energy and</w:t>
      </w:r>
      <w:r w:rsidR="004D24C7">
        <w:rPr>
          <w:lang w:val="en-GB" w:eastAsia="zh-CN"/>
        </w:rPr>
        <w:t xml:space="preserve"> </w:t>
      </w:r>
      <m:oMath>
        <m:sSub>
          <m:sSubPr>
            <m:ctrlPr>
              <w:rPr>
                <w:rFonts w:ascii="Cambria Math" w:hAnsi="Cambria Math"/>
                <w:i/>
                <w:lang w:val="en-GB" w:eastAsia="zh-CN"/>
              </w:rPr>
            </m:ctrlPr>
          </m:sSubPr>
          <m:e>
            <m:r>
              <w:rPr>
                <w:rFonts w:ascii="Cambria Math" w:hAnsi="Cambria Math"/>
                <w:lang w:val="en-GB" w:eastAsia="zh-CN"/>
              </w:rPr>
              <m:t>EQE</m:t>
            </m:r>
          </m:e>
          <m:sub>
            <m:r>
              <w:rPr>
                <w:rFonts w:ascii="Cambria Math" w:hAnsi="Cambria Math"/>
                <w:lang w:val="en-GB" w:eastAsia="zh-CN"/>
              </w:rPr>
              <m:t>EL</m:t>
            </m:r>
          </m:sub>
        </m:sSub>
      </m:oMath>
      <w:r w:rsidR="004D24C7">
        <w:rPr>
          <w:lang w:val="en-GB" w:eastAsia="zh-CN"/>
        </w:rPr>
        <w:t xml:space="preserve"> is the external electroluminescence quantum efficiency of the diode</w:t>
      </w:r>
      <w:r w:rsidR="00161887">
        <w:rPr>
          <w:lang w:val="en-GB" w:eastAsia="zh-CN"/>
        </w:rPr>
        <w:t xml:space="preserve"> </w:t>
      </w:r>
      <w:r w:rsidR="00161887">
        <w:rPr>
          <w:lang w:val="en-GB" w:eastAsia="zh-CN"/>
        </w:rPr>
        <w:fldChar w:fldCharType="begin" w:fldLock="1"/>
      </w:r>
      <w:r w:rsidR="005D75E8">
        <w:rPr>
          <w:lang w:val="en-GB" w:eastAsia="zh-CN"/>
        </w:rPr>
        <w:instrText>ADDIN CSL_CITATION {"citationItems":[{"id":"ITEM-1","itemData":{"DOI":"10.1103/PhysRevB.76.085303","ISSN":"1098-0121","author":[{"dropping-particle":"","family":"Rau","given":"Uwe","non-dropping-particle":"","parse-names":false,"suffix":""}],"container-title":"Physical Review B","id":"ITEM-1","issue":"8","issued":{"date-parts":[["2007","8","2"]]},"page":"085303","publisher":"American Physical Society","title":"Reciprocity relation between photovoltaic quantum efficiency and electroluminescent emission of solar cells","type":"article-journal","volume":"76"},"uris":["http://www.mendeley.com/documents/?uuid=a7f1066e-80b3-49b5-8c08-174096c82f00"]}],"mendeley":{"formattedCitation":"&lt;sup&gt;33&lt;/sup&gt;","plainTextFormattedCitation":"33","previouslyFormattedCitation":"&lt;sup&gt;33&lt;/sup&gt;"},"properties":{"noteIndex":0},"schema":"https://github.com/citation-style-language/schema/raw/master/csl-citation.json"}</w:instrText>
      </w:r>
      <w:r w:rsidR="00161887">
        <w:rPr>
          <w:lang w:val="en-GB" w:eastAsia="zh-CN"/>
        </w:rPr>
        <w:fldChar w:fldCharType="separate"/>
      </w:r>
      <w:r w:rsidR="005D75E8" w:rsidRPr="005D75E8">
        <w:rPr>
          <w:noProof/>
          <w:vertAlign w:val="superscript"/>
          <w:lang w:val="en-GB" w:eastAsia="zh-CN"/>
        </w:rPr>
        <w:t>33</w:t>
      </w:r>
      <w:r w:rsidR="00161887">
        <w:rPr>
          <w:lang w:val="en-GB" w:eastAsia="zh-CN"/>
        </w:rPr>
        <w:fldChar w:fldCharType="end"/>
      </w:r>
      <w:r w:rsidR="004D24C7">
        <w:rPr>
          <w:lang w:val="en-GB" w:eastAsia="zh-CN"/>
        </w:rPr>
        <w:t xml:space="preserve">. </w:t>
      </w:r>
      <w:r w:rsidR="00A36E59">
        <w:rPr>
          <w:lang w:val="en-GB" w:eastAsia="zh-CN"/>
        </w:rPr>
        <w:t xml:space="preserve">It should be noted that triplet recombination would lead to non-radiative recombination losses </w:t>
      </w:r>
      <w:r w:rsidR="00C939C6">
        <w:rPr>
          <w:lang w:val="en-GB" w:eastAsia="zh-CN"/>
        </w:rPr>
        <w:t>in these systems</w:t>
      </w:r>
      <w:r w:rsidR="00A36E59">
        <w:rPr>
          <w:lang w:val="en-GB" w:eastAsia="zh-CN"/>
        </w:rPr>
        <w:fldChar w:fldCharType="begin" w:fldLock="1"/>
      </w:r>
      <w:r w:rsidR="00D342E4">
        <w:rPr>
          <w:lang w:val="en-GB" w:eastAsia="zh-CN"/>
        </w:rPr>
        <w:instrText>ADDIN CSL_CITATION {"citationItems":[{"id":"ITEM-1","itemData":{"DOI":"10.1002/aenm.201800451","ISSN":"16146832","author":[{"dropping-particle":"","family":"Benduhn","given":"Johannes","non-dropping-particle":"","parse-names":false,"suffix":""},{"dropping-particle":"","family":"Piersimoni","given":"Fortunato","non-dropping-particle":"","parse-names":false,"suffix":""},{"dropping-particle":"","family":"Londi","given":"Giacomo","non-dropping-particle":"","parse-names":false,"suffix":""},{"dropping-particle":"","family":"Kirch","given":"Anton","non-dropping-particle":"","parse-names":false,"suffix":""},{"dropping-particle":"","family":"Widmer","given":"Johannes","non-dropping-particle":"","parse-names":false,"suffix":""},{"dropping-particle":"","family":"Koerner","given":"Christian","non-dropping-particle":"","parse-names":false,"suffix":""},{"dropping-particle":"","family":"Beljonne","given":"David","non-dropping-particle":"","parse-names":false,"suffix":""},{"dropping-particle":"","family":"Neher","given":"Dieter","non-dropping-particle":"","parse-names":false,"suffix":""},{"dropping-particle":"","family":"Spoltore","given":"Donato","non-dropping-particle":"","parse-names":false,"suffix":""},{"dropping-particle":"","family":"Vandewal","given":"Koen","non-dropping-particle":"","parse-names":false,"suffix":""}],"container-title":"Advanced Energy Materials","id":"ITEM-1","issue":"21","issued":{"date-parts":[["2018","7","20"]]},"page":"1800451","title":"Impact of Triplet Excited States on the Open-Circuit Voltage of Organic Solar Cells","type":"article-journal","volume":"8"},"uris":["http://www.mendeley.com/documents/?uuid=bc788d93-8ef7-467c-8603-0d8f59a19114"]}],"mendeley":{"formattedCitation":"&lt;sup&gt;16&lt;/sup&gt;","plainTextFormattedCitation":"16","previouslyFormattedCitation":"&lt;sup&gt;16&lt;/sup&gt;"},"properties":{"noteIndex":0},"schema":"https://github.com/citation-style-language/schema/raw/master/csl-citation.json"}</w:instrText>
      </w:r>
      <w:r w:rsidR="00A36E59">
        <w:rPr>
          <w:lang w:val="en-GB" w:eastAsia="zh-CN"/>
        </w:rPr>
        <w:fldChar w:fldCharType="separate"/>
      </w:r>
      <w:r w:rsidR="00F94D9F" w:rsidRPr="00F94D9F">
        <w:rPr>
          <w:noProof/>
          <w:vertAlign w:val="superscript"/>
          <w:lang w:val="en-GB" w:eastAsia="zh-CN"/>
        </w:rPr>
        <w:t>16</w:t>
      </w:r>
      <w:r w:rsidR="00A36E59">
        <w:rPr>
          <w:lang w:val="en-GB" w:eastAsia="zh-CN"/>
        </w:rPr>
        <w:fldChar w:fldCharType="end"/>
      </w:r>
      <w:r w:rsidR="00A36E59">
        <w:rPr>
          <w:lang w:val="en-GB" w:eastAsia="zh-CN"/>
        </w:rPr>
        <w:t xml:space="preserve">. </w:t>
      </w:r>
      <w:r w:rsidR="00900389">
        <w:rPr>
          <w:lang w:val="en-GB" w:eastAsia="zh-CN"/>
        </w:rPr>
        <w:t xml:space="preserve">The significant extent of triplet recombination measured </w:t>
      </w:r>
      <w:r w:rsidR="00AC24BF">
        <w:rPr>
          <w:lang w:val="en-GB" w:eastAsia="zh-CN"/>
        </w:rPr>
        <w:t xml:space="preserve">for </w:t>
      </w:r>
      <w:r w:rsidR="00900389">
        <w:rPr>
          <w:lang w:val="en-GB" w:eastAsia="zh-CN"/>
        </w:rPr>
        <w:t xml:space="preserve">the fullerene blend is </w:t>
      </w:r>
      <w:r w:rsidR="00842DAD">
        <w:rPr>
          <w:lang w:val="en-GB" w:eastAsia="zh-CN"/>
        </w:rPr>
        <w:t xml:space="preserve">therefore </w:t>
      </w:r>
      <w:r w:rsidR="00900389">
        <w:rPr>
          <w:lang w:val="en-GB" w:eastAsia="zh-CN"/>
        </w:rPr>
        <w:t xml:space="preserve">consistent with its low </w:t>
      </w:r>
      <m:oMath>
        <m:sSub>
          <m:sSubPr>
            <m:ctrlPr>
              <w:rPr>
                <w:rFonts w:ascii="Cambria Math" w:hAnsi="Cambria Math"/>
                <w:i/>
                <w:lang w:val="en-GB" w:eastAsia="zh-CN"/>
              </w:rPr>
            </m:ctrlPr>
          </m:sSubPr>
          <m:e>
            <m:r>
              <w:rPr>
                <w:rFonts w:ascii="Cambria Math" w:hAnsi="Cambria Math"/>
                <w:lang w:val="en-GB" w:eastAsia="zh-CN"/>
              </w:rPr>
              <m:t>EQE</m:t>
            </m:r>
          </m:e>
          <m:sub>
            <m:r>
              <w:rPr>
                <w:rFonts w:ascii="Cambria Math" w:hAnsi="Cambria Math"/>
                <w:lang w:val="en-GB" w:eastAsia="zh-CN"/>
              </w:rPr>
              <m:t>EL</m:t>
            </m:r>
          </m:sub>
        </m:sSub>
      </m:oMath>
      <w:r w:rsidR="00900389">
        <w:rPr>
          <w:lang w:val="en-GB" w:eastAsia="zh-CN"/>
        </w:rPr>
        <w:t xml:space="preserve"> (~10</w:t>
      </w:r>
      <w:r w:rsidR="00900389">
        <w:rPr>
          <w:vertAlign w:val="superscript"/>
          <w:lang w:val="en-GB" w:eastAsia="zh-CN"/>
        </w:rPr>
        <w:t>-</w:t>
      </w:r>
      <w:r w:rsidR="00C91CCA">
        <w:rPr>
          <w:vertAlign w:val="superscript"/>
          <w:lang w:val="en-GB" w:eastAsia="zh-CN"/>
        </w:rPr>
        <w:t>6</w:t>
      </w:r>
      <w:r w:rsidR="00C91CCA">
        <w:rPr>
          <w:lang w:val="en-GB" w:eastAsia="zh-CN"/>
        </w:rPr>
        <w:t>;</w:t>
      </w:r>
      <w:r w:rsidR="00C91CCA">
        <w:rPr>
          <w:vertAlign w:val="superscript"/>
          <w:lang w:val="en-GB" w:eastAsia="zh-CN"/>
        </w:rPr>
        <w:t xml:space="preserve"> </w:t>
      </w:r>
      <w:r w:rsidR="00900389">
        <w:rPr>
          <w:lang w:val="en-GB" w:eastAsia="zh-CN"/>
        </w:rPr>
        <w:t xml:space="preserve">compared to </w:t>
      </w:r>
      <w:r w:rsidR="00C91CCA">
        <w:rPr>
          <w:lang w:val="en-GB" w:eastAsia="zh-CN"/>
        </w:rPr>
        <w:t>~10</w:t>
      </w:r>
      <w:r w:rsidR="00C91CCA">
        <w:rPr>
          <w:vertAlign w:val="superscript"/>
          <w:lang w:val="en-GB" w:eastAsia="zh-CN"/>
        </w:rPr>
        <w:t>-4</w:t>
      </w:r>
      <w:r w:rsidR="00C91CCA">
        <w:rPr>
          <w:lang w:val="en-GB" w:eastAsia="zh-CN"/>
        </w:rPr>
        <w:t xml:space="preserve"> for P3TEA:SF-PDI</w:t>
      </w:r>
      <w:r w:rsidR="00C91CCA">
        <w:rPr>
          <w:vertAlign w:val="subscript"/>
          <w:lang w:val="en-GB" w:eastAsia="zh-CN"/>
        </w:rPr>
        <w:t>2</w:t>
      </w:r>
      <w:r w:rsidR="00C91CCA">
        <w:rPr>
          <w:lang w:val="en-GB" w:eastAsia="zh-CN"/>
        </w:rPr>
        <w:t>)</w:t>
      </w:r>
      <w:r w:rsidR="00AF4AA0">
        <w:rPr>
          <w:lang w:val="en-GB" w:eastAsia="zh-CN"/>
        </w:rPr>
        <w:t>,</w:t>
      </w:r>
      <w:r w:rsidR="00900389">
        <w:rPr>
          <w:lang w:val="en-GB" w:eastAsia="zh-CN"/>
        </w:rPr>
        <w:t xml:space="preserve"> </w:t>
      </w:r>
      <w:r w:rsidR="00AF4AA0">
        <w:rPr>
          <w:lang w:val="en-GB" w:eastAsia="zh-CN"/>
        </w:rPr>
        <w:t xml:space="preserve">leading </w:t>
      </w:r>
      <w:r w:rsidR="00900389">
        <w:rPr>
          <w:lang w:val="en-GB" w:eastAsia="zh-CN"/>
        </w:rPr>
        <w:t xml:space="preserve">to </w:t>
      </w:r>
      <w:r w:rsidR="00D91074">
        <w:rPr>
          <w:lang w:val="en-GB" w:eastAsia="zh-CN"/>
        </w:rPr>
        <w:t xml:space="preserve">a </w:t>
      </w:r>
      <w:r w:rsidR="009C1B23">
        <w:rPr>
          <w:lang w:val="en-GB" w:eastAsia="zh-CN"/>
        </w:rPr>
        <w:t xml:space="preserve">large </w:t>
      </w:r>
      <w:r w:rsidR="00900389">
        <w:rPr>
          <w:lang w:val="en-GB" w:eastAsia="zh-CN"/>
        </w:rPr>
        <w:t xml:space="preserve">non-radiative recombination </w:t>
      </w:r>
      <w:r w:rsidR="00AF4AA0">
        <w:rPr>
          <w:lang w:val="en-GB" w:eastAsia="zh-CN"/>
        </w:rPr>
        <w:t xml:space="preserve">voltage </w:t>
      </w:r>
      <w:r w:rsidR="009C1B23">
        <w:rPr>
          <w:lang w:val="en-GB" w:eastAsia="zh-CN"/>
        </w:rPr>
        <w:t xml:space="preserve">loss </w:t>
      </w:r>
      <w:r w:rsidR="00900389">
        <w:rPr>
          <w:lang w:val="en-GB" w:eastAsia="zh-CN"/>
        </w:rPr>
        <w:t xml:space="preserve">of </w:t>
      </w:r>
      <w:r w:rsidR="00900389">
        <w:rPr>
          <w:lang w:val="en-GB" w:eastAsia="zh-CN"/>
        </w:rPr>
        <w:lastRenderedPageBreak/>
        <w:t>~0.35V.</w:t>
      </w:r>
      <w:r w:rsidR="003F602A">
        <w:rPr>
          <w:lang w:val="en-GB" w:eastAsia="zh-CN"/>
        </w:rPr>
        <w:t xml:space="preserve"> </w:t>
      </w:r>
      <w:r w:rsidR="00496C6E">
        <w:rPr>
          <w:lang w:val="en-GB" w:eastAsia="zh-CN"/>
        </w:rPr>
        <w:t xml:space="preserve">Suppression </w:t>
      </w:r>
      <w:r w:rsidR="003F602A">
        <w:rPr>
          <w:lang w:val="en-GB" w:eastAsia="zh-CN"/>
        </w:rPr>
        <w:t>of triplet recombination is thus a required condition for high-performance OPV</w:t>
      </w:r>
      <w:r w:rsidR="00E03D46">
        <w:rPr>
          <w:lang w:val="en-GB" w:eastAsia="zh-CN"/>
        </w:rPr>
        <w:t xml:space="preserve"> devices</w:t>
      </w:r>
      <w:r w:rsidR="003F602A">
        <w:rPr>
          <w:lang w:val="en-GB" w:eastAsia="zh-CN"/>
        </w:rPr>
        <w:t>.</w:t>
      </w:r>
    </w:p>
    <w:p w14:paraId="5EF4E40F" w14:textId="77777777" w:rsidR="005E0230" w:rsidRPr="00045547" w:rsidRDefault="005E0230" w:rsidP="005E0230">
      <w:pPr>
        <w:spacing w:line="480" w:lineRule="auto"/>
        <w:jc w:val="both"/>
        <w:rPr>
          <w:lang w:val="en-GB"/>
        </w:rPr>
      </w:pPr>
    </w:p>
    <w:p w14:paraId="681B7C94" w14:textId="160D3440" w:rsidR="007A2712" w:rsidRPr="002E3D88" w:rsidRDefault="00EA7C8E" w:rsidP="007A2712">
      <w:pPr>
        <w:spacing w:line="480" w:lineRule="auto"/>
        <w:jc w:val="both"/>
        <w:rPr>
          <w:lang w:val="en-GB"/>
        </w:rPr>
      </w:pPr>
      <w:r>
        <w:rPr>
          <w:lang w:val="en-GB"/>
        </w:rPr>
        <w:t xml:space="preserve">In </w:t>
      </w:r>
      <w:r w:rsidR="00B62F39">
        <w:rPr>
          <w:lang w:val="en-GB"/>
        </w:rPr>
        <w:t>conclusion</w:t>
      </w:r>
      <w:r>
        <w:rPr>
          <w:lang w:val="en-GB"/>
        </w:rPr>
        <w:t xml:space="preserve">, we optically probed the </w:t>
      </w:r>
      <w:r w:rsidR="00452C85">
        <w:rPr>
          <w:lang w:val="en-GB"/>
        </w:rPr>
        <w:t xml:space="preserve">formation of </w:t>
      </w:r>
      <w:r>
        <w:rPr>
          <w:lang w:val="en-GB"/>
        </w:rPr>
        <w:t>triplet</w:t>
      </w:r>
      <w:r w:rsidR="00452C85">
        <w:rPr>
          <w:lang w:val="en-GB"/>
        </w:rPr>
        <w:t xml:space="preserve"> excitons in </w:t>
      </w:r>
      <w:r w:rsidR="00EA0BB5">
        <w:rPr>
          <w:lang w:val="en-GB"/>
        </w:rPr>
        <w:t xml:space="preserve">three NFA and fullerene-based </w:t>
      </w:r>
      <w:r w:rsidR="001F1528">
        <w:rPr>
          <w:lang w:val="en-GB"/>
        </w:rPr>
        <w:t>OPV</w:t>
      </w:r>
      <w:r w:rsidR="00EA0BB5">
        <w:rPr>
          <w:lang w:val="en-GB"/>
        </w:rPr>
        <w:t xml:space="preserve"> </w:t>
      </w:r>
      <w:r w:rsidR="00496C6E">
        <w:rPr>
          <w:lang w:val="en-GB"/>
        </w:rPr>
        <w:t>blends</w:t>
      </w:r>
      <w:r w:rsidR="00EA0BB5">
        <w:rPr>
          <w:lang w:val="en-GB"/>
        </w:rPr>
        <w:t xml:space="preserve">. </w:t>
      </w:r>
      <w:r w:rsidR="00477F63">
        <w:rPr>
          <w:lang w:val="en-GB"/>
        </w:rPr>
        <w:t>For all three blends the CTEs</w:t>
      </w:r>
      <w:r w:rsidR="001472C5">
        <w:rPr>
          <w:lang w:val="en-GB"/>
        </w:rPr>
        <w:t xml:space="preserve"> </w:t>
      </w:r>
      <w:r w:rsidR="001472C5" w:rsidRPr="00EA0BB5">
        <w:rPr>
          <w:lang w:val="en-GB"/>
        </w:rPr>
        <w:t xml:space="preserve">lie above the triplet exciton states of both </w:t>
      </w:r>
      <w:r w:rsidR="001472C5">
        <w:rPr>
          <w:lang w:val="en-GB"/>
        </w:rPr>
        <w:t>donor and acceptor such that relaxation to form low energy triplets is energetically allowed</w:t>
      </w:r>
      <w:r w:rsidR="00A11558">
        <w:rPr>
          <w:lang w:val="en-GB"/>
        </w:rPr>
        <w:t xml:space="preserve"> (see Fig. 4b)</w:t>
      </w:r>
      <w:r w:rsidR="00EA0BB5">
        <w:rPr>
          <w:lang w:val="en-GB"/>
        </w:rPr>
        <w:t xml:space="preserve">. </w:t>
      </w:r>
      <w:r w:rsidR="00A40AB3" w:rsidRPr="00C56423">
        <w:rPr>
          <w:lang w:val="en-GB"/>
        </w:rPr>
        <w:t xml:space="preserve">For the fullerene blend, </w:t>
      </w:r>
      <w:r w:rsidR="00C56423" w:rsidRPr="00C56423">
        <w:rPr>
          <w:lang w:val="en-GB"/>
        </w:rPr>
        <w:t xml:space="preserve">the formation </w:t>
      </w:r>
      <w:r w:rsidR="00A40AB3" w:rsidRPr="00C56423">
        <w:rPr>
          <w:lang w:val="en-GB"/>
        </w:rPr>
        <w:t xml:space="preserve">of triplet excitons </w:t>
      </w:r>
      <w:r w:rsidR="00C56423" w:rsidRPr="00C56423">
        <w:rPr>
          <w:lang w:val="en-GB"/>
        </w:rPr>
        <w:t xml:space="preserve">following </w:t>
      </w:r>
      <w:r w:rsidR="00A40AB3" w:rsidRPr="00C56423">
        <w:rPr>
          <w:lang w:val="en-GB"/>
        </w:rPr>
        <w:t xml:space="preserve">bimolecular </w:t>
      </w:r>
      <w:r w:rsidR="00C56423" w:rsidRPr="00C56423">
        <w:rPr>
          <w:lang w:val="en-GB"/>
        </w:rPr>
        <w:t xml:space="preserve">charge </w:t>
      </w:r>
      <w:r w:rsidR="00A40AB3" w:rsidRPr="00C56423">
        <w:rPr>
          <w:lang w:val="en-GB"/>
        </w:rPr>
        <w:t>recombination</w:t>
      </w:r>
      <w:r w:rsidR="00C56423" w:rsidRPr="00C56423">
        <w:rPr>
          <w:lang w:val="en-GB"/>
        </w:rPr>
        <w:t xml:space="preserve"> is clearly observed</w:t>
      </w:r>
      <w:r w:rsidR="00A40AB3" w:rsidRPr="00C56423">
        <w:rPr>
          <w:lang w:val="en-GB"/>
        </w:rPr>
        <w:t>.</w:t>
      </w:r>
      <w:r w:rsidR="00A40AB3">
        <w:rPr>
          <w:lang w:val="en-GB"/>
        </w:rPr>
        <w:t xml:space="preserve"> We attribute this to the fast CTE-</w:t>
      </w:r>
      <w:r w:rsidR="00A40AB3">
        <w:rPr>
          <w:lang w:val="en-GB" w:eastAsia="zh-CN"/>
        </w:rPr>
        <w:t>T</w:t>
      </w:r>
      <w:r w:rsidR="00A40AB3">
        <w:rPr>
          <w:vertAlign w:val="subscript"/>
          <w:lang w:val="en-GB" w:eastAsia="zh-CN"/>
        </w:rPr>
        <w:t>1</w:t>
      </w:r>
      <w:r w:rsidR="00A40AB3">
        <w:rPr>
          <w:lang w:val="en-GB" w:eastAsia="zh-CN"/>
        </w:rPr>
        <w:t xml:space="preserve"> transition rate due to small energy difference as well as large electronic couplings </w:t>
      </w:r>
      <w:r w:rsidR="00A40AB3" w:rsidRPr="00045547">
        <w:rPr>
          <w:lang w:val="en-GB" w:eastAsia="zh-CN"/>
        </w:rPr>
        <w:t xml:space="preserve">between the </w:t>
      </w:r>
      <w:r w:rsidR="00A40AB3">
        <w:rPr>
          <w:lang w:val="en-GB" w:eastAsia="zh-CN"/>
        </w:rPr>
        <w:t>CTE and PCBM T</w:t>
      </w:r>
      <w:r w:rsidR="00A40AB3">
        <w:rPr>
          <w:vertAlign w:val="subscript"/>
          <w:lang w:val="en-GB" w:eastAsia="zh-CN"/>
        </w:rPr>
        <w:t>1</w:t>
      </w:r>
      <w:r w:rsidR="00A40AB3">
        <w:rPr>
          <w:lang w:val="en-GB" w:eastAsia="zh-CN"/>
        </w:rPr>
        <w:t xml:space="preserve"> states in the fullerene blend. This fast triplet relaxation subsequently leads to non-radiative recombination and therefore device voltage loss. Critically, the optimal CTE energy for an OPV is ~1.6 eV </w:t>
      </w:r>
      <w:r w:rsidR="00A40AB3">
        <w:rPr>
          <w:lang w:val="en-GB" w:eastAsia="zh-CN"/>
        </w:rPr>
        <w:fldChar w:fldCharType="begin" w:fldLock="1"/>
      </w:r>
      <w:r w:rsidR="005D75E8">
        <w:rPr>
          <w:lang w:val="en-GB" w:eastAsia="zh-CN"/>
        </w:rPr>
        <w:instrText>ADDIN CSL_CITATION {"citationItems":[{"id":"ITEM-1","itemData":{"DOI":"10.1002/adma.201202873","ISBN":"1521-4095","ISSN":"09359648","PMID":"23225148","abstract":"The power conversion efficiency of the most efficient organic photovoltaic (OPV) cells has recently increased to over 10%. To enable further increases, the factors limiting the device efficiency in OPV must be identified. In this review, the operational mechanism of OPV cells is explained and the detailed balance limit to photovoltaic energy conversion, as developed by Shockley and Queisser, is outlined. The various approaches that have been developed to estimate the maximum practically achievable efficiency in OPV are then discussed, based on empirical knowledge of organic semiconductor materials. Subsequently, approaches made to adapt the detailed balance theory to incorporate some of the fundamentally different processes in organic solar cells that originate from using a combination of two complementary, donor and acceptor, organic semiconductors using thermodynamic and kinetic approaches are described. The more empirical formulations to the efficiency limits provide estimates of 10-12%, but the more fundamental descriptions suggest limits of 20-24% to be reachable in single junctions, similar to the highest efficiencies obtained for crystalline silicon p-n junction solar cells. Closing this gap sets the stage for future materials research and development of OPV.","author":[{"dropping-particle":"","family":"Janssen","given":"René A J.","non-dropping-particle":"","parse-names":false,"suffix":""},{"dropping-particle":"","family":"Nelson","given":"Jenny","non-dropping-particle":"","parse-names":false,"suffix":""}],"container-title":"Advanced Materials","id":"ITEM-1","issue":"13","issued":{"date-parts":[["2013"]]},"page":"1847-1858","title":"Factors limiting device efficiency in organic photovoltaics","type":"article-journal","volume":"25"},"uris":["http://www.mendeley.com/documents/?uuid=cec7478f-62f9-4661-b2f7-84e7ca18d7ee"]},{"id":"ITEM-2","itemData":{"DOI":"10.1038/nenergy.2017.53","ISSN":"2058-7546","abstract":"The conversion efficiency of organic solar cells suffers from their low open-circuit voltages. Here, the authors expose a link between electron-vibrations coupling and non-radiative recombinations, derive a new limit for the efficiency of organic solar cells, and redefine their optimal optical gap.","author":[{"dropping-particle":"","family":"Benduhn","given":"Johannes","non-dropping-particle":"","parse-names":false,"suffix":""},{"dropping-particle":"","family":"Tvingstedt","given":"Kristofer","non-dropping-particle":"","parse-names":false,"suffix":""},{"dropping-particle":"","family":"Piersimoni","given":"Fortunato","non-dropping-particle":"","parse-names":false,"suffix":""},{"dropping-particle":"","family":"Ullbrich","given":"Sascha","non-dropping-particle":"","parse-names":false,"suffix":""},{"dropping-particle":"","family":"Fan","given":"Yeli","non-dropping-particle":"","parse-names":false,"suffix":""},{"dropping-particle":"","family":"Tropiano","given":"Manuel","non-dropping-particle":"","parse-names":false,"suffix":""},{"dropping-particle":"","family":"McGarry","given":"Kathryn A.","non-dropping-particle":"","parse-names":false,"suffix":""},{"dropping-particle":"","family":"Zeika","given":"Olaf","non-dropping-particle":"","parse-names":false,"suffix":""},{"dropping-particle":"","family":"Riede","given":"Moritz K.","non-dropping-particle":"","parse-names":false,"suffix":""},{"dropping-particle":"","family":"Douglas","given":"Christopher J.","non-dropping-particle":"","parse-names":false,"suffix":""},{"dropping-particle":"","family":"Barlow","given":"Stephen","non-dropping-particle":"","parse-names":false,"suffix":""},{"dropping-particle":"","family":"Marder","given":"Seth R.","non-dropping-particle":"","parse-names":false,"suffix":""},{"dropping-particle":"","family":"Neher","given":"Dieter","non-dropping-particle":"","parse-names":false,"suffix":""},{"dropping-particle":"","family":"Spoltore","given":"Donato","non-dropping-particle":"","parse-names":false,"suffix":""},{"dropping-particle":"","family":"Vandewal","given":"Koen","non-dropping-particle":"","parse-names":false,"suffix":""}],"container-title":"Nature Energy","id":"ITEM-2","issue":"6","issued":{"date-parts":[["2017","4","10"]]},"page":"17053","title":"Intrinsic non-radiative voltage losses in fullerene-based organic solar cells","type":"article-journal","volume":"2"},"uris":["http://www.mendeley.com/documents/?uuid=8f7da3e9-a666-44ff-ab7d-cc8d9e1592dc"]}],"mendeley":{"formattedCitation":"&lt;sup&gt;34,35&lt;/sup&gt;","plainTextFormattedCitation":"34,35","previouslyFormattedCitation":"&lt;sup&gt;34,35&lt;/sup&gt;"},"properties":{"noteIndex":0},"schema":"https://github.com/citation-style-language/schema/raw/master/csl-citation.json"}</w:instrText>
      </w:r>
      <w:r w:rsidR="00A40AB3">
        <w:rPr>
          <w:lang w:val="en-GB" w:eastAsia="zh-CN"/>
        </w:rPr>
        <w:fldChar w:fldCharType="separate"/>
      </w:r>
      <w:r w:rsidR="005D75E8" w:rsidRPr="005D75E8">
        <w:rPr>
          <w:noProof/>
          <w:vertAlign w:val="superscript"/>
          <w:lang w:val="en-GB" w:eastAsia="zh-CN"/>
        </w:rPr>
        <w:t>34,35</w:t>
      </w:r>
      <w:r w:rsidR="00A40AB3">
        <w:rPr>
          <w:lang w:val="en-GB" w:eastAsia="zh-CN"/>
        </w:rPr>
        <w:fldChar w:fldCharType="end"/>
      </w:r>
      <w:r w:rsidR="00A40AB3">
        <w:rPr>
          <w:lang w:val="en-GB" w:eastAsia="zh-CN"/>
        </w:rPr>
        <w:t>, and this energy is close to the lowest triplet state in fullerene molecules (T</w:t>
      </w:r>
      <w:r w:rsidR="00A40AB3">
        <w:rPr>
          <w:vertAlign w:val="subscript"/>
          <w:lang w:val="en-GB" w:eastAsia="zh-CN"/>
        </w:rPr>
        <w:t>1</w:t>
      </w:r>
      <w:r w:rsidR="00A40AB3">
        <w:rPr>
          <w:lang w:val="en-GB" w:eastAsia="zh-CN"/>
        </w:rPr>
        <w:t xml:space="preserve"> ~1.5 eV). Therefore, fast </w:t>
      </w:r>
      <w:r w:rsidR="00A40AB3">
        <w:rPr>
          <w:lang w:val="en-GB"/>
        </w:rPr>
        <w:t>CTE-</w:t>
      </w:r>
      <w:r w:rsidR="00A40AB3">
        <w:rPr>
          <w:lang w:val="en-GB" w:eastAsia="zh-CN"/>
        </w:rPr>
        <w:t>T</w:t>
      </w:r>
      <w:r w:rsidR="00A40AB3">
        <w:rPr>
          <w:vertAlign w:val="subscript"/>
          <w:lang w:val="en-GB" w:eastAsia="zh-CN"/>
        </w:rPr>
        <w:t>1</w:t>
      </w:r>
      <w:r w:rsidR="00A40AB3">
        <w:rPr>
          <w:lang w:val="en-GB" w:eastAsia="zh-CN"/>
        </w:rPr>
        <w:t xml:space="preserve"> relaxation facilitated by the high molecular triplet energy of fullerene acceptors represents a fundamental limitation for fullerene-based OPV devices. In contrast, </w:t>
      </w:r>
      <w:r w:rsidR="00A40AB3">
        <w:rPr>
          <w:lang w:val="en-GB"/>
        </w:rPr>
        <w:t>w</w:t>
      </w:r>
      <w:r w:rsidR="00EA0BB5">
        <w:rPr>
          <w:lang w:val="en-GB"/>
        </w:rPr>
        <w:t xml:space="preserve">e found </w:t>
      </w:r>
      <w:r w:rsidR="00EA0BB5" w:rsidRPr="00EA0BB5">
        <w:rPr>
          <w:lang w:val="en-GB"/>
        </w:rPr>
        <w:t xml:space="preserve">no evidence for </w:t>
      </w:r>
      <w:r w:rsidR="00EA0BB5">
        <w:rPr>
          <w:lang w:val="en-GB"/>
        </w:rPr>
        <w:t xml:space="preserve">charge relaxation </w:t>
      </w:r>
      <w:r w:rsidR="00EA0BB5" w:rsidRPr="00EA0BB5">
        <w:rPr>
          <w:lang w:val="en-GB"/>
        </w:rPr>
        <w:t xml:space="preserve">to </w:t>
      </w:r>
      <w:r w:rsidR="00652EDC">
        <w:rPr>
          <w:lang w:val="en-GB"/>
        </w:rPr>
        <w:t xml:space="preserve">local </w:t>
      </w:r>
      <w:r w:rsidR="00EA0BB5" w:rsidRPr="00EA0BB5">
        <w:rPr>
          <w:lang w:val="en-GB"/>
        </w:rPr>
        <w:t>triplet</w:t>
      </w:r>
      <w:r w:rsidR="00652EDC">
        <w:rPr>
          <w:lang w:val="en-GB"/>
        </w:rPr>
        <w:t xml:space="preserve"> excitons</w:t>
      </w:r>
      <w:r w:rsidR="00EA0BB5" w:rsidRPr="00EA0BB5">
        <w:rPr>
          <w:lang w:val="en-GB"/>
        </w:rPr>
        <w:t xml:space="preserve"> </w:t>
      </w:r>
      <w:r w:rsidR="00EA0BB5">
        <w:rPr>
          <w:lang w:val="en-GB"/>
        </w:rPr>
        <w:t>on any timescale</w:t>
      </w:r>
      <w:r w:rsidR="00B46993">
        <w:rPr>
          <w:lang w:val="en-GB"/>
        </w:rPr>
        <w:t xml:space="preserve"> for the two NFA blends</w:t>
      </w:r>
      <w:r w:rsidR="001472C5">
        <w:rPr>
          <w:lang w:val="en-GB"/>
        </w:rPr>
        <w:t xml:space="preserve">. This indicates that </w:t>
      </w:r>
      <w:r w:rsidR="00EA0BB5" w:rsidRPr="00EA0BB5">
        <w:rPr>
          <w:lang w:val="en-GB"/>
        </w:rPr>
        <w:t>relaxation to form triplet excitons, although energetically allowed, is outcompeted by thermal separation of the CTE</w:t>
      </w:r>
      <w:r w:rsidR="00E40443">
        <w:rPr>
          <w:lang w:val="en-GB"/>
        </w:rPr>
        <w:t>s</w:t>
      </w:r>
      <w:r w:rsidR="00EA0BB5" w:rsidRPr="00EA0BB5">
        <w:rPr>
          <w:lang w:val="en-GB"/>
        </w:rPr>
        <w:t xml:space="preserve"> to free charges</w:t>
      </w:r>
      <w:r w:rsidR="001472C5">
        <w:rPr>
          <w:lang w:val="en-GB"/>
        </w:rPr>
        <w:t xml:space="preserve"> in these NFA blends</w:t>
      </w:r>
      <w:r w:rsidR="002163F8">
        <w:rPr>
          <w:lang w:val="en-GB"/>
        </w:rPr>
        <w:t xml:space="preserve"> (take ~100 ps</w:t>
      </w:r>
      <w:r w:rsidR="000475CC">
        <w:rPr>
          <w:lang w:val="en-GB"/>
        </w:rPr>
        <w:t xml:space="preserve"> </w:t>
      </w:r>
      <w:r w:rsidR="005721E7">
        <w:rPr>
          <w:lang w:val="en-GB"/>
        </w:rPr>
        <w:t xml:space="preserve">to complete at room temperature </w:t>
      </w:r>
      <w:r w:rsidR="005721E7">
        <w:rPr>
          <w:lang w:val="en-GB"/>
        </w:rPr>
        <w:fldChar w:fldCharType="begin" w:fldLock="1"/>
      </w:r>
      <w:r w:rsidR="005D75E8">
        <w:rPr>
          <w:lang w:val="en-GB"/>
        </w:rPr>
        <w:instrText>ADDIN CSL_CITATION {"citationItems":[{"id":"ITEM-1","itemData":{"DOI":"10.1038/s41467-020-19332-5","ISBN":"4146702019332","ISSN":"2041-1723","abstract":"Organic solar cells based on non-fullerene acceptors can show high charge generation yields despite near-zero donor–acceptor energy offsets to drive charge separation and overcome the mutual Coulomb attraction between electron and hole. Here, we use time-resolved optical spectroscopy to show that free charges in these systems are generated by thermally activated dissociation of interfacial charge-transfer states that occurs over hundreds of picoseconds at room temperature, three orders of magnitude slower than comparable fullerene-based systems. Upon free electron–hole encounters at later times, both charge-transfer states and emissive excitons are regenerated, thus setting up an equilibrium between excitons, charge-transfer states and free charges. Our results suggest that the formation of long-lived and disorder-free charge-transfer states in these systems enables them to operate closely to quasi-thermodynamic conditions with no requirement for energy offsets to drive interfacial charge separation and achieve suppressed non-radiative recombination.","author":[{"dropping-particle":"","family":"Hinrichsen","given":"Ture F.","non-dropping-particle":"","parse-names":false,"suffix":""},{"dropping-particle":"","family":"Chan","given":"Christopher C. S.","non-dropping-particle":"","parse-names":false,"suffix":""},{"dropping-particle":"","family":"Ma","given":"Chao","non-dropping-particle":"","parse-names":false,"suffix":""},{"dropping-particle":"","family":"Paleček","given":"David","non-dropping-particle":"","parse-names":false,"suffix":""},{"dropping-particle":"","family":"Gillett","given":"Alexander","non-dropping-particle":"","parse-names":false,"suffix":""},{"dropping-particle":"","family":"Chen","given":"Shangshang","non-dropping-particle":"","parse-names":false,"suffix":""},{"dropping-particle":"","family":"Zou","given":"Xinhui","non-dropping-particle":"","parse-names":false,"suffix":""},{"dropping-particle":"","family":"Zhang","given":"Guichuan","non-dropping-particle":"","parse-names":false,"suffix":""},{"dropping-particle":"","family":"Yip","given":"Hin-Lap","non-dropping-particle":"","parse-names":false,"suffix":""},{"dropping-particle":"","family":"Wong","given":"Kam Sing","non-dropping-particle":"","parse-names":false,"suffix":""},{"dropping-particle":"","family":"Friend","given":"Richard H.","non-dropping-particle":"","parse-names":false,"suffix":""},{"dropping-particle":"","family":"Yan","given":"He","non-dropping-particle":"","parse-names":false,"suffix":""},{"dropping-particle":"","family":"Rao","given":"Akshay","non-dropping-particle":"","parse-names":false,"suffix":""},{"dropping-particle":"","family":"Chow","given":"Philip C. Y.","non-dropping-particle":"","parse-names":false,"suffix":""}],"container-title":"Nature Communications","id":"ITEM-1","issue":"1","issued":{"date-parts":[["2020","12","5"]]},"page":"5617","title":"Long-lived and disorder-free charge transfer states enable endothermic charge separation in efficient non-fullerene organic solar cells","type":"article-journal","volume":"11"},"uris":["http://www.mendeley.com/documents/?uuid=4811954e-9106-4bc9-bc5d-4fdec12073fa"]}],"mendeley":{"formattedCitation":"&lt;sup&gt;23&lt;/sup&gt;","plainTextFormattedCitation":"23","previouslyFormattedCitation":"&lt;sup&gt;23&lt;/sup&gt;"},"properties":{"noteIndex":0},"schema":"https://github.com/citation-style-language/schema/raw/master/csl-citation.json"}</w:instrText>
      </w:r>
      <w:r w:rsidR="005721E7">
        <w:rPr>
          <w:lang w:val="en-GB"/>
        </w:rPr>
        <w:fldChar w:fldCharType="separate"/>
      </w:r>
      <w:r w:rsidR="005D75E8" w:rsidRPr="005D75E8">
        <w:rPr>
          <w:noProof/>
          <w:vertAlign w:val="superscript"/>
          <w:lang w:val="en-GB"/>
        </w:rPr>
        <w:t>23</w:t>
      </w:r>
      <w:r w:rsidR="005721E7">
        <w:rPr>
          <w:lang w:val="en-GB"/>
        </w:rPr>
        <w:fldChar w:fldCharType="end"/>
      </w:r>
      <w:r w:rsidR="002163F8">
        <w:rPr>
          <w:lang w:val="en-GB"/>
        </w:rPr>
        <w:t>)</w:t>
      </w:r>
      <w:r w:rsidR="00EA0BB5" w:rsidRPr="00EA0BB5">
        <w:rPr>
          <w:lang w:val="en-GB"/>
        </w:rPr>
        <w:t>.</w:t>
      </w:r>
      <w:r w:rsidR="0038594A">
        <w:rPr>
          <w:lang w:val="en-GB"/>
        </w:rPr>
        <w:t xml:space="preserve"> </w:t>
      </w:r>
      <w:r w:rsidR="007B7B86">
        <w:rPr>
          <w:lang w:val="en-GB" w:eastAsia="zh-CN"/>
        </w:rPr>
        <w:t xml:space="preserve">Our results indicate that </w:t>
      </w:r>
      <w:r w:rsidR="007504D2">
        <w:rPr>
          <w:lang w:val="en-GB" w:eastAsia="zh-CN"/>
        </w:rPr>
        <w:t xml:space="preserve">sub-picosecond </w:t>
      </w:r>
      <w:r w:rsidR="007B7B86">
        <w:rPr>
          <w:lang w:val="en-GB" w:eastAsia="zh-CN"/>
        </w:rPr>
        <w:t xml:space="preserve">CTE dissociation </w:t>
      </w:r>
      <w:r w:rsidR="00A40AB3">
        <w:rPr>
          <w:lang w:val="en-GB" w:eastAsia="zh-CN"/>
        </w:rPr>
        <w:t>driven by</w:t>
      </w:r>
      <w:r w:rsidR="007B7B86">
        <w:rPr>
          <w:lang w:val="en-GB" w:eastAsia="zh-CN"/>
        </w:rPr>
        <w:t xml:space="preserve"> interfacial charge delocalization is not a required condition for preventing triplet recombination, provided that there is sufficiently large energy difference and small electronic couplings between the CTE and triplet exciton state</w:t>
      </w:r>
      <w:r w:rsidR="00557A65">
        <w:rPr>
          <w:lang w:val="en-GB" w:eastAsia="zh-CN"/>
        </w:rPr>
        <w:t>s</w:t>
      </w:r>
      <w:r w:rsidR="001614BA">
        <w:rPr>
          <w:lang w:val="en-GB" w:eastAsia="zh-CN"/>
        </w:rPr>
        <w:t xml:space="preserve"> such that the triplet relaxation rate is slow (</w:t>
      </w:r>
      <w:r w:rsidR="005224FF">
        <w:rPr>
          <w:lang w:val="en-GB" w:eastAsia="zh-CN"/>
        </w:rPr>
        <w:t>&lt;&lt;</w:t>
      </w:r>
      <w:r w:rsidR="001614BA">
        <w:rPr>
          <w:lang w:val="en-GB" w:eastAsia="zh-CN"/>
        </w:rPr>
        <w:t>10</w:t>
      </w:r>
      <w:r w:rsidR="001614BA">
        <w:rPr>
          <w:vertAlign w:val="superscript"/>
          <w:lang w:val="en-GB" w:eastAsia="zh-CN"/>
        </w:rPr>
        <w:t>10</w:t>
      </w:r>
      <w:r w:rsidR="001614BA">
        <w:rPr>
          <w:lang w:val="en-GB" w:eastAsia="zh-CN"/>
        </w:rPr>
        <w:t xml:space="preserve"> s</w:t>
      </w:r>
      <w:r w:rsidR="001614BA">
        <w:rPr>
          <w:vertAlign w:val="superscript"/>
          <w:lang w:val="en-GB" w:eastAsia="zh-CN"/>
        </w:rPr>
        <w:t>-1</w:t>
      </w:r>
      <w:r w:rsidR="001614BA">
        <w:rPr>
          <w:lang w:val="en-GB" w:eastAsia="zh-CN"/>
        </w:rPr>
        <w:t>),</w:t>
      </w:r>
      <w:r w:rsidR="008D17FC">
        <w:rPr>
          <w:lang w:val="en-GB" w:eastAsia="zh-CN"/>
        </w:rPr>
        <w:t xml:space="preserve"> thereby</w:t>
      </w:r>
      <w:r w:rsidR="00177836">
        <w:rPr>
          <w:lang w:val="en-GB" w:eastAsia="zh-CN"/>
        </w:rPr>
        <w:t xml:space="preserve"> </w:t>
      </w:r>
      <w:r w:rsidR="008D17FC">
        <w:rPr>
          <w:lang w:val="en-GB" w:eastAsia="zh-CN"/>
        </w:rPr>
        <w:t xml:space="preserve">suppressing </w:t>
      </w:r>
      <w:r w:rsidR="00177836">
        <w:rPr>
          <w:lang w:val="en-GB" w:eastAsia="zh-CN"/>
        </w:rPr>
        <w:t>non-radiative triplet recombination</w:t>
      </w:r>
      <w:r w:rsidR="00177836" w:rsidRPr="00177836">
        <w:rPr>
          <w:lang w:val="en-GB" w:eastAsia="zh-CN"/>
        </w:rPr>
        <w:t xml:space="preserve"> </w:t>
      </w:r>
      <w:r w:rsidR="008D17FC">
        <w:rPr>
          <w:lang w:val="en-GB" w:eastAsia="zh-CN"/>
        </w:rPr>
        <w:t>losses</w:t>
      </w:r>
      <w:r w:rsidR="00EC69D5">
        <w:rPr>
          <w:lang w:val="en-GB" w:eastAsia="zh-CN"/>
        </w:rPr>
        <w:t xml:space="preserve"> in these blends</w:t>
      </w:r>
      <w:r w:rsidR="00177836">
        <w:rPr>
          <w:lang w:val="en-GB" w:eastAsia="zh-CN"/>
        </w:rPr>
        <w:t>.</w:t>
      </w:r>
      <w:r w:rsidR="009D4EAB">
        <w:rPr>
          <w:lang w:val="en-GB" w:eastAsia="zh-CN"/>
        </w:rPr>
        <w:t xml:space="preserve"> </w:t>
      </w:r>
      <w:r w:rsidR="007A2712" w:rsidRPr="0046266B">
        <w:rPr>
          <w:lang w:val="en-GB" w:eastAsia="zh-CN"/>
        </w:rPr>
        <w:t xml:space="preserve">We believe our findings can be generalized to other organic </w:t>
      </w:r>
      <w:r w:rsidR="00934D92">
        <w:rPr>
          <w:lang w:val="en-GB" w:eastAsia="zh-CN"/>
        </w:rPr>
        <w:t>materials</w:t>
      </w:r>
      <w:r w:rsidR="007A2712" w:rsidRPr="0046266B">
        <w:rPr>
          <w:lang w:val="en-GB" w:eastAsia="zh-CN"/>
        </w:rPr>
        <w:t xml:space="preserve"> (both OPV and OLED </w:t>
      </w:r>
      <w:r w:rsidR="00934D92">
        <w:rPr>
          <w:lang w:val="en-GB" w:eastAsia="zh-CN"/>
        </w:rPr>
        <w:t>systems</w:t>
      </w:r>
      <w:r w:rsidR="007A2712" w:rsidRPr="0046266B">
        <w:rPr>
          <w:lang w:val="en-GB" w:eastAsia="zh-CN"/>
        </w:rPr>
        <w:t>), though further investigations are needed to confirm this.</w:t>
      </w:r>
    </w:p>
    <w:p w14:paraId="73DE0DBB" w14:textId="018726B7" w:rsidR="002D16A0" w:rsidRPr="002E3D88" w:rsidRDefault="002D16A0" w:rsidP="002E3D88">
      <w:pPr>
        <w:spacing w:line="480" w:lineRule="auto"/>
        <w:jc w:val="both"/>
        <w:rPr>
          <w:lang w:val="en-GB"/>
        </w:rPr>
      </w:pPr>
    </w:p>
    <w:p w14:paraId="7D340984" w14:textId="77777777" w:rsidR="0054774B" w:rsidRPr="0054774B" w:rsidRDefault="0054774B" w:rsidP="001B75D7">
      <w:pPr>
        <w:pStyle w:val="MainText"/>
        <w:rPr>
          <w:lang w:val="en-GB"/>
        </w:rPr>
      </w:pPr>
    </w:p>
    <w:p w14:paraId="505DFEC5" w14:textId="77777777" w:rsidR="00FE4D5F" w:rsidRPr="00905E41" w:rsidRDefault="00FE4D5F" w:rsidP="001B75D7">
      <w:pPr>
        <w:pStyle w:val="MainText"/>
        <w:rPr>
          <w:b/>
          <w:lang w:val="en-GB"/>
        </w:rPr>
      </w:pPr>
      <w:r w:rsidRPr="00905E41">
        <w:rPr>
          <w:b/>
          <w:lang w:val="en-GB"/>
        </w:rPr>
        <w:t>References</w:t>
      </w:r>
    </w:p>
    <w:p w14:paraId="3AF12548" w14:textId="49BF74EF" w:rsidR="005D75E8" w:rsidRPr="005D75E8" w:rsidRDefault="00161887" w:rsidP="005D75E8">
      <w:pPr>
        <w:widowControl w:val="0"/>
        <w:autoSpaceDE w:val="0"/>
        <w:autoSpaceDN w:val="0"/>
        <w:adjustRightInd w:val="0"/>
        <w:ind w:left="640" w:hanging="640"/>
        <w:rPr>
          <w:noProof/>
        </w:rPr>
      </w:pPr>
      <w:r>
        <w:rPr>
          <w:b/>
          <w:lang w:val="en-GB"/>
        </w:rPr>
        <w:fldChar w:fldCharType="begin" w:fldLock="1"/>
      </w:r>
      <w:r>
        <w:rPr>
          <w:b/>
          <w:lang w:val="en-GB"/>
        </w:rPr>
        <w:instrText xml:space="preserve">ADDIN Mendeley Bibliography CSL_BIBLIOGRAPHY </w:instrText>
      </w:r>
      <w:r>
        <w:rPr>
          <w:b/>
          <w:lang w:val="en-GB"/>
        </w:rPr>
        <w:fldChar w:fldCharType="separate"/>
      </w:r>
      <w:r w:rsidR="005D75E8" w:rsidRPr="005D75E8">
        <w:rPr>
          <w:noProof/>
        </w:rPr>
        <w:t xml:space="preserve">(1) </w:t>
      </w:r>
      <w:r w:rsidR="005D75E8" w:rsidRPr="005D75E8">
        <w:rPr>
          <w:noProof/>
        </w:rPr>
        <w:tab/>
        <w:t xml:space="preserve">Zhang, G.; Zhao, J.; Chow, P. C. Y.; Jiang, K.; Zhang, J.; Zhu, Z.; Zhang, J.; Huang, F.; Yan, H. Nonfullerene Acceptor Molecules for Bulk Heterojunction Organic Solar Cells. </w:t>
      </w:r>
      <w:r w:rsidR="005D75E8" w:rsidRPr="005D75E8">
        <w:rPr>
          <w:i/>
          <w:iCs/>
          <w:noProof/>
        </w:rPr>
        <w:t>Chem. Rev.</w:t>
      </w:r>
      <w:r w:rsidR="005D75E8" w:rsidRPr="005D75E8">
        <w:rPr>
          <w:noProof/>
        </w:rPr>
        <w:t xml:space="preserve"> </w:t>
      </w:r>
      <w:r w:rsidR="005D75E8" w:rsidRPr="005D75E8">
        <w:rPr>
          <w:b/>
          <w:bCs/>
          <w:noProof/>
        </w:rPr>
        <w:t>2018</w:t>
      </w:r>
      <w:r w:rsidR="005D75E8" w:rsidRPr="005D75E8">
        <w:rPr>
          <w:noProof/>
        </w:rPr>
        <w:t xml:space="preserve">, </w:t>
      </w:r>
      <w:r w:rsidR="005D75E8" w:rsidRPr="005D75E8">
        <w:rPr>
          <w:i/>
          <w:iCs/>
          <w:noProof/>
        </w:rPr>
        <w:t>118</w:t>
      </w:r>
      <w:r w:rsidR="005D75E8" w:rsidRPr="005D75E8">
        <w:rPr>
          <w:noProof/>
        </w:rPr>
        <w:t xml:space="preserve"> (7), 3447–3507.</w:t>
      </w:r>
    </w:p>
    <w:p w14:paraId="502FFC91" w14:textId="77777777" w:rsidR="005D75E8" w:rsidRPr="005D75E8" w:rsidRDefault="005D75E8" w:rsidP="005D75E8">
      <w:pPr>
        <w:widowControl w:val="0"/>
        <w:autoSpaceDE w:val="0"/>
        <w:autoSpaceDN w:val="0"/>
        <w:adjustRightInd w:val="0"/>
        <w:ind w:left="640" w:hanging="640"/>
        <w:rPr>
          <w:noProof/>
        </w:rPr>
      </w:pPr>
      <w:r w:rsidRPr="005D75E8">
        <w:rPr>
          <w:noProof/>
        </w:rPr>
        <w:t xml:space="preserve">(2) </w:t>
      </w:r>
      <w:r w:rsidRPr="005D75E8">
        <w:rPr>
          <w:noProof/>
        </w:rPr>
        <w:tab/>
        <w:t xml:space="preserve">Bredas, J.-L.; Norton, J. E.; Cornil, J.; Coropceanu, V. Molecular Understanding of Organic Solar Cells: The Challenges. </w:t>
      </w:r>
      <w:r w:rsidRPr="005D75E8">
        <w:rPr>
          <w:i/>
          <w:iCs/>
          <w:noProof/>
        </w:rPr>
        <w:t>Acc. Chem. Res.</w:t>
      </w:r>
      <w:r w:rsidRPr="005D75E8">
        <w:rPr>
          <w:noProof/>
        </w:rPr>
        <w:t xml:space="preserve"> </w:t>
      </w:r>
      <w:r w:rsidRPr="005D75E8">
        <w:rPr>
          <w:b/>
          <w:bCs/>
          <w:noProof/>
        </w:rPr>
        <w:t>2009</w:t>
      </w:r>
      <w:r w:rsidRPr="005D75E8">
        <w:rPr>
          <w:noProof/>
        </w:rPr>
        <w:t xml:space="preserve">, </w:t>
      </w:r>
      <w:r w:rsidRPr="005D75E8">
        <w:rPr>
          <w:i/>
          <w:iCs/>
          <w:noProof/>
        </w:rPr>
        <w:t>42</w:t>
      </w:r>
      <w:r w:rsidRPr="005D75E8">
        <w:rPr>
          <w:noProof/>
        </w:rPr>
        <w:t xml:space="preserve"> (11), 1691–1699.</w:t>
      </w:r>
    </w:p>
    <w:p w14:paraId="5BF93678" w14:textId="77777777" w:rsidR="005D75E8" w:rsidRPr="005D75E8" w:rsidRDefault="005D75E8" w:rsidP="005D75E8">
      <w:pPr>
        <w:widowControl w:val="0"/>
        <w:autoSpaceDE w:val="0"/>
        <w:autoSpaceDN w:val="0"/>
        <w:adjustRightInd w:val="0"/>
        <w:ind w:left="640" w:hanging="640"/>
        <w:rPr>
          <w:noProof/>
        </w:rPr>
      </w:pPr>
      <w:r w:rsidRPr="005D75E8">
        <w:rPr>
          <w:noProof/>
        </w:rPr>
        <w:t xml:space="preserve">(3) </w:t>
      </w:r>
      <w:r w:rsidRPr="005D75E8">
        <w:rPr>
          <w:noProof/>
        </w:rPr>
        <w:tab/>
        <w:t xml:space="preserve">Köhler, A.; Beljonne, D. The Singlet–Triplet Exchange Energy in Conjugated Polymers. </w:t>
      </w:r>
      <w:r w:rsidRPr="005D75E8">
        <w:rPr>
          <w:i/>
          <w:iCs/>
          <w:noProof/>
        </w:rPr>
        <w:t>Adv. Funct. Mater.</w:t>
      </w:r>
      <w:r w:rsidRPr="005D75E8">
        <w:rPr>
          <w:noProof/>
        </w:rPr>
        <w:t xml:space="preserve"> </w:t>
      </w:r>
      <w:r w:rsidRPr="005D75E8">
        <w:rPr>
          <w:b/>
          <w:bCs/>
          <w:noProof/>
        </w:rPr>
        <w:t>2004</w:t>
      </w:r>
      <w:r w:rsidRPr="005D75E8">
        <w:rPr>
          <w:noProof/>
        </w:rPr>
        <w:t xml:space="preserve">, </w:t>
      </w:r>
      <w:r w:rsidRPr="005D75E8">
        <w:rPr>
          <w:i/>
          <w:iCs/>
          <w:noProof/>
        </w:rPr>
        <w:t>14</w:t>
      </w:r>
      <w:r w:rsidRPr="005D75E8">
        <w:rPr>
          <w:noProof/>
        </w:rPr>
        <w:t xml:space="preserve"> (1), 11–18.</w:t>
      </w:r>
    </w:p>
    <w:p w14:paraId="02AB73BD" w14:textId="77777777" w:rsidR="005D75E8" w:rsidRPr="005D75E8" w:rsidRDefault="005D75E8" w:rsidP="005D75E8">
      <w:pPr>
        <w:widowControl w:val="0"/>
        <w:autoSpaceDE w:val="0"/>
        <w:autoSpaceDN w:val="0"/>
        <w:adjustRightInd w:val="0"/>
        <w:ind w:left="640" w:hanging="640"/>
        <w:rPr>
          <w:noProof/>
        </w:rPr>
      </w:pPr>
      <w:r w:rsidRPr="005D75E8">
        <w:rPr>
          <w:noProof/>
        </w:rPr>
        <w:t xml:space="preserve">(4) </w:t>
      </w:r>
      <w:r w:rsidRPr="005D75E8">
        <w:rPr>
          <w:noProof/>
        </w:rPr>
        <w:tab/>
        <w:t xml:space="preserve">Chow, P. C. Y.; Albert‐Seifried, S.; Gélinas, S.; Friend, R. H. Nanosecond Intersystem Crossing Times in Fullerene Acceptors: Implications for Organic Photovoltaic Diodes. </w:t>
      </w:r>
      <w:r w:rsidRPr="005D75E8">
        <w:rPr>
          <w:i/>
          <w:iCs/>
          <w:noProof/>
        </w:rPr>
        <w:t>Adv. Mater.</w:t>
      </w:r>
      <w:r w:rsidRPr="005D75E8">
        <w:rPr>
          <w:noProof/>
        </w:rPr>
        <w:t xml:space="preserve"> </w:t>
      </w:r>
      <w:r w:rsidRPr="005D75E8">
        <w:rPr>
          <w:b/>
          <w:bCs/>
          <w:noProof/>
        </w:rPr>
        <w:t>2014</w:t>
      </w:r>
      <w:r w:rsidRPr="005D75E8">
        <w:rPr>
          <w:noProof/>
        </w:rPr>
        <w:t xml:space="preserve">, </w:t>
      </w:r>
      <w:r w:rsidRPr="005D75E8">
        <w:rPr>
          <w:i/>
          <w:iCs/>
          <w:noProof/>
        </w:rPr>
        <w:t>26</w:t>
      </w:r>
      <w:r w:rsidRPr="005D75E8">
        <w:rPr>
          <w:noProof/>
        </w:rPr>
        <w:t xml:space="preserve"> (28), 4851–4854.</w:t>
      </w:r>
    </w:p>
    <w:p w14:paraId="0683BA7C" w14:textId="77777777" w:rsidR="005D75E8" w:rsidRPr="005D75E8" w:rsidRDefault="005D75E8" w:rsidP="005D75E8">
      <w:pPr>
        <w:widowControl w:val="0"/>
        <w:autoSpaceDE w:val="0"/>
        <w:autoSpaceDN w:val="0"/>
        <w:adjustRightInd w:val="0"/>
        <w:ind w:left="640" w:hanging="640"/>
        <w:rPr>
          <w:noProof/>
        </w:rPr>
      </w:pPr>
      <w:r w:rsidRPr="005D75E8">
        <w:rPr>
          <w:noProof/>
        </w:rPr>
        <w:t xml:space="preserve">(5) </w:t>
      </w:r>
      <w:r w:rsidRPr="005D75E8">
        <w:rPr>
          <w:noProof/>
        </w:rPr>
        <w:tab/>
        <w:t xml:space="preserve">Ford, T. A.; Ohkita, H.; Cook, S.; Durrant, J. R.; Greenham, N. C. Direct Observation of Intersystem Crossing in Charge-Pair States in Polyfluorene Polymer Blends. </w:t>
      </w:r>
      <w:r w:rsidRPr="005D75E8">
        <w:rPr>
          <w:i/>
          <w:iCs/>
          <w:noProof/>
        </w:rPr>
        <w:t>Chem. Phys. Lett.</w:t>
      </w:r>
      <w:r w:rsidRPr="005D75E8">
        <w:rPr>
          <w:noProof/>
        </w:rPr>
        <w:t xml:space="preserve"> </w:t>
      </w:r>
      <w:r w:rsidRPr="005D75E8">
        <w:rPr>
          <w:b/>
          <w:bCs/>
          <w:noProof/>
        </w:rPr>
        <w:t>2008</w:t>
      </w:r>
      <w:r w:rsidRPr="005D75E8">
        <w:rPr>
          <w:noProof/>
        </w:rPr>
        <w:t xml:space="preserve">, </w:t>
      </w:r>
      <w:r w:rsidRPr="005D75E8">
        <w:rPr>
          <w:i/>
          <w:iCs/>
          <w:noProof/>
        </w:rPr>
        <w:t>454</w:t>
      </w:r>
      <w:r w:rsidRPr="005D75E8">
        <w:rPr>
          <w:noProof/>
        </w:rPr>
        <w:t xml:space="preserve"> (4–6), 237–241.</w:t>
      </w:r>
    </w:p>
    <w:p w14:paraId="0695C998" w14:textId="77777777" w:rsidR="005D75E8" w:rsidRPr="005D75E8" w:rsidRDefault="005D75E8" w:rsidP="005D75E8">
      <w:pPr>
        <w:widowControl w:val="0"/>
        <w:autoSpaceDE w:val="0"/>
        <w:autoSpaceDN w:val="0"/>
        <w:adjustRightInd w:val="0"/>
        <w:ind w:left="640" w:hanging="640"/>
        <w:rPr>
          <w:noProof/>
        </w:rPr>
      </w:pPr>
      <w:r w:rsidRPr="005D75E8">
        <w:rPr>
          <w:noProof/>
        </w:rPr>
        <w:t xml:space="preserve">(6) </w:t>
      </w:r>
      <w:r w:rsidRPr="005D75E8">
        <w:rPr>
          <w:noProof/>
        </w:rPr>
        <w:tab/>
        <w:t xml:space="preserve">Dyer-Smith, C.; Reynolds, L. X.; Bruno, A.; Bradley, D. D. C.; Hoque, S. A.; Nelson, J. Triplet Formation in Fullerene Multi-Adduct Blends for Organic Solar Cells and Its Influence on Device Performance. </w:t>
      </w:r>
      <w:r w:rsidRPr="005D75E8">
        <w:rPr>
          <w:i/>
          <w:iCs/>
          <w:noProof/>
        </w:rPr>
        <w:t>Adv. Funct. Mater.</w:t>
      </w:r>
      <w:r w:rsidRPr="005D75E8">
        <w:rPr>
          <w:noProof/>
        </w:rPr>
        <w:t xml:space="preserve"> </w:t>
      </w:r>
      <w:r w:rsidRPr="005D75E8">
        <w:rPr>
          <w:b/>
          <w:bCs/>
          <w:noProof/>
        </w:rPr>
        <w:t>2010</w:t>
      </w:r>
      <w:r w:rsidRPr="005D75E8">
        <w:rPr>
          <w:noProof/>
        </w:rPr>
        <w:t xml:space="preserve">, </w:t>
      </w:r>
      <w:r w:rsidRPr="005D75E8">
        <w:rPr>
          <w:i/>
          <w:iCs/>
          <w:noProof/>
        </w:rPr>
        <w:t>20</w:t>
      </w:r>
      <w:r w:rsidRPr="005D75E8">
        <w:rPr>
          <w:noProof/>
        </w:rPr>
        <w:t xml:space="preserve"> (16), 2701–2708.</w:t>
      </w:r>
    </w:p>
    <w:p w14:paraId="3B638C93" w14:textId="77777777" w:rsidR="005D75E8" w:rsidRPr="005D75E8" w:rsidRDefault="005D75E8" w:rsidP="005D75E8">
      <w:pPr>
        <w:widowControl w:val="0"/>
        <w:autoSpaceDE w:val="0"/>
        <w:autoSpaceDN w:val="0"/>
        <w:adjustRightInd w:val="0"/>
        <w:ind w:left="640" w:hanging="640"/>
        <w:rPr>
          <w:noProof/>
        </w:rPr>
      </w:pPr>
      <w:r w:rsidRPr="005D75E8">
        <w:rPr>
          <w:noProof/>
        </w:rPr>
        <w:t xml:space="preserve">(7) </w:t>
      </w:r>
      <w:r w:rsidRPr="005D75E8">
        <w:rPr>
          <w:noProof/>
        </w:rPr>
        <w:tab/>
        <w:t xml:space="preserve">Rao, A.; Chow, P. C. Y.; Gélinas, S.; Schlenker, C. W.; Li, C.-Z.; Yip, H.-L.; Jen, A. K.-Y.; Ginger, D. S.; Friend, R. H. The Role of Spin in the Kinetic Control of Recombination in Organic Photovoltaics. </w:t>
      </w:r>
      <w:r w:rsidRPr="005D75E8">
        <w:rPr>
          <w:i/>
          <w:iCs/>
          <w:noProof/>
        </w:rPr>
        <w:t>Nature</w:t>
      </w:r>
      <w:r w:rsidRPr="005D75E8">
        <w:rPr>
          <w:noProof/>
        </w:rPr>
        <w:t xml:space="preserve"> </w:t>
      </w:r>
      <w:r w:rsidRPr="005D75E8">
        <w:rPr>
          <w:b/>
          <w:bCs/>
          <w:noProof/>
        </w:rPr>
        <w:t>2013</w:t>
      </w:r>
      <w:r w:rsidRPr="005D75E8">
        <w:rPr>
          <w:noProof/>
        </w:rPr>
        <w:t xml:space="preserve">, </w:t>
      </w:r>
      <w:r w:rsidRPr="005D75E8">
        <w:rPr>
          <w:i/>
          <w:iCs/>
          <w:noProof/>
        </w:rPr>
        <w:t>500</w:t>
      </w:r>
      <w:r w:rsidRPr="005D75E8">
        <w:rPr>
          <w:noProof/>
        </w:rPr>
        <w:t xml:space="preserve"> (7463), 435–439.</w:t>
      </w:r>
    </w:p>
    <w:p w14:paraId="7514AF1B" w14:textId="77777777" w:rsidR="005D75E8" w:rsidRPr="005D75E8" w:rsidRDefault="005D75E8" w:rsidP="005D75E8">
      <w:pPr>
        <w:widowControl w:val="0"/>
        <w:autoSpaceDE w:val="0"/>
        <w:autoSpaceDN w:val="0"/>
        <w:adjustRightInd w:val="0"/>
        <w:ind w:left="640" w:hanging="640"/>
        <w:rPr>
          <w:noProof/>
        </w:rPr>
      </w:pPr>
      <w:r w:rsidRPr="005D75E8">
        <w:rPr>
          <w:noProof/>
        </w:rPr>
        <w:t xml:space="preserve">(8) </w:t>
      </w:r>
      <w:r w:rsidRPr="005D75E8">
        <w:rPr>
          <w:noProof/>
        </w:rPr>
        <w:tab/>
        <w:t xml:space="preserve">Chow, P. C. Y.; Gélinas, S.; Rao, A.; Friend, R. H. Quantitative Bimolecular Recombination in Organic Photovoltaics through Triplet Exciton Formation. </w:t>
      </w:r>
      <w:r w:rsidRPr="005D75E8">
        <w:rPr>
          <w:i/>
          <w:iCs/>
          <w:noProof/>
        </w:rPr>
        <w:t>J. Am. Chem. Soc.</w:t>
      </w:r>
      <w:r w:rsidRPr="005D75E8">
        <w:rPr>
          <w:noProof/>
        </w:rPr>
        <w:t xml:space="preserve"> </w:t>
      </w:r>
      <w:r w:rsidRPr="005D75E8">
        <w:rPr>
          <w:b/>
          <w:bCs/>
          <w:noProof/>
        </w:rPr>
        <w:t>2014</w:t>
      </w:r>
      <w:r w:rsidRPr="005D75E8">
        <w:rPr>
          <w:noProof/>
        </w:rPr>
        <w:t xml:space="preserve">, </w:t>
      </w:r>
      <w:r w:rsidRPr="005D75E8">
        <w:rPr>
          <w:i/>
          <w:iCs/>
          <w:noProof/>
        </w:rPr>
        <w:t>136</w:t>
      </w:r>
      <w:r w:rsidRPr="005D75E8">
        <w:rPr>
          <w:noProof/>
        </w:rPr>
        <w:t xml:space="preserve"> (9), 3424–3429.</w:t>
      </w:r>
    </w:p>
    <w:p w14:paraId="358E919A" w14:textId="77777777" w:rsidR="005D75E8" w:rsidRPr="005D75E8" w:rsidRDefault="005D75E8" w:rsidP="005D75E8">
      <w:pPr>
        <w:widowControl w:val="0"/>
        <w:autoSpaceDE w:val="0"/>
        <w:autoSpaceDN w:val="0"/>
        <w:adjustRightInd w:val="0"/>
        <w:ind w:left="640" w:hanging="640"/>
        <w:rPr>
          <w:noProof/>
        </w:rPr>
      </w:pPr>
      <w:r w:rsidRPr="005D75E8">
        <w:rPr>
          <w:noProof/>
        </w:rPr>
        <w:t xml:space="preserve">(9) </w:t>
      </w:r>
      <w:r w:rsidRPr="005D75E8">
        <w:rPr>
          <w:noProof/>
        </w:rPr>
        <w:tab/>
        <w:t xml:space="preserve">Coropceanu, V.; Chen, X.-K.; Wang, T.; Zheng, Z.; Brédas, J.-L. Charge-Transfer Electronic States in Organic Solar Cells. </w:t>
      </w:r>
      <w:r w:rsidRPr="005D75E8">
        <w:rPr>
          <w:i/>
          <w:iCs/>
          <w:noProof/>
        </w:rPr>
        <w:t>Nat. Rev. Mater.</w:t>
      </w:r>
      <w:r w:rsidRPr="005D75E8">
        <w:rPr>
          <w:noProof/>
        </w:rPr>
        <w:t xml:space="preserve"> </w:t>
      </w:r>
      <w:r w:rsidRPr="005D75E8">
        <w:rPr>
          <w:b/>
          <w:bCs/>
          <w:noProof/>
        </w:rPr>
        <w:t>2019</w:t>
      </w:r>
      <w:r w:rsidRPr="005D75E8">
        <w:rPr>
          <w:noProof/>
        </w:rPr>
        <w:t xml:space="preserve">, </w:t>
      </w:r>
      <w:r w:rsidRPr="005D75E8">
        <w:rPr>
          <w:i/>
          <w:iCs/>
          <w:noProof/>
        </w:rPr>
        <w:t>4</w:t>
      </w:r>
      <w:r w:rsidRPr="005D75E8">
        <w:rPr>
          <w:noProof/>
        </w:rPr>
        <w:t xml:space="preserve"> (11), 689–707.</w:t>
      </w:r>
    </w:p>
    <w:p w14:paraId="39747EE9" w14:textId="77777777" w:rsidR="005D75E8" w:rsidRPr="005D75E8" w:rsidRDefault="005D75E8" w:rsidP="005D75E8">
      <w:pPr>
        <w:widowControl w:val="0"/>
        <w:autoSpaceDE w:val="0"/>
        <w:autoSpaceDN w:val="0"/>
        <w:adjustRightInd w:val="0"/>
        <w:ind w:left="640" w:hanging="640"/>
        <w:rPr>
          <w:noProof/>
        </w:rPr>
      </w:pPr>
      <w:r w:rsidRPr="005D75E8">
        <w:rPr>
          <w:noProof/>
        </w:rPr>
        <w:t xml:space="preserve">(10) </w:t>
      </w:r>
      <w:r w:rsidRPr="005D75E8">
        <w:rPr>
          <w:noProof/>
        </w:rPr>
        <w:tab/>
        <w:t xml:space="preserve">Liedtke, M.; Sperlich, A.; Kraus, H.; Baumann, A.; Deibel, C.; Wirix, M. J. M.; Loos, J.; Cardona, C. M.; Dyakonov, V. Triplet Exciton Generation in Bulk-Heterojunction Solar Cells Based on Endohedral Fullerenes. </w:t>
      </w:r>
      <w:r w:rsidRPr="005D75E8">
        <w:rPr>
          <w:i/>
          <w:iCs/>
          <w:noProof/>
        </w:rPr>
        <w:t>J. Am. Chem. Soc.</w:t>
      </w:r>
      <w:r w:rsidRPr="005D75E8">
        <w:rPr>
          <w:noProof/>
        </w:rPr>
        <w:t xml:space="preserve"> </w:t>
      </w:r>
      <w:r w:rsidRPr="005D75E8">
        <w:rPr>
          <w:b/>
          <w:bCs/>
          <w:noProof/>
        </w:rPr>
        <w:t>2011</w:t>
      </w:r>
      <w:r w:rsidRPr="005D75E8">
        <w:rPr>
          <w:noProof/>
        </w:rPr>
        <w:t xml:space="preserve">, </w:t>
      </w:r>
      <w:r w:rsidRPr="005D75E8">
        <w:rPr>
          <w:i/>
          <w:iCs/>
          <w:noProof/>
        </w:rPr>
        <w:t>133</w:t>
      </w:r>
      <w:r w:rsidRPr="005D75E8">
        <w:rPr>
          <w:noProof/>
        </w:rPr>
        <w:t xml:space="preserve"> (23), 9088–9094.</w:t>
      </w:r>
    </w:p>
    <w:p w14:paraId="453592CD" w14:textId="77777777" w:rsidR="005D75E8" w:rsidRPr="005D75E8" w:rsidRDefault="005D75E8" w:rsidP="005D75E8">
      <w:pPr>
        <w:widowControl w:val="0"/>
        <w:autoSpaceDE w:val="0"/>
        <w:autoSpaceDN w:val="0"/>
        <w:adjustRightInd w:val="0"/>
        <w:ind w:left="640" w:hanging="640"/>
        <w:rPr>
          <w:noProof/>
        </w:rPr>
      </w:pPr>
      <w:r w:rsidRPr="005D75E8">
        <w:rPr>
          <w:noProof/>
        </w:rPr>
        <w:t xml:space="preserve">(11) </w:t>
      </w:r>
      <w:r w:rsidRPr="005D75E8">
        <w:rPr>
          <w:noProof/>
        </w:rPr>
        <w:tab/>
        <w:t xml:space="preserve">Dyer-Smith, C.; Reynolds, L. X.; Bruno, A.; Bradley, D. D. C.; Hoque, S. A.; Nelson, J. Triplet Formation in Fullerene Multi-Adduct Blends for Organic Solar Cells and Its Influence on Device Performance. </w:t>
      </w:r>
      <w:r w:rsidRPr="005D75E8">
        <w:rPr>
          <w:i/>
          <w:iCs/>
          <w:noProof/>
        </w:rPr>
        <w:t>Adv. Funct. Mater.</w:t>
      </w:r>
      <w:r w:rsidRPr="005D75E8">
        <w:rPr>
          <w:noProof/>
        </w:rPr>
        <w:t xml:space="preserve"> </w:t>
      </w:r>
      <w:r w:rsidRPr="005D75E8">
        <w:rPr>
          <w:b/>
          <w:bCs/>
          <w:noProof/>
        </w:rPr>
        <w:t>2010</w:t>
      </w:r>
      <w:r w:rsidRPr="005D75E8">
        <w:rPr>
          <w:noProof/>
        </w:rPr>
        <w:t xml:space="preserve">, </w:t>
      </w:r>
      <w:r w:rsidRPr="005D75E8">
        <w:rPr>
          <w:i/>
          <w:iCs/>
          <w:noProof/>
        </w:rPr>
        <w:t>20</w:t>
      </w:r>
      <w:r w:rsidRPr="005D75E8">
        <w:rPr>
          <w:noProof/>
        </w:rPr>
        <w:t xml:space="preserve"> (16), 2701–2708.</w:t>
      </w:r>
    </w:p>
    <w:p w14:paraId="334D9A5D" w14:textId="77777777" w:rsidR="005D75E8" w:rsidRPr="005D75E8" w:rsidRDefault="005D75E8" w:rsidP="005D75E8">
      <w:pPr>
        <w:widowControl w:val="0"/>
        <w:autoSpaceDE w:val="0"/>
        <w:autoSpaceDN w:val="0"/>
        <w:adjustRightInd w:val="0"/>
        <w:ind w:left="640" w:hanging="640"/>
        <w:rPr>
          <w:noProof/>
        </w:rPr>
      </w:pPr>
      <w:r w:rsidRPr="005D75E8">
        <w:rPr>
          <w:noProof/>
        </w:rPr>
        <w:t xml:space="preserve">(12) </w:t>
      </w:r>
      <w:r w:rsidRPr="005D75E8">
        <w:rPr>
          <w:noProof/>
        </w:rPr>
        <w:tab/>
        <w:t xml:space="preserve">Dimitrov, S. D.; Wheeler, S.; Niedzialek, D.; Schroeder, B. C.; Utzat, H.; Frost, J. M.; Yao, J.; Gillett, A.; Tuladhar, P. S.; McCulloch, I.; et al. Polaron Pair Mediated Triplet Generation in Polymer/Fullerene Blends. </w:t>
      </w:r>
      <w:r w:rsidRPr="005D75E8">
        <w:rPr>
          <w:i/>
          <w:iCs/>
          <w:noProof/>
        </w:rPr>
        <w:t>Nat. Commun.</w:t>
      </w:r>
      <w:r w:rsidRPr="005D75E8">
        <w:rPr>
          <w:noProof/>
        </w:rPr>
        <w:t xml:space="preserve"> </w:t>
      </w:r>
      <w:r w:rsidRPr="005D75E8">
        <w:rPr>
          <w:b/>
          <w:bCs/>
          <w:noProof/>
        </w:rPr>
        <w:t>2015</w:t>
      </w:r>
      <w:r w:rsidRPr="005D75E8">
        <w:rPr>
          <w:noProof/>
        </w:rPr>
        <w:t xml:space="preserve">, </w:t>
      </w:r>
      <w:r w:rsidRPr="005D75E8">
        <w:rPr>
          <w:i/>
          <w:iCs/>
          <w:noProof/>
        </w:rPr>
        <w:t>6</w:t>
      </w:r>
      <w:r w:rsidRPr="005D75E8">
        <w:rPr>
          <w:noProof/>
        </w:rPr>
        <w:t>, 6501.</w:t>
      </w:r>
    </w:p>
    <w:p w14:paraId="4327BE19" w14:textId="77777777" w:rsidR="005D75E8" w:rsidRPr="005D75E8" w:rsidRDefault="005D75E8" w:rsidP="005D75E8">
      <w:pPr>
        <w:widowControl w:val="0"/>
        <w:autoSpaceDE w:val="0"/>
        <w:autoSpaceDN w:val="0"/>
        <w:adjustRightInd w:val="0"/>
        <w:ind w:left="640" w:hanging="640"/>
        <w:rPr>
          <w:noProof/>
        </w:rPr>
      </w:pPr>
      <w:r w:rsidRPr="005D75E8">
        <w:rPr>
          <w:noProof/>
        </w:rPr>
        <w:t xml:space="preserve">(13) </w:t>
      </w:r>
      <w:r w:rsidRPr="005D75E8">
        <w:rPr>
          <w:noProof/>
        </w:rPr>
        <w:tab/>
        <w:t xml:space="preserve">Menke, S. M.; Sadhanala, A.; Nikolka, M.; Ran, N. A.; Ravva, M. K.; Abdel-Azeim, S.; Stern, H. L.; Wang, M.; Sirringhaus, H.; Nguyen, T. Q.; et al. Limits for Recombination in a Low Energy Loss Organic Heterojunction. </w:t>
      </w:r>
      <w:r w:rsidRPr="005D75E8">
        <w:rPr>
          <w:i/>
          <w:iCs/>
          <w:noProof/>
        </w:rPr>
        <w:t>ACS Nano</w:t>
      </w:r>
      <w:r w:rsidRPr="005D75E8">
        <w:rPr>
          <w:noProof/>
        </w:rPr>
        <w:t xml:space="preserve"> </w:t>
      </w:r>
      <w:r w:rsidRPr="005D75E8">
        <w:rPr>
          <w:b/>
          <w:bCs/>
          <w:noProof/>
        </w:rPr>
        <w:t>2016</w:t>
      </w:r>
      <w:r w:rsidRPr="005D75E8">
        <w:rPr>
          <w:noProof/>
        </w:rPr>
        <w:t xml:space="preserve">, </w:t>
      </w:r>
      <w:r w:rsidRPr="005D75E8">
        <w:rPr>
          <w:i/>
          <w:iCs/>
          <w:noProof/>
        </w:rPr>
        <w:t>10</w:t>
      </w:r>
      <w:r w:rsidRPr="005D75E8">
        <w:rPr>
          <w:noProof/>
        </w:rPr>
        <w:t xml:space="preserve"> (12), 10736–10744.</w:t>
      </w:r>
    </w:p>
    <w:p w14:paraId="66B49687" w14:textId="77777777" w:rsidR="005D75E8" w:rsidRPr="005D75E8" w:rsidRDefault="005D75E8" w:rsidP="005D75E8">
      <w:pPr>
        <w:widowControl w:val="0"/>
        <w:autoSpaceDE w:val="0"/>
        <w:autoSpaceDN w:val="0"/>
        <w:adjustRightInd w:val="0"/>
        <w:ind w:left="640" w:hanging="640"/>
        <w:rPr>
          <w:noProof/>
        </w:rPr>
      </w:pPr>
      <w:r w:rsidRPr="005D75E8">
        <w:rPr>
          <w:noProof/>
        </w:rPr>
        <w:t xml:space="preserve">(14) </w:t>
      </w:r>
      <w:r w:rsidRPr="005D75E8">
        <w:rPr>
          <w:noProof/>
        </w:rPr>
        <w:tab/>
        <w:t xml:space="preserve">Armin, A.; Durrant, J. R.; Shoaee, S. Interplay between Triplet-, Singlet-Charge Transfer States and Free Charge Carriers Defining Bimolecular Recombination Rate Constant of Organic Solar Cells. </w:t>
      </w:r>
      <w:r w:rsidRPr="005D75E8">
        <w:rPr>
          <w:i/>
          <w:iCs/>
          <w:noProof/>
        </w:rPr>
        <w:t>J. Phys. Chem. C</w:t>
      </w:r>
      <w:r w:rsidRPr="005D75E8">
        <w:rPr>
          <w:noProof/>
        </w:rPr>
        <w:t xml:space="preserve"> </w:t>
      </w:r>
      <w:r w:rsidRPr="005D75E8">
        <w:rPr>
          <w:b/>
          <w:bCs/>
          <w:noProof/>
        </w:rPr>
        <w:t>2017</w:t>
      </w:r>
      <w:r w:rsidRPr="005D75E8">
        <w:rPr>
          <w:noProof/>
        </w:rPr>
        <w:t xml:space="preserve">, </w:t>
      </w:r>
      <w:r w:rsidRPr="005D75E8">
        <w:rPr>
          <w:i/>
          <w:iCs/>
          <w:noProof/>
        </w:rPr>
        <w:t>121</w:t>
      </w:r>
      <w:r w:rsidRPr="005D75E8">
        <w:rPr>
          <w:noProof/>
        </w:rPr>
        <w:t xml:space="preserve"> (25), 13969–13976.</w:t>
      </w:r>
    </w:p>
    <w:p w14:paraId="38FFA3E4" w14:textId="77777777" w:rsidR="005D75E8" w:rsidRPr="005D75E8" w:rsidRDefault="005D75E8" w:rsidP="005D75E8">
      <w:pPr>
        <w:widowControl w:val="0"/>
        <w:autoSpaceDE w:val="0"/>
        <w:autoSpaceDN w:val="0"/>
        <w:adjustRightInd w:val="0"/>
        <w:ind w:left="640" w:hanging="640"/>
        <w:rPr>
          <w:noProof/>
        </w:rPr>
      </w:pPr>
      <w:r w:rsidRPr="005D75E8">
        <w:rPr>
          <w:noProof/>
        </w:rPr>
        <w:t xml:space="preserve">(15) </w:t>
      </w:r>
      <w:r w:rsidRPr="005D75E8">
        <w:rPr>
          <w:noProof/>
        </w:rPr>
        <w:tab/>
        <w:t xml:space="preserve">Chen, X.; Wang, T.; Brédas, J. Suppressing Energy Loss Due to Triplet Exciton Formation in Organic Solar Cells: The Role of Chemical Structures and Molecular Packing. </w:t>
      </w:r>
      <w:r w:rsidRPr="005D75E8">
        <w:rPr>
          <w:i/>
          <w:iCs/>
          <w:noProof/>
        </w:rPr>
        <w:t>Adv. Energy Mater.</w:t>
      </w:r>
      <w:r w:rsidRPr="005D75E8">
        <w:rPr>
          <w:noProof/>
        </w:rPr>
        <w:t xml:space="preserve"> </w:t>
      </w:r>
      <w:r w:rsidRPr="005D75E8">
        <w:rPr>
          <w:b/>
          <w:bCs/>
          <w:noProof/>
        </w:rPr>
        <w:t>2017</w:t>
      </w:r>
      <w:r w:rsidRPr="005D75E8">
        <w:rPr>
          <w:noProof/>
        </w:rPr>
        <w:t xml:space="preserve">, </w:t>
      </w:r>
      <w:r w:rsidRPr="005D75E8">
        <w:rPr>
          <w:i/>
          <w:iCs/>
          <w:noProof/>
        </w:rPr>
        <w:t>7</w:t>
      </w:r>
      <w:r w:rsidRPr="005D75E8">
        <w:rPr>
          <w:noProof/>
        </w:rPr>
        <w:t xml:space="preserve"> (15), 1602713.</w:t>
      </w:r>
    </w:p>
    <w:p w14:paraId="423F3C6B" w14:textId="77777777" w:rsidR="005D75E8" w:rsidRPr="005D75E8" w:rsidRDefault="005D75E8" w:rsidP="005D75E8">
      <w:pPr>
        <w:widowControl w:val="0"/>
        <w:autoSpaceDE w:val="0"/>
        <w:autoSpaceDN w:val="0"/>
        <w:adjustRightInd w:val="0"/>
        <w:ind w:left="640" w:hanging="640"/>
        <w:rPr>
          <w:noProof/>
        </w:rPr>
      </w:pPr>
      <w:r w:rsidRPr="005D75E8">
        <w:rPr>
          <w:noProof/>
        </w:rPr>
        <w:t xml:space="preserve">(16) </w:t>
      </w:r>
      <w:r w:rsidRPr="005D75E8">
        <w:rPr>
          <w:noProof/>
        </w:rPr>
        <w:tab/>
        <w:t xml:space="preserve">Benduhn, J.; Piersimoni, F.; Londi, G.; Kirch, A.; Widmer, J.; Koerner, C.; Beljonne, D.; Neher, D.; Spoltore, D.; Vandewal, K. Impact of Triplet Excited States on the Open-Circuit Voltage of Organic Solar Cells. </w:t>
      </w:r>
      <w:r w:rsidRPr="005D75E8">
        <w:rPr>
          <w:i/>
          <w:iCs/>
          <w:noProof/>
        </w:rPr>
        <w:t>Adv. Energy Mater.</w:t>
      </w:r>
      <w:r w:rsidRPr="005D75E8">
        <w:rPr>
          <w:noProof/>
        </w:rPr>
        <w:t xml:space="preserve"> </w:t>
      </w:r>
      <w:r w:rsidRPr="005D75E8">
        <w:rPr>
          <w:b/>
          <w:bCs/>
          <w:noProof/>
        </w:rPr>
        <w:t>2018</w:t>
      </w:r>
      <w:r w:rsidRPr="005D75E8">
        <w:rPr>
          <w:noProof/>
        </w:rPr>
        <w:t xml:space="preserve">, </w:t>
      </w:r>
      <w:r w:rsidRPr="005D75E8">
        <w:rPr>
          <w:i/>
          <w:iCs/>
          <w:noProof/>
        </w:rPr>
        <w:t>8</w:t>
      </w:r>
      <w:r w:rsidRPr="005D75E8">
        <w:rPr>
          <w:noProof/>
        </w:rPr>
        <w:t xml:space="preserve"> (21), </w:t>
      </w:r>
      <w:r w:rsidRPr="005D75E8">
        <w:rPr>
          <w:noProof/>
        </w:rPr>
        <w:lastRenderedPageBreak/>
        <w:t>1800451.</w:t>
      </w:r>
    </w:p>
    <w:p w14:paraId="0EFD9F81" w14:textId="77777777" w:rsidR="005D75E8" w:rsidRPr="005D75E8" w:rsidRDefault="005D75E8" w:rsidP="005D75E8">
      <w:pPr>
        <w:widowControl w:val="0"/>
        <w:autoSpaceDE w:val="0"/>
        <w:autoSpaceDN w:val="0"/>
        <w:adjustRightInd w:val="0"/>
        <w:ind w:left="640" w:hanging="640"/>
        <w:rPr>
          <w:noProof/>
        </w:rPr>
      </w:pPr>
      <w:r w:rsidRPr="005D75E8">
        <w:rPr>
          <w:noProof/>
        </w:rPr>
        <w:t xml:space="preserve">(17) </w:t>
      </w:r>
      <w:r w:rsidRPr="005D75E8">
        <w:rPr>
          <w:noProof/>
        </w:rPr>
        <w:tab/>
        <w:t xml:space="preserve">Chen, X.-K.; Ravva, M. K.; Li, H.; Ryno, S. M.; Brédas, J.-L. Effect of Molecular Packing and Charge Delocalization on the Nonradiative Recombination of Charge-Transfer States in Organic Solar Cells. </w:t>
      </w:r>
      <w:r w:rsidRPr="005D75E8">
        <w:rPr>
          <w:i/>
          <w:iCs/>
          <w:noProof/>
        </w:rPr>
        <w:t>Adv. Energy Mater.</w:t>
      </w:r>
      <w:r w:rsidRPr="005D75E8">
        <w:rPr>
          <w:noProof/>
        </w:rPr>
        <w:t xml:space="preserve"> </w:t>
      </w:r>
      <w:r w:rsidRPr="005D75E8">
        <w:rPr>
          <w:b/>
          <w:bCs/>
          <w:noProof/>
        </w:rPr>
        <w:t>2016</w:t>
      </w:r>
      <w:r w:rsidRPr="005D75E8">
        <w:rPr>
          <w:noProof/>
        </w:rPr>
        <w:t xml:space="preserve">, </w:t>
      </w:r>
      <w:r w:rsidRPr="005D75E8">
        <w:rPr>
          <w:i/>
          <w:iCs/>
          <w:noProof/>
        </w:rPr>
        <w:t>6</w:t>
      </w:r>
      <w:r w:rsidRPr="005D75E8">
        <w:rPr>
          <w:noProof/>
        </w:rPr>
        <w:t xml:space="preserve"> (24), 1601325.</w:t>
      </w:r>
    </w:p>
    <w:p w14:paraId="32DCC80B" w14:textId="77777777" w:rsidR="005D75E8" w:rsidRPr="005D75E8" w:rsidRDefault="005D75E8" w:rsidP="005D75E8">
      <w:pPr>
        <w:widowControl w:val="0"/>
        <w:autoSpaceDE w:val="0"/>
        <w:autoSpaceDN w:val="0"/>
        <w:adjustRightInd w:val="0"/>
        <w:ind w:left="640" w:hanging="640"/>
        <w:rPr>
          <w:noProof/>
        </w:rPr>
      </w:pPr>
      <w:r w:rsidRPr="005D75E8">
        <w:rPr>
          <w:noProof/>
        </w:rPr>
        <w:t xml:space="preserve">(18) </w:t>
      </w:r>
      <w:r w:rsidRPr="005D75E8">
        <w:rPr>
          <w:noProof/>
        </w:rPr>
        <w:tab/>
        <w:t xml:space="preserve">Ndjawa, G. O. N.; Graham, K. R.; Mollinger, S.; Wu, D. M.; Hanifi, D.; Prasanna, R.; Rose, B. D.; Dey, S.; Yu, L.; Brédas, J.-L.; et al. Open-Circuit Voltage in Organic Solar Cells: The Impacts of Donor Semicrystallinity and Coexistence of Multiple Interfacial Charge-Transfer Bands. </w:t>
      </w:r>
      <w:r w:rsidRPr="005D75E8">
        <w:rPr>
          <w:i/>
          <w:iCs/>
          <w:noProof/>
        </w:rPr>
        <w:t>Adv. Energy Mater.</w:t>
      </w:r>
      <w:r w:rsidRPr="005D75E8">
        <w:rPr>
          <w:noProof/>
        </w:rPr>
        <w:t xml:space="preserve"> </w:t>
      </w:r>
      <w:r w:rsidRPr="005D75E8">
        <w:rPr>
          <w:b/>
          <w:bCs/>
          <w:noProof/>
        </w:rPr>
        <w:t>2017</w:t>
      </w:r>
      <w:r w:rsidRPr="005D75E8">
        <w:rPr>
          <w:noProof/>
        </w:rPr>
        <w:t xml:space="preserve">, </w:t>
      </w:r>
      <w:r w:rsidRPr="005D75E8">
        <w:rPr>
          <w:i/>
          <w:iCs/>
          <w:noProof/>
        </w:rPr>
        <w:t>7</w:t>
      </w:r>
      <w:r w:rsidRPr="005D75E8">
        <w:rPr>
          <w:noProof/>
        </w:rPr>
        <w:t xml:space="preserve"> (12), 1601995.</w:t>
      </w:r>
    </w:p>
    <w:p w14:paraId="5AF31FF7" w14:textId="77777777" w:rsidR="005D75E8" w:rsidRPr="005D75E8" w:rsidRDefault="005D75E8" w:rsidP="005D75E8">
      <w:pPr>
        <w:widowControl w:val="0"/>
        <w:autoSpaceDE w:val="0"/>
        <w:autoSpaceDN w:val="0"/>
        <w:adjustRightInd w:val="0"/>
        <w:ind w:left="640" w:hanging="640"/>
        <w:rPr>
          <w:noProof/>
        </w:rPr>
      </w:pPr>
      <w:r w:rsidRPr="005D75E8">
        <w:rPr>
          <w:noProof/>
        </w:rPr>
        <w:t xml:space="preserve">(19) </w:t>
      </w:r>
      <w:r w:rsidRPr="005D75E8">
        <w:rPr>
          <w:noProof/>
        </w:rPr>
        <w:tab/>
        <w:t xml:space="preserve">Cui, Y.; Yao, H.; Zhang, J.; Xian, K.; Zhang, T.; Hong, L.; Wang, Y.; Xu, Y.; Ma, K.; An, C.; et al. Single‐Junction Organic Photovoltaic Cells with Approaching 18% Efficiency. </w:t>
      </w:r>
      <w:r w:rsidRPr="005D75E8">
        <w:rPr>
          <w:i/>
          <w:iCs/>
          <w:noProof/>
        </w:rPr>
        <w:t>Adv. Mater.</w:t>
      </w:r>
      <w:r w:rsidRPr="005D75E8">
        <w:rPr>
          <w:noProof/>
        </w:rPr>
        <w:t xml:space="preserve"> </w:t>
      </w:r>
      <w:r w:rsidRPr="005D75E8">
        <w:rPr>
          <w:b/>
          <w:bCs/>
          <w:noProof/>
        </w:rPr>
        <w:t>2020</w:t>
      </w:r>
      <w:r w:rsidRPr="005D75E8">
        <w:rPr>
          <w:noProof/>
        </w:rPr>
        <w:t xml:space="preserve">, </w:t>
      </w:r>
      <w:r w:rsidRPr="005D75E8">
        <w:rPr>
          <w:i/>
          <w:iCs/>
          <w:noProof/>
        </w:rPr>
        <w:t>32</w:t>
      </w:r>
      <w:r w:rsidRPr="005D75E8">
        <w:rPr>
          <w:noProof/>
        </w:rPr>
        <w:t xml:space="preserve"> (19), 1908205.</w:t>
      </w:r>
    </w:p>
    <w:p w14:paraId="3C1E3BFE" w14:textId="77777777" w:rsidR="005D75E8" w:rsidRPr="005D75E8" w:rsidRDefault="005D75E8" w:rsidP="005D75E8">
      <w:pPr>
        <w:widowControl w:val="0"/>
        <w:autoSpaceDE w:val="0"/>
        <w:autoSpaceDN w:val="0"/>
        <w:adjustRightInd w:val="0"/>
        <w:ind w:left="640" w:hanging="640"/>
        <w:rPr>
          <w:noProof/>
        </w:rPr>
      </w:pPr>
      <w:r w:rsidRPr="005D75E8">
        <w:rPr>
          <w:noProof/>
        </w:rPr>
        <w:t xml:space="preserve">(20) </w:t>
      </w:r>
      <w:r w:rsidRPr="005D75E8">
        <w:rPr>
          <w:noProof/>
        </w:rPr>
        <w:tab/>
        <w:t xml:space="preserve">Baran, D.; Kirchartz, T.; Wheeler, S.; Dimitrov, S.; Abdelsamie, M.; Gorman, J.; Ashraf, R. S.; Holliday, S.; Wadsworth, A.; Gasparini, N.; et al. Reduced Voltage Losses Yield 10% Efficient Fullerene Free Organic Solar Cells with over 1 V Open Circuit Voltages. </w:t>
      </w:r>
      <w:r w:rsidRPr="005D75E8">
        <w:rPr>
          <w:i/>
          <w:iCs/>
          <w:noProof/>
        </w:rPr>
        <w:t>Energy Environ. Sci.</w:t>
      </w:r>
      <w:r w:rsidRPr="005D75E8">
        <w:rPr>
          <w:noProof/>
        </w:rPr>
        <w:t xml:space="preserve"> </w:t>
      </w:r>
      <w:r w:rsidRPr="005D75E8">
        <w:rPr>
          <w:b/>
          <w:bCs/>
          <w:noProof/>
        </w:rPr>
        <w:t>2016</w:t>
      </w:r>
      <w:r w:rsidRPr="005D75E8">
        <w:rPr>
          <w:noProof/>
        </w:rPr>
        <w:t xml:space="preserve">, </w:t>
      </w:r>
      <w:r w:rsidRPr="005D75E8">
        <w:rPr>
          <w:i/>
          <w:iCs/>
          <w:noProof/>
        </w:rPr>
        <w:t>9</w:t>
      </w:r>
      <w:r w:rsidRPr="005D75E8">
        <w:rPr>
          <w:noProof/>
        </w:rPr>
        <w:t xml:space="preserve"> (12), 3783–3793.</w:t>
      </w:r>
    </w:p>
    <w:p w14:paraId="6EF06360" w14:textId="77777777" w:rsidR="005D75E8" w:rsidRPr="005D75E8" w:rsidRDefault="005D75E8" w:rsidP="005D75E8">
      <w:pPr>
        <w:widowControl w:val="0"/>
        <w:autoSpaceDE w:val="0"/>
        <w:autoSpaceDN w:val="0"/>
        <w:adjustRightInd w:val="0"/>
        <w:ind w:left="640" w:hanging="640"/>
        <w:rPr>
          <w:noProof/>
        </w:rPr>
      </w:pPr>
      <w:r w:rsidRPr="005D75E8">
        <w:rPr>
          <w:noProof/>
        </w:rPr>
        <w:t xml:space="preserve">(21) </w:t>
      </w:r>
      <w:r w:rsidRPr="005D75E8">
        <w:rPr>
          <w:noProof/>
        </w:rPr>
        <w:tab/>
        <w:t xml:space="preserve">Liu, J.; Chen, S.; Qian, D.; Gautam, B.; Yang, G.; Zhao, J.; Bergqvist, J.; Zhang, F.; Ma, W.; Ade, H.; et al. Fast Charge Separation in a Non-Fullerene Organic Solar Cell with a Small Driving Force. </w:t>
      </w:r>
      <w:r w:rsidRPr="005D75E8">
        <w:rPr>
          <w:i/>
          <w:iCs/>
          <w:noProof/>
        </w:rPr>
        <w:t>Nat. Energy</w:t>
      </w:r>
      <w:r w:rsidRPr="005D75E8">
        <w:rPr>
          <w:noProof/>
        </w:rPr>
        <w:t xml:space="preserve"> </w:t>
      </w:r>
      <w:r w:rsidRPr="005D75E8">
        <w:rPr>
          <w:b/>
          <w:bCs/>
          <w:noProof/>
        </w:rPr>
        <w:t>2016</w:t>
      </w:r>
      <w:r w:rsidRPr="005D75E8">
        <w:rPr>
          <w:noProof/>
        </w:rPr>
        <w:t xml:space="preserve">, </w:t>
      </w:r>
      <w:r w:rsidRPr="005D75E8">
        <w:rPr>
          <w:i/>
          <w:iCs/>
          <w:noProof/>
        </w:rPr>
        <w:t>1</w:t>
      </w:r>
      <w:r w:rsidRPr="005D75E8">
        <w:rPr>
          <w:noProof/>
        </w:rPr>
        <w:t xml:space="preserve"> (7), 16089.</w:t>
      </w:r>
    </w:p>
    <w:p w14:paraId="17214D7E" w14:textId="77777777" w:rsidR="005D75E8" w:rsidRPr="005D75E8" w:rsidRDefault="005D75E8" w:rsidP="005D75E8">
      <w:pPr>
        <w:widowControl w:val="0"/>
        <w:autoSpaceDE w:val="0"/>
        <w:autoSpaceDN w:val="0"/>
        <w:adjustRightInd w:val="0"/>
        <w:ind w:left="640" w:hanging="640"/>
        <w:rPr>
          <w:noProof/>
        </w:rPr>
      </w:pPr>
      <w:r w:rsidRPr="005D75E8">
        <w:rPr>
          <w:noProof/>
        </w:rPr>
        <w:t xml:space="preserve">(22) </w:t>
      </w:r>
      <w:r w:rsidRPr="005D75E8">
        <w:rPr>
          <w:noProof/>
        </w:rPr>
        <w:tab/>
        <w:t xml:space="preserve">Qian, D.; Zheng, Z.; Yao, H.; Tress, W.; Hopper, T. R.; Chen, S.; Li, S.; Liu, J.; Chen, S.; Zhang, J.; et al. Design Rules for Minimizing Voltage Losses in High-Efficiency Organic Solar Cells. </w:t>
      </w:r>
      <w:r w:rsidRPr="005D75E8">
        <w:rPr>
          <w:i/>
          <w:iCs/>
          <w:noProof/>
        </w:rPr>
        <w:t>Nat. Mater.</w:t>
      </w:r>
      <w:r w:rsidRPr="005D75E8">
        <w:rPr>
          <w:noProof/>
        </w:rPr>
        <w:t xml:space="preserve"> </w:t>
      </w:r>
      <w:r w:rsidRPr="005D75E8">
        <w:rPr>
          <w:b/>
          <w:bCs/>
          <w:noProof/>
        </w:rPr>
        <w:t>2018</w:t>
      </w:r>
      <w:r w:rsidRPr="005D75E8">
        <w:rPr>
          <w:noProof/>
        </w:rPr>
        <w:t xml:space="preserve">, </w:t>
      </w:r>
      <w:r w:rsidRPr="005D75E8">
        <w:rPr>
          <w:i/>
          <w:iCs/>
          <w:noProof/>
        </w:rPr>
        <w:t>17</w:t>
      </w:r>
      <w:r w:rsidRPr="005D75E8">
        <w:rPr>
          <w:noProof/>
        </w:rPr>
        <w:t xml:space="preserve"> (8), 703–709.</w:t>
      </w:r>
    </w:p>
    <w:p w14:paraId="73A698BC" w14:textId="77777777" w:rsidR="005D75E8" w:rsidRPr="005D75E8" w:rsidRDefault="005D75E8" w:rsidP="005D75E8">
      <w:pPr>
        <w:widowControl w:val="0"/>
        <w:autoSpaceDE w:val="0"/>
        <w:autoSpaceDN w:val="0"/>
        <w:adjustRightInd w:val="0"/>
        <w:ind w:left="640" w:hanging="640"/>
        <w:rPr>
          <w:noProof/>
        </w:rPr>
      </w:pPr>
      <w:r w:rsidRPr="005D75E8">
        <w:rPr>
          <w:noProof/>
        </w:rPr>
        <w:t xml:space="preserve">(23) </w:t>
      </w:r>
      <w:r w:rsidRPr="005D75E8">
        <w:rPr>
          <w:noProof/>
        </w:rPr>
        <w:tab/>
        <w:t xml:space="preserve">Hinrichsen, T. F.; Chan, C. C. S.; Ma, C.; Paleček, D.; Gillett, A.; Chen, S.; Zou, X.; Zhang, G.; Yip, H.-L.; Wong, K. S.; et al. Long-Lived and Disorder-Free Charge Transfer States Enable Endothermic Charge Separation in Efficient Non-Fullerene Organic Solar Cells. </w:t>
      </w:r>
      <w:r w:rsidRPr="005D75E8">
        <w:rPr>
          <w:i/>
          <w:iCs/>
          <w:noProof/>
        </w:rPr>
        <w:t>Nat. Commun.</w:t>
      </w:r>
      <w:r w:rsidRPr="005D75E8">
        <w:rPr>
          <w:noProof/>
        </w:rPr>
        <w:t xml:space="preserve"> </w:t>
      </w:r>
      <w:r w:rsidRPr="005D75E8">
        <w:rPr>
          <w:b/>
          <w:bCs/>
          <w:noProof/>
        </w:rPr>
        <w:t>2020</w:t>
      </w:r>
      <w:r w:rsidRPr="005D75E8">
        <w:rPr>
          <w:noProof/>
        </w:rPr>
        <w:t xml:space="preserve">, </w:t>
      </w:r>
      <w:r w:rsidRPr="005D75E8">
        <w:rPr>
          <w:i/>
          <w:iCs/>
          <w:noProof/>
        </w:rPr>
        <w:t>11</w:t>
      </w:r>
      <w:r w:rsidRPr="005D75E8">
        <w:rPr>
          <w:noProof/>
        </w:rPr>
        <w:t xml:space="preserve"> (1), 5617.</w:t>
      </w:r>
    </w:p>
    <w:p w14:paraId="593E6CD1" w14:textId="17531F05" w:rsidR="005D75E8" w:rsidRPr="005D75E8" w:rsidRDefault="005D75E8" w:rsidP="005D75E8">
      <w:pPr>
        <w:widowControl w:val="0"/>
        <w:autoSpaceDE w:val="0"/>
        <w:autoSpaceDN w:val="0"/>
        <w:adjustRightInd w:val="0"/>
        <w:ind w:left="640" w:hanging="640"/>
        <w:rPr>
          <w:noProof/>
        </w:rPr>
      </w:pPr>
      <w:r w:rsidRPr="005D75E8">
        <w:rPr>
          <w:noProof/>
        </w:rPr>
        <w:t xml:space="preserve">(24) </w:t>
      </w:r>
      <w:r w:rsidRPr="005D75E8">
        <w:rPr>
          <w:noProof/>
        </w:rPr>
        <w:tab/>
        <w:t xml:space="preserve">Gelinas, S.; Rao, A.; Kumar, A.; Smith, S. L.; Chin, A. W.; Clark, J.; van der Poll, T. S.; Bazan, G. C.; Friend, R. H. Ultrafast Long-Range Charge Separation in Organic Semiconductor Photovoltaic Diodes. </w:t>
      </w:r>
      <w:r w:rsidRPr="005D75E8">
        <w:rPr>
          <w:i/>
          <w:iCs/>
          <w:noProof/>
        </w:rPr>
        <w:t>Science.</w:t>
      </w:r>
      <w:r w:rsidRPr="005D75E8">
        <w:rPr>
          <w:noProof/>
        </w:rPr>
        <w:t xml:space="preserve"> </w:t>
      </w:r>
      <w:r w:rsidRPr="005D75E8">
        <w:rPr>
          <w:b/>
          <w:bCs/>
          <w:noProof/>
        </w:rPr>
        <w:t>2014</w:t>
      </w:r>
      <w:r w:rsidRPr="005D75E8">
        <w:rPr>
          <w:noProof/>
        </w:rPr>
        <w:t xml:space="preserve">, </w:t>
      </w:r>
      <w:r w:rsidRPr="005D75E8">
        <w:rPr>
          <w:i/>
          <w:iCs/>
          <w:noProof/>
        </w:rPr>
        <w:t>343</w:t>
      </w:r>
      <w:r w:rsidRPr="005D75E8">
        <w:rPr>
          <w:noProof/>
        </w:rPr>
        <w:t xml:space="preserve"> (6170), 512–516.</w:t>
      </w:r>
    </w:p>
    <w:p w14:paraId="4AE165F7" w14:textId="77777777" w:rsidR="005D75E8" w:rsidRPr="005D75E8" w:rsidRDefault="005D75E8" w:rsidP="005D75E8">
      <w:pPr>
        <w:widowControl w:val="0"/>
        <w:autoSpaceDE w:val="0"/>
        <w:autoSpaceDN w:val="0"/>
        <w:adjustRightInd w:val="0"/>
        <w:ind w:left="640" w:hanging="640"/>
        <w:rPr>
          <w:noProof/>
        </w:rPr>
      </w:pPr>
      <w:r w:rsidRPr="005D75E8">
        <w:rPr>
          <w:noProof/>
        </w:rPr>
        <w:t xml:space="preserve">(25) </w:t>
      </w:r>
      <w:r w:rsidRPr="005D75E8">
        <w:rPr>
          <w:noProof/>
        </w:rPr>
        <w:tab/>
        <w:t xml:space="preserve">Causa’, M.; De Jonghe-Risse, J.; Scarongella, M.; Brauer, J. C.; Buchaca-Domingo, E.; Moser, J.-E.; Stingelin, N.; Banerji, N. The Fate of Electron–Hole Pairs in Polymer:Fullerene Blends for Organic Photovoltaics. </w:t>
      </w:r>
      <w:r w:rsidRPr="005D75E8">
        <w:rPr>
          <w:i/>
          <w:iCs/>
          <w:noProof/>
        </w:rPr>
        <w:t>Nat. Commun.</w:t>
      </w:r>
      <w:r w:rsidRPr="005D75E8">
        <w:rPr>
          <w:noProof/>
        </w:rPr>
        <w:t xml:space="preserve"> </w:t>
      </w:r>
      <w:r w:rsidRPr="005D75E8">
        <w:rPr>
          <w:b/>
          <w:bCs/>
          <w:noProof/>
        </w:rPr>
        <w:t>2016</w:t>
      </w:r>
      <w:r w:rsidRPr="005D75E8">
        <w:rPr>
          <w:noProof/>
        </w:rPr>
        <w:t xml:space="preserve">, </w:t>
      </w:r>
      <w:r w:rsidRPr="005D75E8">
        <w:rPr>
          <w:i/>
          <w:iCs/>
          <w:noProof/>
        </w:rPr>
        <w:t>7</w:t>
      </w:r>
      <w:r w:rsidRPr="005D75E8">
        <w:rPr>
          <w:noProof/>
        </w:rPr>
        <w:t>, 12556.</w:t>
      </w:r>
    </w:p>
    <w:p w14:paraId="44119EFB" w14:textId="77777777" w:rsidR="005D75E8" w:rsidRPr="005D75E8" w:rsidRDefault="005D75E8" w:rsidP="005D75E8">
      <w:pPr>
        <w:widowControl w:val="0"/>
        <w:autoSpaceDE w:val="0"/>
        <w:autoSpaceDN w:val="0"/>
        <w:adjustRightInd w:val="0"/>
        <w:ind w:left="640" w:hanging="640"/>
        <w:rPr>
          <w:noProof/>
        </w:rPr>
      </w:pPr>
      <w:r w:rsidRPr="005D75E8">
        <w:rPr>
          <w:noProof/>
        </w:rPr>
        <w:t xml:space="preserve">(26) </w:t>
      </w:r>
      <w:r w:rsidRPr="005D75E8">
        <w:rPr>
          <w:noProof/>
        </w:rPr>
        <w:tab/>
        <w:t xml:space="preserve">Eisner, F. D.; Azzouzi, M.; Fei, Z.; Hou, X.; Anthopoulos, T. D.; Dennis, T. J. S.; Heeney, M.; Nelson, J. Hybridization of Local Exciton and Charge-Transfer States Reduces Nonradiative Voltage Losses in Organic Solar Cells. </w:t>
      </w:r>
      <w:r w:rsidRPr="005D75E8">
        <w:rPr>
          <w:i/>
          <w:iCs/>
          <w:noProof/>
        </w:rPr>
        <w:t>J. Am. Chem. Soc.</w:t>
      </w:r>
      <w:r w:rsidRPr="005D75E8">
        <w:rPr>
          <w:noProof/>
        </w:rPr>
        <w:t xml:space="preserve"> </w:t>
      </w:r>
      <w:r w:rsidRPr="005D75E8">
        <w:rPr>
          <w:b/>
          <w:bCs/>
          <w:noProof/>
        </w:rPr>
        <w:t>2019</w:t>
      </w:r>
      <w:r w:rsidRPr="005D75E8">
        <w:rPr>
          <w:noProof/>
        </w:rPr>
        <w:t xml:space="preserve">, </w:t>
      </w:r>
      <w:r w:rsidRPr="005D75E8">
        <w:rPr>
          <w:i/>
          <w:iCs/>
          <w:noProof/>
        </w:rPr>
        <w:t>141</w:t>
      </w:r>
      <w:r w:rsidRPr="005D75E8">
        <w:rPr>
          <w:noProof/>
        </w:rPr>
        <w:t xml:space="preserve"> (15), 6362–6374.</w:t>
      </w:r>
    </w:p>
    <w:p w14:paraId="730CCC63" w14:textId="77777777" w:rsidR="005D75E8" w:rsidRPr="005D75E8" w:rsidRDefault="005D75E8" w:rsidP="005D75E8">
      <w:pPr>
        <w:widowControl w:val="0"/>
        <w:autoSpaceDE w:val="0"/>
        <w:autoSpaceDN w:val="0"/>
        <w:adjustRightInd w:val="0"/>
        <w:ind w:left="640" w:hanging="640"/>
        <w:rPr>
          <w:noProof/>
        </w:rPr>
      </w:pPr>
      <w:r w:rsidRPr="005D75E8">
        <w:rPr>
          <w:noProof/>
        </w:rPr>
        <w:t xml:space="preserve">(27) </w:t>
      </w:r>
      <w:r w:rsidRPr="005D75E8">
        <w:rPr>
          <w:noProof/>
        </w:rPr>
        <w:tab/>
        <w:t xml:space="preserve">Kotova, M. S.; Londi, G.; Junker, J.; Dietz, S.; Privitera, A.; Tvingstedt, K.; Beljonne, D.; Sperlich, A.; Dyakonov, V. On the Absence of Triplet Exciton Loss Pathways in Non-Fullerene Acceptor Based Organic Solar Cells. </w:t>
      </w:r>
      <w:r w:rsidRPr="005D75E8">
        <w:rPr>
          <w:i/>
          <w:iCs/>
          <w:noProof/>
        </w:rPr>
        <w:t>Mater. Horizons</w:t>
      </w:r>
      <w:r w:rsidRPr="005D75E8">
        <w:rPr>
          <w:noProof/>
        </w:rPr>
        <w:t xml:space="preserve"> </w:t>
      </w:r>
      <w:r w:rsidRPr="005D75E8">
        <w:rPr>
          <w:b/>
          <w:bCs/>
          <w:noProof/>
        </w:rPr>
        <w:t>2020</w:t>
      </w:r>
      <w:r w:rsidRPr="005D75E8">
        <w:rPr>
          <w:noProof/>
        </w:rPr>
        <w:t xml:space="preserve">, </w:t>
      </w:r>
      <w:r w:rsidRPr="005D75E8">
        <w:rPr>
          <w:i/>
          <w:iCs/>
          <w:noProof/>
        </w:rPr>
        <w:t>7</w:t>
      </w:r>
      <w:r w:rsidRPr="005D75E8">
        <w:rPr>
          <w:noProof/>
        </w:rPr>
        <w:t xml:space="preserve"> (6), 1641–1649.</w:t>
      </w:r>
    </w:p>
    <w:p w14:paraId="4D09DD90" w14:textId="77777777" w:rsidR="005D75E8" w:rsidRPr="005D75E8" w:rsidRDefault="005D75E8" w:rsidP="005D75E8">
      <w:pPr>
        <w:widowControl w:val="0"/>
        <w:autoSpaceDE w:val="0"/>
        <w:autoSpaceDN w:val="0"/>
        <w:adjustRightInd w:val="0"/>
        <w:ind w:left="640" w:hanging="640"/>
        <w:rPr>
          <w:noProof/>
        </w:rPr>
      </w:pPr>
      <w:r w:rsidRPr="005D75E8">
        <w:rPr>
          <w:noProof/>
        </w:rPr>
        <w:t xml:space="preserve">(28) </w:t>
      </w:r>
      <w:r w:rsidRPr="005D75E8">
        <w:rPr>
          <w:noProof/>
        </w:rPr>
        <w:tab/>
        <w:t xml:space="preserve">Ma, C.; Chan, C. C. S.; Zou, X.; Yu, H.; Zhang, J.; Yan, H.; Wong, K. S.; Chow, P. C. Y. Unraveling the Temperature Dependence of Exciton Dissociation and Free Charge Generation in Nonfullerene Organic Solar Cells. </w:t>
      </w:r>
      <w:r w:rsidRPr="005D75E8">
        <w:rPr>
          <w:i/>
          <w:iCs/>
          <w:noProof/>
        </w:rPr>
        <w:t>Sol. RRL</w:t>
      </w:r>
      <w:r w:rsidRPr="005D75E8">
        <w:rPr>
          <w:noProof/>
        </w:rPr>
        <w:t xml:space="preserve"> </w:t>
      </w:r>
      <w:r w:rsidRPr="005D75E8">
        <w:rPr>
          <w:b/>
          <w:bCs/>
          <w:noProof/>
        </w:rPr>
        <w:t>2021</w:t>
      </w:r>
      <w:r w:rsidRPr="005D75E8">
        <w:rPr>
          <w:noProof/>
        </w:rPr>
        <w:t xml:space="preserve">, </w:t>
      </w:r>
      <w:r w:rsidRPr="005D75E8">
        <w:rPr>
          <w:i/>
          <w:iCs/>
          <w:noProof/>
        </w:rPr>
        <w:t>5</w:t>
      </w:r>
      <w:r w:rsidRPr="005D75E8">
        <w:rPr>
          <w:noProof/>
        </w:rPr>
        <w:t xml:space="preserve"> (4), 2000789.</w:t>
      </w:r>
    </w:p>
    <w:p w14:paraId="0E85B0DC" w14:textId="77777777" w:rsidR="005D75E8" w:rsidRPr="005D75E8" w:rsidRDefault="005D75E8" w:rsidP="005D75E8">
      <w:pPr>
        <w:widowControl w:val="0"/>
        <w:autoSpaceDE w:val="0"/>
        <w:autoSpaceDN w:val="0"/>
        <w:adjustRightInd w:val="0"/>
        <w:ind w:left="640" w:hanging="640"/>
        <w:rPr>
          <w:noProof/>
        </w:rPr>
      </w:pPr>
      <w:r w:rsidRPr="005D75E8">
        <w:rPr>
          <w:noProof/>
        </w:rPr>
        <w:t xml:space="preserve">(29) </w:t>
      </w:r>
      <w:r w:rsidRPr="005D75E8">
        <w:rPr>
          <w:noProof/>
        </w:rPr>
        <w:tab/>
        <w:t xml:space="preserve">Menke, S. M.; Cheminal, A.; Conaghan, P.; Ran, N. A.; Greehnam, N. C.; Bazan, G. C.; Nguyen, T.-Q.; Rao, A.; Friend, R. H. Order Enables Efficient Electron-Hole Separation at an Organic Heterojunction with a Small Energy Loss. </w:t>
      </w:r>
      <w:r w:rsidRPr="005D75E8">
        <w:rPr>
          <w:i/>
          <w:iCs/>
          <w:noProof/>
        </w:rPr>
        <w:t>Nat. Commun.</w:t>
      </w:r>
      <w:r w:rsidRPr="005D75E8">
        <w:rPr>
          <w:noProof/>
        </w:rPr>
        <w:t xml:space="preserve"> </w:t>
      </w:r>
      <w:r w:rsidRPr="005D75E8">
        <w:rPr>
          <w:b/>
          <w:bCs/>
          <w:noProof/>
        </w:rPr>
        <w:t>2018</w:t>
      </w:r>
      <w:r w:rsidRPr="005D75E8">
        <w:rPr>
          <w:noProof/>
        </w:rPr>
        <w:t xml:space="preserve">, </w:t>
      </w:r>
      <w:r w:rsidRPr="005D75E8">
        <w:rPr>
          <w:i/>
          <w:iCs/>
          <w:noProof/>
        </w:rPr>
        <w:t>9</w:t>
      </w:r>
      <w:r w:rsidRPr="005D75E8">
        <w:rPr>
          <w:noProof/>
        </w:rPr>
        <w:t xml:space="preserve"> (1), 277.</w:t>
      </w:r>
    </w:p>
    <w:p w14:paraId="39DEAFB4" w14:textId="77777777" w:rsidR="005D75E8" w:rsidRPr="005D75E8" w:rsidRDefault="005D75E8" w:rsidP="005D75E8">
      <w:pPr>
        <w:widowControl w:val="0"/>
        <w:autoSpaceDE w:val="0"/>
        <w:autoSpaceDN w:val="0"/>
        <w:adjustRightInd w:val="0"/>
        <w:ind w:left="640" w:hanging="640"/>
        <w:rPr>
          <w:noProof/>
        </w:rPr>
      </w:pPr>
      <w:r w:rsidRPr="005D75E8">
        <w:rPr>
          <w:noProof/>
        </w:rPr>
        <w:t xml:space="preserve">(30) </w:t>
      </w:r>
      <w:r w:rsidRPr="005D75E8">
        <w:rPr>
          <w:noProof/>
        </w:rPr>
        <w:tab/>
        <w:t xml:space="preserve">Eaton, S. W.; Shoer, L. E.; Karlen, S. D.; Dyar, S. M.; Margulies, E. A.; Veldkamp, B. S.; Ramanan, C.; Hartzler, D. A.; Savikhin, S.; Marks, T. J.; et al. Singlet Exciton Fission in Polycrystalline Thin Films of a Slip-Stacked Perylenediimide. </w:t>
      </w:r>
      <w:r w:rsidRPr="005D75E8">
        <w:rPr>
          <w:i/>
          <w:iCs/>
          <w:noProof/>
        </w:rPr>
        <w:t>J. Am. Chem. Soc.</w:t>
      </w:r>
      <w:r w:rsidRPr="005D75E8">
        <w:rPr>
          <w:noProof/>
        </w:rPr>
        <w:t xml:space="preserve"> </w:t>
      </w:r>
      <w:r w:rsidRPr="005D75E8">
        <w:rPr>
          <w:b/>
          <w:bCs/>
          <w:noProof/>
        </w:rPr>
        <w:t>2013</w:t>
      </w:r>
      <w:r w:rsidRPr="005D75E8">
        <w:rPr>
          <w:noProof/>
        </w:rPr>
        <w:t xml:space="preserve">, </w:t>
      </w:r>
      <w:r w:rsidRPr="005D75E8">
        <w:rPr>
          <w:i/>
          <w:iCs/>
          <w:noProof/>
        </w:rPr>
        <w:t>135</w:t>
      </w:r>
      <w:r w:rsidRPr="005D75E8">
        <w:rPr>
          <w:noProof/>
        </w:rPr>
        <w:t xml:space="preserve"> (39), 14701–14712.</w:t>
      </w:r>
    </w:p>
    <w:p w14:paraId="2F0766AE" w14:textId="77777777" w:rsidR="005D75E8" w:rsidRPr="005D75E8" w:rsidRDefault="005D75E8" w:rsidP="005D75E8">
      <w:pPr>
        <w:widowControl w:val="0"/>
        <w:autoSpaceDE w:val="0"/>
        <w:autoSpaceDN w:val="0"/>
        <w:adjustRightInd w:val="0"/>
        <w:ind w:left="640" w:hanging="640"/>
        <w:rPr>
          <w:noProof/>
        </w:rPr>
      </w:pPr>
      <w:r w:rsidRPr="005D75E8">
        <w:rPr>
          <w:noProof/>
        </w:rPr>
        <w:t xml:space="preserve">(31) </w:t>
      </w:r>
      <w:r w:rsidRPr="005D75E8">
        <w:rPr>
          <w:noProof/>
        </w:rPr>
        <w:tab/>
        <w:t xml:space="preserve">Marcus, R. A. Electron Transfer Reactions in Chemistry. Theory and Experiment. </w:t>
      </w:r>
      <w:r w:rsidRPr="005D75E8">
        <w:rPr>
          <w:i/>
          <w:iCs/>
          <w:noProof/>
        </w:rPr>
        <w:t xml:space="preserve">Rev. </w:t>
      </w:r>
      <w:r w:rsidRPr="005D75E8">
        <w:rPr>
          <w:i/>
          <w:iCs/>
          <w:noProof/>
        </w:rPr>
        <w:lastRenderedPageBreak/>
        <w:t>Mod. Phys.</w:t>
      </w:r>
      <w:r w:rsidRPr="005D75E8">
        <w:rPr>
          <w:noProof/>
        </w:rPr>
        <w:t xml:space="preserve"> </w:t>
      </w:r>
      <w:r w:rsidRPr="005D75E8">
        <w:rPr>
          <w:b/>
          <w:bCs/>
          <w:noProof/>
        </w:rPr>
        <w:t>1993</w:t>
      </w:r>
      <w:r w:rsidRPr="005D75E8">
        <w:rPr>
          <w:noProof/>
        </w:rPr>
        <w:t xml:space="preserve">, </w:t>
      </w:r>
      <w:r w:rsidRPr="005D75E8">
        <w:rPr>
          <w:i/>
          <w:iCs/>
          <w:noProof/>
        </w:rPr>
        <w:t>65</w:t>
      </w:r>
      <w:r w:rsidRPr="005D75E8">
        <w:rPr>
          <w:noProof/>
        </w:rPr>
        <w:t xml:space="preserve"> (3), 599–610.</w:t>
      </w:r>
    </w:p>
    <w:p w14:paraId="49FAF654" w14:textId="77777777" w:rsidR="005D75E8" w:rsidRPr="005D75E8" w:rsidRDefault="005D75E8" w:rsidP="005D75E8">
      <w:pPr>
        <w:widowControl w:val="0"/>
        <w:autoSpaceDE w:val="0"/>
        <w:autoSpaceDN w:val="0"/>
        <w:adjustRightInd w:val="0"/>
        <w:ind w:left="640" w:hanging="640"/>
        <w:rPr>
          <w:noProof/>
        </w:rPr>
      </w:pPr>
      <w:r w:rsidRPr="005D75E8">
        <w:rPr>
          <w:noProof/>
        </w:rPr>
        <w:t xml:space="preserve">(32) </w:t>
      </w:r>
      <w:r w:rsidRPr="005D75E8">
        <w:rPr>
          <w:noProof/>
        </w:rPr>
        <w:tab/>
        <w:t xml:space="preserve">Kirchartz, T.; Nelson, J.; Rau, U. Reciprocity between Charge Injection and Extraction and Its Influence on the Interpretation of Electroluminescence Spectra in Organic Solar Cells. </w:t>
      </w:r>
      <w:r w:rsidRPr="005D75E8">
        <w:rPr>
          <w:i/>
          <w:iCs/>
          <w:noProof/>
        </w:rPr>
        <w:t>Phys. Rev. Appl.</w:t>
      </w:r>
      <w:r w:rsidRPr="005D75E8">
        <w:rPr>
          <w:noProof/>
        </w:rPr>
        <w:t xml:space="preserve"> </w:t>
      </w:r>
      <w:r w:rsidRPr="005D75E8">
        <w:rPr>
          <w:b/>
          <w:bCs/>
          <w:noProof/>
        </w:rPr>
        <w:t>2016</w:t>
      </w:r>
      <w:r w:rsidRPr="005D75E8">
        <w:rPr>
          <w:noProof/>
        </w:rPr>
        <w:t xml:space="preserve">, </w:t>
      </w:r>
      <w:r w:rsidRPr="005D75E8">
        <w:rPr>
          <w:i/>
          <w:iCs/>
          <w:noProof/>
        </w:rPr>
        <w:t>5</w:t>
      </w:r>
      <w:r w:rsidRPr="005D75E8">
        <w:rPr>
          <w:noProof/>
        </w:rPr>
        <w:t xml:space="preserve"> (5), 054003.</w:t>
      </w:r>
    </w:p>
    <w:p w14:paraId="3BC8DB8B" w14:textId="77777777" w:rsidR="005D75E8" w:rsidRPr="005D75E8" w:rsidRDefault="005D75E8" w:rsidP="005D75E8">
      <w:pPr>
        <w:widowControl w:val="0"/>
        <w:autoSpaceDE w:val="0"/>
        <w:autoSpaceDN w:val="0"/>
        <w:adjustRightInd w:val="0"/>
        <w:ind w:left="640" w:hanging="640"/>
        <w:rPr>
          <w:noProof/>
        </w:rPr>
      </w:pPr>
      <w:r w:rsidRPr="005D75E8">
        <w:rPr>
          <w:noProof/>
        </w:rPr>
        <w:t xml:space="preserve">(33) </w:t>
      </w:r>
      <w:r w:rsidRPr="005D75E8">
        <w:rPr>
          <w:noProof/>
        </w:rPr>
        <w:tab/>
        <w:t xml:space="preserve">Rau, U. Reciprocity Relation between Photovoltaic Quantum Efficiency and Electroluminescent Emission of Solar Cells. </w:t>
      </w:r>
      <w:r w:rsidRPr="005D75E8">
        <w:rPr>
          <w:i/>
          <w:iCs/>
          <w:noProof/>
        </w:rPr>
        <w:t>Phys. Rev. B</w:t>
      </w:r>
      <w:r w:rsidRPr="005D75E8">
        <w:rPr>
          <w:noProof/>
        </w:rPr>
        <w:t xml:space="preserve"> </w:t>
      </w:r>
      <w:r w:rsidRPr="005D75E8">
        <w:rPr>
          <w:b/>
          <w:bCs/>
          <w:noProof/>
        </w:rPr>
        <w:t>2007</w:t>
      </w:r>
      <w:r w:rsidRPr="005D75E8">
        <w:rPr>
          <w:noProof/>
        </w:rPr>
        <w:t xml:space="preserve">, </w:t>
      </w:r>
      <w:r w:rsidRPr="005D75E8">
        <w:rPr>
          <w:i/>
          <w:iCs/>
          <w:noProof/>
        </w:rPr>
        <w:t>76</w:t>
      </w:r>
      <w:r w:rsidRPr="005D75E8">
        <w:rPr>
          <w:noProof/>
        </w:rPr>
        <w:t xml:space="preserve"> (8), 085303.</w:t>
      </w:r>
    </w:p>
    <w:p w14:paraId="239B33F9" w14:textId="77777777" w:rsidR="005D75E8" w:rsidRPr="005D75E8" w:rsidRDefault="005D75E8" w:rsidP="005D75E8">
      <w:pPr>
        <w:widowControl w:val="0"/>
        <w:autoSpaceDE w:val="0"/>
        <w:autoSpaceDN w:val="0"/>
        <w:adjustRightInd w:val="0"/>
        <w:ind w:left="640" w:hanging="640"/>
        <w:rPr>
          <w:noProof/>
        </w:rPr>
      </w:pPr>
      <w:r w:rsidRPr="005D75E8">
        <w:rPr>
          <w:noProof/>
        </w:rPr>
        <w:t xml:space="preserve">(34) </w:t>
      </w:r>
      <w:r w:rsidRPr="005D75E8">
        <w:rPr>
          <w:noProof/>
        </w:rPr>
        <w:tab/>
        <w:t xml:space="preserve">Janssen, R. A. J.; Nelson, J. Factors Limiting Device Efficiency in Organic Photovoltaics. </w:t>
      </w:r>
      <w:r w:rsidRPr="005D75E8">
        <w:rPr>
          <w:i/>
          <w:iCs/>
          <w:noProof/>
        </w:rPr>
        <w:t>Adv. Mater.</w:t>
      </w:r>
      <w:r w:rsidRPr="005D75E8">
        <w:rPr>
          <w:noProof/>
        </w:rPr>
        <w:t xml:space="preserve"> </w:t>
      </w:r>
      <w:r w:rsidRPr="005D75E8">
        <w:rPr>
          <w:b/>
          <w:bCs/>
          <w:noProof/>
        </w:rPr>
        <w:t>2013</w:t>
      </w:r>
      <w:r w:rsidRPr="005D75E8">
        <w:rPr>
          <w:noProof/>
        </w:rPr>
        <w:t xml:space="preserve">, </w:t>
      </w:r>
      <w:r w:rsidRPr="005D75E8">
        <w:rPr>
          <w:i/>
          <w:iCs/>
          <w:noProof/>
        </w:rPr>
        <w:t>25</w:t>
      </w:r>
      <w:r w:rsidRPr="005D75E8">
        <w:rPr>
          <w:noProof/>
        </w:rPr>
        <w:t xml:space="preserve"> (13), 1847–1858.</w:t>
      </w:r>
    </w:p>
    <w:p w14:paraId="14258E15" w14:textId="77777777" w:rsidR="005D75E8" w:rsidRPr="005D75E8" w:rsidRDefault="005D75E8" w:rsidP="005D75E8">
      <w:pPr>
        <w:widowControl w:val="0"/>
        <w:autoSpaceDE w:val="0"/>
        <w:autoSpaceDN w:val="0"/>
        <w:adjustRightInd w:val="0"/>
        <w:ind w:left="640" w:hanging="640"/>
        <w:rPr>
          <w:noProof/>
        </w:rPr>
      </w:pPr>
      <w:r w:rsidRPr="005D75E8">
        <w:rPr>
          <w:noProof/>
        </w:rPr>
        <w:t xml:space="preserve">(35) </w:t>
      </w:r>
      <w:r w:rsidRPr="005D75E8">
        <w:rPr>
          <w:noProof/>
        </w:rPr>
        <w:tab/>
        <w:t xml:space="preserve">Benduhn, J.; Tvingstedt, K.; Piersimoni, F.; Ullbrich, S.; Fan, Y.; Tropiano, M.; McGarry, K. A.; Zeika, O.; Riede, M. K.; Douglas, C. J.; et al. Intrinsic Non-Radiative Voltage Losses in Fullerene-Based Organic Solar Cells. </w:t>
      </w:r>
      <w:r w:rsidRPr="005D75E8">
        <w:rPr>
          <w:i/>
          <w:iCs/>
          <w:noProof/>
        </w:rPr>
        <w:t>Nat. Energy</w:t>
      </w:r>
      <w:r w:rsidRPr="005D75E8">
        <w:rPr>
          <w:noProof/>
        </w:rPr>
        <w:t xml:space="preserve"> </w:t>
      </w:r>
      <w:r w:rsidRPr="005D75E8">
        <w:rPr>
          <w:b/>
          <w:bCs/>
          <w:noProof/>
        </w:rPr>
        <w:t>2017</w:t>
      </w:r>
      <w:r w:rsidRPr="005D75E8">
        <w:rPr>
          <w:noProof/>
        </w:rPr>
        <w:t xml:space="preserve">, </w:t>
      </w:r>
      <w:r w:rsidRPr="005D75E8">
        <w:rPr>
          <w:i/>
          <w:iCs/>
          <w:noProof/>
        </w:rPr>
        <w:t>2</w:t>
      </w:r>
      <w:r w:rsidRPr="005D75E8">
        <w:rPr>
          <w:noProof/>
        </w:rPr>
        <w:t xml:space="preserve"> (6), 17053.</w:t>
      </w:r>
    </w:p>
    <w:p w14:paraId="28C61135" w14:textId="7FC87F10" w:rsidR="005D75E8" w:rsidRDefault="00161887" w:rsidP="005D75E8">
      <w:pPr>
        <w:widowControl w:val="0"/>
        <w:autoSpaceDE w:val="0"/>
        <w:autoSpaceDN w:val="0"/>
        <w:adjustRightInd w:val="0"/>
        <w:ind w:left="640" w:hanging="640"/>
        <w:rPr>
          <w:b/>
          <w:lang w:val="en-GB"/>
        </w:rPr>
      </w:pPr>
      <w:r>
        <w:rPr>
          <w:b/>
          <w:lang w:val="en-GB"/>
        </w:rPr>
        <w:fldChar w:fldCharType="end"/>
      </w:r>
    </w:p>
    <w:p w14:paraId="7485C5C0" w14:textId="77777777" w:rsidR="005D75E8" w:rsidRDefault="005D75E8" w:rsidP="005D75E8">
      <w:pPr>
        <w:widowControl w:val="0"/>
        <w:autoSpaceDE w:val="0"/>
        <w:autoSpaceDN w:val="0"/>
        <w:adjustRightInd w:val="0"/>
        <w:ind w:left="640" w:hanging="640"/>
        <w:rPr>
          <w:b/>
          <w:lang w:val="en-GB"/>
        </w:rPr>
      </w:pPr>
    </w:p>
    <w:p w14:paraId="65D2AEDF" w14:textId="77777777" w:rsidR="005D75E8" w:rsidRPr="00F73681" w:rsidRDefault="005D75E8" w:rsidP="00F73681">
      <w:pPr>
        <w:pStyle w:val="Head1"/>
        <w:spacing w:line="480" w:lineRule="auto"/>
        <w:rPr>
          <w:lang w:val="en-GB"/>
        </w:rPr>
      </w:pPr>
    </w:p>
    <w:p w14:paraId="291CE18C" w14:textId="77777777" w:rsidR="005D75E8" w:rsidRPr="00F73681" w:rsidRDefault="005D75E8" w:rsidP="00F73681">
      <w:pPr>
        <w:pStyle w:val="Head1"/>
        <w:spacing w:line="480" w:lineRule="auto"/>
        <w:rPr>
          <w:lang w:val="en-GB"/>
        </w:rPr>
      </w:pPr>
    </w:p>
    <w:p w14:paraId="47D396A7" w14:textId="66021B25" w:rsidR="00F73681" w:rsidRDefault="00BC6652" w:rsidP="00F73681">
      <w:pPr>
        <w:pStyle w:val="Head1"/>
        <w:spacing w:line="480" w:lineRule="auto"/>
        <w:rPr>
          <w:lang w:val="en-GB"/>
        </w:rPr>
      </w:pPr>
      <w:r w:rsidRPr="00045547">
        <w:rPr>
          <w:lang w:val="en-GB"/>
        </w:rPr>
        <w:t>Supporting Information</w:t>
      </w:r>
      <w:r>
        <w:rPr>
          <w:lang w:val="en-GB"/>
        </w:rPr>
        <w:t xml:space="preserve"> </w:t>
      </w:r>
      <w:r w:rsidR="00F73681">
        <w:rPr>
          <w:lang w:val="en-GB"/>
        </w:rPr>
        <w:t>Available</w:t>
      </w:r>
      <w:r w:rsidR="00CC04BD">
        <w:rPr>
          <w:lang w:val="en-GB"/>
        </w:rPr>
        <w:t>:</w:t>
      </w:r>
    </w:p>
    <w:p w14:paraId="11388AED" w14:textId="61885FE4" w:rsidR="00BC6652" w:rsidRPr="00F73681" w:rsidRDefault="00BC6652" w:rsidP="00F73681">
      <w:pPr>
        <w:pStyle w:val="Head1"/>
        <w:spacing w:line="480" w:lineRule="auto"/>
        <w:rPr>
          <w:b w:val="0"/>
          <w:bCs/>
          <w:lang w:val="en-GB"/>
        </w:rPr>
      </w:pPr>
      <w:r w:rsidRPr="00F73681">
        <w:rPr>
          <w:b w:val="0"/>
          <w:bCs/>
          <w:lang w:val="en-GB"/>
        </w:rPr>
        <w:t xml:space="preserve">Material and sample preparation; details on transient absorption </w:t>
      </w:r>
      <w:r w:rsidR="009711A5" w:rsidRPr="00F73681">
        <w:rPr>
          <w:b w:val="0"/>
          <w:bCs/>
          <w:lang w:val="en-GB"/>
        </w:rPr>
        <w:t xml:space="preserve">(TA) </w:t>
      </w:r>
      <w:r w:rsidRPr="00F73681">
        <w:rPr>
          <w:b w:val="0"/>
          <w:bCs/>
          <w:lang w:val="en-GB"/>
        </w:rPr>
        <w:t>spectroscopy;</w:t>
      </w:r>
      <w:r w:rsidR="009711A5" w:rsidRPr="00F73681">
        <w:rPr>
          <w:b w:val="0"/>
          <w:bCs/>
          <w:lang w:val="en-GB"/>
        </w:rPr>
        <w:t xml:space="preserve"> additional TA spectroscopy data in pure films and blends; additional transition rate calculation based on Marcus theory.</w:t>
      </w:r>
    </w:p>
    <w:p w14:paraId="41364F75" w14:textId="77777777" w:rsidR="00BC6652" w:rsidRDefault="00BC6652" w:rsidP="00BC6652">
      <w:pPr>
        <w:pStyle w:val="Head1"/>
        <w:spacing w:line="480" w:lineRule="auto"/>
        <w:rPr>
          <w:lang w:val="en-GB"/>
        </w:rPr>
      </w:pPr>
    </w:p>
    <w:p w14:paraId="5B931F88" w14:textId="77777777" w:rsidR="00BC6652" w:rsidRPr="00045547" w:rsidRDefault="00BC6652" w:rsidP="00BC6652">
      <w:pPr>
        <w:pStyle w:val="Head1"/>
        <w:spacing w:line="480" w:lineRule="auto"/>
        <w:rPr>
          <w:lang w:val="en-GB"/>
        </w:rPr>
      </w:pPr>
      <w:r w:rsidRPr="00045547">
        <w:rPr>
          <w:lang w:val="en-GB"/>
        </w:rPr>
        <w:t>Acknowledgements</w:t>
      </w:r>
    </w:p>
    <w:p w14:paraId="362D910E" w14:textId="79D855C5" w:rsidR="00BC6652" w:rsidRDefault="00BC6652" w:rsidP="00BC6652">
      <w:pPr>
        <w:pStyle w:val="MainText"/>
      </w:pPr>
      <w:r>
        <w:rPr>
          <w:lang w:val="en-GB"/>
        </w:rPr>
        <w:t>The authors thank Prof. Richard Friend for useful discussions. We acknowledge funding support from the Hong Kong Research Grant Council</w:t>
      </w:r>
      <w:r w:rsidR="00BC1A62">
        <w:rPr>
          <w:lang w:val="en-GB"/>
        </w:rPr>
        <w:t xml:space="preserve"> (</w:t>
      </w:r>
      <w:r w:rsidR="00BC1A62" w:rsidRPr="002A3C66">
        <w:t>project number</w:t>
      </w:r>
      <w:r w:rsidR="00BC1A62">
        <w:t>s</w:t>
      </w:r>
      <w:r w:rsidR="00BC1A62" w:rsidRPr="002A3C66">
        <w:t xml:space="preserve"> 16306117, 16304218, 16306319, 16302520, AoE/P-02/12, R6021-18 and C6023-19)</w:t>
      </w:r>
      <w:r w:rsidR="00FA5FEF">
        <w:t xml:space="preserve">. P. C. Y. C acknowledges support from the </w:t>
      </w:r>
      <w:r w:rsidR="00BC1A62">
        <w:t>Faculty of Engineering and University Research Committee, The University of Hong Kong.</w:t>
      </w:r>
    </w:p>
    <w:p w14:paraId="7B5F6604" w14:textId="15D9A69C" w:rsidR="00CC04BD" w:rsidRDefault="00CC04BD" w:rsidP="00BC6652">
      <w:pPr>
        <w:pStyle w:val="MainText"/>
      </w:pPr>
    </w:p>
    <w:p w14:paraId="2DD8A866" w14:textId="77777777" w:rsidR="00CC04BD" w:rsidRPr="00CC04BD" w:rsidRDefault="00CC04BD" w:rsidP="00BC6652">
      <w:pPr>
        <w:pStyle w:val="MainText"/>
        <w:rPr>
          <w:b/>
          <w:bCs/>
          <w:lang w:val="en-GB"/>
        </w:rPr>
      </w:pPr>
      <w:r w:rsidRPr="00CC04BD">
        <w:rPr>
          <w:rFonts w:ascii="Calibri" w:hAnsi="Calibri" w:cs="Calibri"/>
          <w:lang w:val="en-GB"/>
        </w:rPr>
        <w:t>﻿</w:t>
      </w:r>
      <w:r w:rsidRPr="00CC04BD">
        <w:rPr>
          <w:b/>
          <w:bCs/>
          <w:lang w:val="en-GB"/>
        </w:rPr>
        <w:t xml:space="preserve">Notes </w:t>
      </w:r>
    </w:p>
    <w:p w14:paraId="59D96B96" w14:textId="0FE034E0" w:rsidR="00CC04BD" w:rsidRDefault="00CC04BD" w:rsidP="00BC6652">
      <w:pPr>
        <w:pStyle w:val="MainText"/>
        <w:rPr>
          <w:lang w:val="en-GB"/>
        </w:rPr>
      </w:pPr>
      <w:r w:rsidRPr="00CC04BD">
        <w:rPr>
          <w:lang w:val="en-GB"/>
        </w:rPr>
        <w:t>The authors declare no competing interest</w:t>
      </w:r>
      <w:r>
        <w:rPr>
          <w:lang w:val="en-GB"/>
        </w:rPr>
        <w:t>s</w:t>
      </w:r>
      <w:r w:rsidRPr="00CC04BD">
        <w:rPr>
          <w:lang w:val="en-GB"/>
        </w:rPr>
        <w:t>.</w:t>
      </w:r>
    </w:p>
    <w:p w14:paraId="7181E2D6" w14:textId="1EE81B8A" w:rsidR="00BC6652" w:rsidRDefault="00BC6652">
      <w:pPr>
        <w:rPr>
          <w:b/>
          <w:lang w:val="en-GB"/>
        </w:rPr>
      </w:pPr>
      <w:r>
        <w:rPr>
          <w:b/>
          <w:lang w:val="en-GB"/>
        </w:rPr>
        <w:br w:type="page"/>
      </w:r>
    </w:p>
    <w:p w14:paraId="497530E8" w14:textId="77777777" w:rsidR="00BC6652" w:rsidRDefault="00BC6652" w:rsidP="006A0180">
      <w:pPr>
        <w:widowControl w:val="0"/>
        <w:autoSpaceDE w:val="0"/>
        <w:autoSpaceDN w:val="0"/>
        <w:adjustRightInd w:val="0"/>
        <w:ind w:left="640" w:hanging="640"/>
        <w:rPr>
          <w:b/>
          <w:lang w:val="en-GB"/>
        </w:rPr>
      </w:pPr>
    </w:p>
    <w:p w14:paraId="5F7F738E" w14:textId="77777777" w:rsidR="00E2571A" w:rsidRPr="00045547" w:rsidRDefault="00E2571A" w:rsidP="002D16A0">
      <w:pPr>
        <w:pStyle w:val="Legend"/>
        <w:rPr>
          <w:lang w:val="en-GB"/>
        </w:rPr>
      </w:pPr>
    </w:p>
    <w:p w14:paraId="3780F5A2" w14:textId="1EABC2C3" w:rsidR="005E0230" w:rsidRPr="00045547" w:rsidRDefault="002D419A" w:rsidP="005E0230">
      <w:pPr>
        <w:spacing w:line="480" w:lineRule="auto"/>
        <w:jc w:val="both"/>
        <w:rPr>
          <w:lang w:val="en-GB"/>
        </w:rPr>
      </w:pPr>
      <w:r w:rsidRPr="002D419A">
        <w:rPr>
          <w:noProof/>
        </w:rPr>
        <w:drawing>
          <wp:inline distT="0" distB="0" distL="0" distR="0" wp14:anchorId="3E5B6378" wp14:editId="74E25049">
            <wp:extent cx="5760720" cy="263398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633980"/>
                    </a:xfrm>
                    <a:prstGeom prst="rect">
                      <a:avLst/>
                    </a:prstGeom>
                  </pic:spPr>
                </pic:pic>
              </a:graphicData>
            </a:graphic>
          </wp:inline>
        </w:drawing>
      </w:r>
    </w:p>
    <w:p w14:paraId="695C1074" w14:textId="77777777" w:rsidR="00D643F6" w:rsidRDefault="00D643F6" w:rsidP="005E0230">
      <w:pPr>
        <w:spacing w:line="480" w:lineRule="auto"/>
        <w:jc w:val="both"/>
        <w:rPr>
          <w:b/>
          <w:lang w:val="en-GB"/>
        </w:rPr>
      </w:pPr>
    </w:p>
    <w:p w14:paraId="0BF032B9" w14:textId="77777777" w:rsidR="005E0230" w:rsidRPr="00045547" w:rsidRDefault="00A02838" w:rsidP="005E0230">
      <w:pPr>
        <w:spacing w:line="480" w:lineRule="auto"/>
        <w:jc w:val="both"/>
        <w:rPr>
          <w:lang w:val="en-GB"/>
        </w:rPr>
      </w:pPr>
      <w:r w:rsidRPr="00D73FC9">
        <w:rPr>
          <w:b/>
          <w:lang w:val="en-GB"/>
        </w:rPr>
        <w:t>Figure</w:t>
      </w:r>
      <w:r w:rsidR="005E0230" w:rsidRPr="00D73FC9">
        <w:rPr>
          <w:b/>
          <w:lang w:val="en-GB"/>
        </w:rPr>
        <w:t xml:space="preserve"> 1.</w:t>
      </w:r>
      <w:r w:rsidR="005E0230" w:rsidRPr="00045547">
        <w:rPr>
          <w:lang w:val="en-GB"/>
        </w:rPr>
        <w:t xml:space="preserve"> (a) Chemical structures of </w:t>
      </w:r>
      <w:r w:rsidR="008355C3">
        <w:rPr>
          <w:lang w:val="en-GB"/>
        </w:rPr>
        <w:t>donor polymer (</w:t>
      </w:r>
      <w:r w:rsidR="005E0230" w:rsidRPr="00045547">
        <w:rPr>
          <w:lang w:val="en-GB"/>
        </w:rPr>
        <w:t>P3TEA</w:t>
      </w:r>
      <w:r w:rsidR="008355C3">
        <w:rPr>
          <w:lang w:val="en-GB"/>
        </w:rPr>
        <w:t>)</w:t>
      </w:r>
      <w:r w:rsidR="005E0230" w:rsidRPr="00045547">
        <w:rPr>
          <w:lang w:val="en-GB"/>
        </w:rPr>
        <w:t xml:space="preserve"> </w:t>
      </w:r>
      <w:r w:rsidR="008355C3">
        <w:rPr>
          <w:lang w:val="en-GB"/>
        </w:rPr>
        <w:t>and acceptor molecules (</w:t>
      </w:r>
      <w:r w:rsidR="005E0230" w:rsidRPr="00045547">
        <w:rPr>
          <w:lang w:val="en-GB"/>
        </w:rPr>
        <w:t>SF-PDI</w:t>
      </w:r>
      <w:r w:rsidR="005E0230" w:rsidRPr="00045547">
        <w:rPr>
          <w:vertAlign w:val="subscript"/>
          <w:lang w:val="en-GB"/>
        </w:rPr>
        <w:t>2</w:t>
      </w:r>
      <w:r w:rsidR="005E0230" w:rsidRPr="00045547">
        <w:rPr>
          <w:lang w:val="en-GB"/>
        </w:rPr>
        <w:t>, di-PDI and PCBM</w:t>
      </w:r>
      <w:r w:rsidR="008355C3">
        <w:rPr>
          <w:lang w:val="en-GB"/>
        </w:rPr>
        <w:t>).</w:t>
      </w:r>
      <w:r w:rsidR="005E0230" w:rsidRPr="00045547">
        <w:rPr>
          <w:lang w:val="en-GB"/>
        </w:rPr>
        <w:t xml:space="preserve"> (b) Device </w:t>
      </w:r>
      <w:r w:rsidR="000F1956">
        <w:rPr>
          <w:lang w:val="en-GB"/>
        </w:rPr>
        <w:t xml:space="preserve">current-voltage </w:t>
      </w:r>
      <w:r w:rsidR="005E0230" w:rsidRPr="00045547">
        <w:rPr>
          <w:lang w:val="en-GB"/>
        </w:rPr>
        <w:t>curves measured under simulated AM1.5G solar illumination. The energy level diagram summarises the lowest occupied molecular orbitals (LUMO) and highest unoccupied molecular orbitals (HOMO) determined by cyclic voltammetry and optical absorption measurements.</w:t>
      </w:r>
      <w:r w:rsidR="006769D6">
        <w:rPr>
          <w:lang w:val="en-GB"/>
        </w:rPr>
        <w:t xml:space="preserve"> Device parameters are summarized in Table 1.</w:t>
      </w:r>
    </w:p>
    <w:p w14:paraId="18D68AFF" w14:textId="77777777" w:rsidR="005E0230" w:rsidRPr="00045547" w:rsidRDefault="005E0230">
      <w:pPr>
        <w:rPr>
          <w:lang w:val="en-GB"/>
        </w:rPr>
      </w:pPr>
      <w:r w:rsidRPr="00045547">
        <w:rPr>
          <w:lang w:val="en-GB"/>
        </w:rPr>
        <w:br w:type="page"/>
      </w:r>
    </w:p>
    <w:p w14:paraId="799F1D6B" w14:textId="77777777" w:rsidR="005E0230" w:rsidRPr="00045547" w:rsidRDefault="00D643F6" w:rsidP="005E0230">
      <w:pPr>
        <w:spacing w:line="480" w:lineRule="auto"/>
        <w:jc w:val="both"/>
        <w:rPr>
          <w:lang w:val="en-GB"/>
        </w:rPr>
      </w:pPr>
      <w:r w:rsidRPr="00D643F6">
        <w:rPr>
          <w:noProof/>
        </w:rPr>
        <w:lastRenderedPageBreak/>
        <w:drawing>
          <wp:inline distT="0" distB="0" distL="0" distR="0" wp14:anchorId="4AABE001" wp14:editId="3EBD7675">
            <wp:extent cx="5760720" cy="370332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703320"/>
                    </a:xfrm>
                    <a:prstGeom prst="rect">
                      <a:avLst/>
                    </a:prstGeom>
                  </pic:spPr>
                </pic:pic>
              </a:graphicData>
            </a:graphic>
          </wp:inline>
        </w:drawing>
      </w:r>
    </w:p>
    <w:p w14:paraId="68388855" w14:textId="3E0279BC" w:rsidR="005E0230" w:rsidRPr="00D229DA" w:rsidRDefault="00A02838" w:rsidP="005E0230">
      <w:pPr>
        <w:spacing w:line="480" w:lineRule="auto"/>
        <w:jc w:val="both"/>
        <w:rPr>
          <w:lang w:val="en-GB"/>
        </w:rPr>
      </w:pPr>
      <w:r w:rsidRPr="00D73FC9">
        <w:rPr>
          <w:b/>
          <w:lang w:val="en-GB"/>
        </w:rPr>
        <w:t>Figure</w:t>
      </w:r>
      <w:r w:rsidR="005E0230" w:rsidRPr="00D73FC9">
        <w:rPr>
          <w:b/>
          <w:lang w:val="en-GB"/>
        </w:rPr>
        <w:t xml:space="preserve"> 2. </w:t>
      </w:r>
      <w:r w:rsidR="005E0230" w:rsidRPr="00D47268">
        <w:rPr>
          <w:lang w:val="en-GB"/>
        </w:rPr>
        <w:t>(</w:t>
      </w:r>
      <w:proofErr w:type="spellStart"/>
      <w:r w:rsidR="005E0230" w:rsidRPr="00D47268">
        <w:rPr>
          <w:lang w:val="en-GB"/>
        </w:rPr>
        <w:t>a</w:t>
      </w:r>
      <w:r w:rsidR="00D47268">
        <w:rPr>
          <w:lang w:val="en-GB"/>
        </w:rPr>
        <w:t>,b,c</w:t>
      </w:r>
      <w:proofErr w:type="spellEnd"/>
      <w:r w:rsidR="005E0230" w:rsidRPr="00D47268">
        <w:rPr>
          <w:lang w:val="en-GB"/>
        </w:rPr>
        <w:t>)</w:t>
      </w:r>
      <w:r w:rsidR="00D47268">
        <w:rPr>
          <w:lang w:val="en-GB"/>
        </w:rPr>
        <w:t xml:space="preserve"> </w:t>
      </w:r>
      <w:r w:rsidR="009441EF">
        <w:rPr>
          <w:lang w:val="en-GB"/>
        </w:rPr>
        <w:t>T</w:t>
      </w:r>
      <w:r w:rsidR="00D47268">
        <w:rPr>
          <w:lang w:val="en-GB"/>
        </w:rPr>
        <w:t xml:space="preserve">ransient absorption </w:t>
      </w:r>
      <w:r w:rsidR="00A81313">
        <w:rPr>
          <w:lang w:val="en-GB"/>
        </w:rPr>
        <w:t xml:space="preserve">measurements </w:t>
      </w:r>
      <w:r w:rsidR="009441EF">
        <w:rPr>
          <w:lang w:val="en-GB"/>
        </w:rPr>
        <w:t xml:space="preserve">in the nanosecond timescale. The three </w:t>
      </w:r>
      <w:r w:rsidR="00D47268">
        <w:rPr>
          <w:lang w:val="en-GB"/>
        </w:rPr>
        <w:t xml:space="preserve">donor-acceptor </w:t>
      </w:r>
      <w:r w:rsidR="00420B05">
        <w:rPr>
          <w:lang w:val="en-GB"/>
        </w:rPr>
        <w:t xml:space="preserve">blends </w:t>
      </w:r>
      <w:r w:rsidR="009441EF">
        <w:rPr>
          <w:lang w:val="en-GB"/>
        </w:rPr>
        <w:t xml:space="preserve">were </w:t>
      </w:r>
      <w:r w:rsidR="00A81313">
        <w:rPr>
          <w:lang w:val="en-GB"/>
        </w:rPr>
        <w:t xml:space="preserve">excited </w:t>
      </w:r>
      <w:r w:rsidR="00403719">
        <w:rPr>
          <w:lang w:val="en-GB"/>
        </w:rPr>
        <w:t xml:space="preserve">at 532 nm </w:t>
      </w:r>
      <w:r w:rsidR="0031713B">
        <w:rPr>
          <w:lang w:val="en-GB"/>
        </w:rPr>
        <w:t xml:space="preserve">at a pulse </w:t>
      </w:r>
      <w:r w:rsidR="00403719">
        <w:rPr>
          <w:lang w:val="en-GB"/>
        </w:rPr>
        <w:t xml:space="preserve">fluence of </w:t>
      </w:r>
      <w:r w:rsidR="0031713B">
        <w:rPr>
          <w:lang w:val="en-GB"/>
        </w:rPr>
        <w:t>~</w:t>
      </w:r>
      <w:r w:rsidR="00403719">
        <w:rPr>
          <w:lang w:val="en-GB"/>
        </w:rPr>
        <w:t>2 µJ cm</w:t>
      </w:r>
      <w:r w:rsidR="00403719">
        <w:rPr>
          <w:vertAlign w:val="superscript"/>
          <w:lang w:val="en-GB"/>
        </w:rPr>
        <w:t>-2</w:t>
      </w:r>
      <w:r w:rsidR="00403719">
        <w:rPr>
          <w:lang w:val="en-GB"/>
        </w:rPr>
        <w:t xml:space="preserve">. </w:t>
      </w:r>
      <w:r w:rsidR="0031713B">
        <w:rPr>
          <w:lang w:val="en-GB"/>
        </w:rPr>
        <w:t xml:space="preserve">Note that </w:t>
      </w:r>
      <w:r w:rsidR="00187EF1">
        <w:rPr>
          <w:lang w:val="en-GB"/>
        </w:rPr>
        <w:t xml:space="preserve">all conversions from excitons to charges </w:t>
      </w:r>
      <w:r w:rsidR="008858F0">
        <w:rPr>
          <w:lang w:val="en-GB"/>
        </w:rPr>
        <w:t xml:space="preserve">in these blends </w:t>
      </w:r>
      <w:r w:rsidR="0031713B">
        <w:rPr>
          <w:lang w:val="en-GB"/>
        </w:rPr>
        <w:t xml:space="preserve">will be completed by </w:t>
      </w:r>
      <w:r w:rsidR="00187EF1">
        <w:rPr>
          <w:lang w:val="en-GB"/>
        </w:rPr>
        <w:t xml:space="preserve">1 ns </w:t>
      </w:r>
      <w:r w:rsidR="00187EF1">
        <w:rPr>
          <w:lang w:val="en-GB"/>
        </w:rPr>
        <w:fldChar w:fldCharType="begin" w:fldLock="1"/>
      </w:r>
      <w:r w:rsidR="005D75E8">
        <w:rPr>
          <w:lang w:val="en-GB"/>
        </w:rPr>
        <w:instrText>ADDIN CSL_CITATION {"citationItems":[{"id":"ITEM-1","itemData":{"DOI":"10.1038/s41467-020-19332-5","ISBN":"4146702019332","ISSN":"2041-1723","abstract":"Organic solar cells based on non-fullerene acceptors can show high charge generation yields despite near-zero donor–acceptor energy offsets to drive charge separation and overcome the mutual Coulomb attraction between electron and hole. Here, we use time-resolved optical spectroscopy to show that free charges in these systems are generated by thermally activated dissociation of interfacial charge-transfer states that occurs over hundreds of picoseconds at room temperature, three orders of magnitude slower than comparable fullerene-based systems. Upon free electron–hole encounters at later times, both charge-transfer states and emissive excitons are regenerated, thus setting up an equilibrium between excitons, charge-transfer states and free charges. Our results suggest that the formation of long-lived and disorder-free charge-transfer states in these systems enables them to operate closely to quasi-thermodynamic conditions with no requirement for energy offsets to drive interfacial charge separation and achieve suppressed non-radiative recombination.","author":[{"dropping-particle":"","family":"Hinrichsen","given":"Ture F.","non-dropping-particle":"","parse-names":false,"suffix":""},{"dropping-particle":"","family":"Chan","given":"Christopher C. S.","non-dropping-particle":"","parse-names":false,"suffix":""},{"dropping-particle":"","family":"Ma","given":"Chao","non-dropping-particle":"","parse-names":false,"suffix":""},{"dropping-particle":"","family":"Paleček","given":"David","non-dropping-particle":"","parse-names":false,"suffix":""},{"dropping-particle":"","family":"Gillett","given":"Alexander","non-dropping-particle":"","parse-names":false,"suffix":""},{"dropping-particle":"","family":"Chen","given":"Shangshang","non-dropping-particle":"","parse-names":false,"suffix":""},{"dropping-particle":"","family":"Zou","given":"Xinhui","non-dropping-particle":"","parse-names":false,"suffix":""},{"dropping-particle":"","family":"Zhang","given":"Guichuan","non-dropping-particle":"","parse-names":false,"suffix":""},{"dropping-particle":"","family":"Yip","given":"Hin-Lap","non-dropping-particle":"","parse-names":false,"suffix":""},{"dropping-particle":"","family":"Wong","given":"Kam Sing","non-dropping-particle":"","parse-names":false,"suffix":""},{"dropping-particle":"","family":"Friend","given":"Richard H.","non-dropping-particle":"","parse-names":false,"suffix":""},{"dropping-particle":"","family":"Yan","given":"He","non-dropping-particle":"","parse-names":false,"suffix":""},{"dropping-particle":"","family":"Rao","given":"Akshay","non-dropping-particle":"","parse-names":false,"suffix":""},{"dropping-particle":"","family":"Chow","given":"Philip C. Y.","non-dropping-particle":"","parse-names":false,"suffix":""}],"container-title":"Nature Communications","id":"ITEM-1","issue":"1","issued":{"date-parts":[["2020","12","5"]]},"page":"5617","title":"Long-lived and disorder-free charge transfer states enable endothermic charge separation in efficient non-fullerene organic solar cells","type":"article-journal","volume":"11"},"uris":["http://www.mendeley.com/documents/?uuid=4811954e-9106-4bc9-bc5d-4fdec12073fa"]},{"id":"ITEM-2","itemData":{"DOI":"10.1002/solr.202000789","ISSN":"2367-198X","author":[{"dropping-particle":"","family":"Ma","given":"Chao","non-dropping-particle":"","parse-names":false,"suffix":""},{"dropping-particle":"","family":"Chan","given":"Christopher C S","non-dropping-particle":"","parse-names":false,"suffix":""},{"dropping-particle":"","family":"Zou","given":"Xinhui","non-dropping-particle":"","parse-names":false,"suffix":""},{"dropping-particle":"","family":"Yu","given":"Han","non-dropping-particle":"","parse-names":false,"suffix":""},{"dropping-particle":"","family":"Zhang","given":"Jianquan","non-dropping-particle":"","parse-names":false,"suffix":""},{"dropping-particle":"","family":"Yan","given":"He","non-dropping-particle":"","parse-names":false,"suffix":""},{"dropping-particle":"","family":"Wong","given":"Kam Sing","non-dropping-particle":"","parse-names":false,"suffix":""},{"dropping-particle":"","family":"Chow","given":"Philip C. Y.","non-dropping-particle":"","parse-names":false,"suffix":""}],"container-title":"Solar RRL","id":"ITEM-2","issue":"4","issued":{"date-parts":[["2021","4","24"]]},"page":"2000789","title":"Unraveling the Temperature Dependence of Exciton Dissociation and Free Charge Generation in Nonfullerene Organic Solar Cells","type":"article-journal","volume":"5"},"uris":["http://www.mendeley.com/documents/?uuid=9dd074ac-c54c-4d19-9c68-06b6c6387127"]}],"mendeley":{"formattedCitation":"&lt;sup&gt;23,28&lt;/sup&gt;","plainTextFormattedCitation":"23,28","previouslyFormattedCitation":"&lt;sup&gt;23,28&lt;/sup&gt;"},"properties":{"noteIndex":0},"schema":"https://github.com/citation-style-language/schema/raw/master/csl-citation.json"}</w:instrText>
      </w:r>
      <w:r w:rsidR="00187EF1">
        <w:rPr>
          <w:lang w:val="en-GB"/>
        </w:rPr>
        <w:fldChar w:fldCharType="separate"/>
      </w:r>
      <w:r w:rsidR="005D75E8" w:rsidRPr="005D75E8">
        <w:rPr>
          <w:noProof/>
          <w:vertAlign w:val="superscript"/>
          <w:lang w:val="en-GB"/>
        </w:rPr>
        <w:t>23,28</w:t>
      </w:r>
      <w:r w:rsidR="00187EF1">
        <w:rPr>
          <w:lang w:val="en-GB"/>
        </w:rPr>
        <w:fldChar w:fldCharType="end"/>
      </w:r>
      <w:r w:rsidR="00146E52">
        <w:rPr>
          <w:lang w:val="en-GB"/>
        </w:rPr>
        <w:t xml:space="preserve">, and therefore the results </w:t>
      </w:r>
      <w:r w:rsidR="008335E4">
        <w:rPr>
          <w:lang w:val="en-GB"/>
        </w:rPr>
        <w:t>reflect the charge recombination dynamics.</w:t>
      </w:r>
      <w:r w:rsidR="00CA0B86">
        <w:rPr>
          <w:lang w:val="en-GB"/>
        </w:rPr>
        <w:t xml:space="preserve"> </w:t>
      </w:r>
      <w:r w:rsidR="00403719">
        <w:rPr>
          <w:lang w:val="en-GB"/>
        </w:rPr>
        <w:t xml:space="preserve">Normalised spectra are shown in the insets. (d) Normalised transient absorption spectra of </w:t>
      </w:r>
      <w:r w:rsidR="00D229DA">
        <w:rPr>
          <w:lang w:val="en-GB"/>
        </w:rPr>
        <w:t xml:space="preserve">P3TEA:PCBM </w:t>
      </w:r>
      <w:r w:rsidR="00403719">
        <w:rPr>
          <w:lang w:val="en-GB"/>
        </w:rPr>
        <w:t>integrated between 1 to 2000 ns at various excitation fluences</w:t>
      </w:r>
      <w:r w:rsidR="00D229DA">
        <w:rPr>
          <w:lang w:val="en-GB"/>
        </w:rPr>
        <w:t>,</w:t>
      </w:r>
      <w:r w:rsidR="005E0230" w:rsidRPr="00D47268">
        <w:rPr>
          <w:lang w:val="en-GB"/>
        </w:rPr>
        <w:t xml:space="preserve"> </w:t>
      </w:r>
      <w:r w:rsidR="00D229DA">
        <w:rPr>
          <w:lang w:val="en-GB"/>
        </w:rPr>
        <w:t xml:space="preserve">showing that the </w:t>
      </w:r>
      <w:r w:rsidR="00D577E0">
        <w:rPr>
          <w:lang w:val="en-GB"/>
        </w:rPr>
        <w:t xml:space="preserve">spectral shifting </w:t>
      </w:r>
      <w:r w:rsidR="00D229DA">
        <w:rPr>
          <w:lang w:val="en-GB"/>
        </w:rPr>
        <w:t xml:space="preserve">scales with </w:t>
      </w:r>
      <w:r w:rsidR="00D577E0">
        <w:rPr>
          <w:lang w:val="en-GB"/>
        </w:rPr>
        <w:t xml:space="preserve">increasing </w:t>
      </w:r>
      <w:r w:rsidR="00D229DA">
        <w:rPr>
          <w:lang w:val="en-GB"/>
        </w:rPr>
        <w:t xml:space="preserve">excitation </w:t>
      </w:r>
      <w:r w:rsidR="00D577E0">
        <w:rPr>
          <w:lang w:val="en-GB"/>
        </w:rPr>
        <w:t>fluence.</w:t>
      </w:r>
      <w:r w:rsidR="00D229DA">
        <w:rPr>
          <w:lang w:val="en-GB"/>
        </w:rPr>
        <w:t xml:space="preserve"> The corresponding data for P3TEA:SF-PDI</w:t>
      </w:r>
      <w:r w:rsidR="00D229DA">
        <w:rPr>
          <w:vertAlign w:val="subscript"/>
          <w:lang w:val="en-GB"/>
        </w:rPr>
        <w:t>2</w:t>
      </w:r>
      <w:r w:rsidR="00D229DA">
        <w:rPr>
          <w:lang w:val="en-GB"/>
        </w:rPr>
        <w:t xml:space="preserve"> and P3TEA:di-PDI films are shown in Fig. S3 in the Supporting Information, showing </w:t>
      </w:r>
      <w:r w:rsidR="004C2D99">
        <w:rPr>
          <w:lang w:val="en-GB"/>
        </w:rPr>
        <w:t xml:space="preserve">little </w:t>
      </w:r>
      <w:r w:rsidR="00D229DA">
        <w:rPr>
          <w:lang w:val="en-GB"/>
        </w:rPr>
        <w:t>spectral shift</w:t>
      </w:r>
      <w:r w:rsidR="008449A3">
        <w:rPr>
          <w:lang w:val="en-GB"/>
        </w:rPr>
        <w:t>ing</w:t>
      </w:r>
      <w:r w:rsidR="00D229DA">
        <w:rPr>
          <w:lang w:val="en-GB"/>
        </w:rPr>
        <w:t xml:space="preserve"> even </w:t>
      </w:r>
      <w:r w:rsidR="000538CB">
        <w:rPr>
          <w:lang w:val="en-GB"/>
        </w:rPr>
        <w:t>at up to 16 µJ cm</w:t>
      </w:r>
      <w:r w:rsidR="000538CB">
        <w:rPr>
          <w:vertAlign w:val="superscript"/>
          <w:lang w:val="en-GB"/>
        </w:rPr>
        <w:t>-2</w:t>
      </w:r>
      <w:r w:rsidR="004C2D99">
        <w:rPr>
          <w:lang w:val="en-GB"/>
        </w:rPr>
        <w:t>.</w:t>
      </w:r>
    </w:p>
    <w:p w14:paraId="5BD30576" w14:textId="77777777" w:rsidR="005E0230" w:rsidRPr="00045547" w:rsidRDefault="005E0230" w:rsidP="00EC475D">
      <w:pPr>
        <w:jc w:val="center"/>
        <w:rPr>
          <w:lang w:val="en-GB"/>
        </w:rPr>
      </w:pPr>
      <w:r w:rsidRPr="00045547">
        <w:rPr>
          <w:lang w:val="en-GB"/>
        </w:rPr>
        <w:br w:type="page"/>
      </w:r>
      <w:r w:rsidR="00EC475D" w:rsidRPr="00EC475D">
        <w:rPr>
          <w:noProof/>
        </w:rPr>
        <w:lastRenderedPageBreak/>
        <w:drawing>
          <wp:inline distT="0" distB="0" distL="0" distR="0" wp14:anchorId="05763628" wp14:editId="2308533B">
            <wp:extent cx="2948940" cy="344171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59055" cy="3453519"/>
                    </a:xfrm>
                    <a:prstGeom prst="rect">
                      <a:avLst/>
                    </a:prstGeom>
                  </pic:spPr>
                </pic:pic>
              </a:graphicData>
            </a:graphic>
          </wp:inline>
        </w:drawing>
      </w:r>
    </w:p>
    <w:p w14:paraId="49855EE0" w14:textId="77777777" w:rsidR="00EC475D" w:rsidRDefault="005E0230" w:rsidP="00EC475D">
      <w:pPr>
        <w:spacing w:line="480" w:lineRule="auto"/>
        <w:jc w:val="both"/>
        <w:rPr>
          <w:lang w:val="en-GB"/>
        </w:rPr>
      </w:pPr>
      <w:r w:rsidRPr="00D73FC9">
        <w:rPr>
          <w:b/>
          <w:lang w:val="en-GB"/>
        </w:rPr>
        <w:t>Fig</w:t>
      </w:r>
      <w:r w:rsidR="00D73FC9" w:rsidRPr="00D73FC9">
        <w:rPr>
          <w:b/>
          <w:lang w:val="en-GB"/>
        </w:rPr>
        <w:t>ure</w:t>
      </w:r>
      <w:r w:rsidRPr="00D73FC9">
        <w:rPr>
          <w:b/>
          <w:lang w:val="en-GB"/>
        </w:rPr>
        <w:t xml:space="preserve"> 3. </w:t>
      </w:r>
      <w:r w:rsidR="00124793">
        <w:rPr>
          <w:lang w:val="en-GB"/>
        </w:rPr>
        <w:t xml:space="preserve">(a) The solid lines show the two normalised </w:t>
      </w:r>
      <w:r w:rsidR="00A26BB7">
        <w:rPr>
          <w:lang w:val="en-GB"/>
        </w:rPr>
        <w:t xml:space="preserve">transient absorption (TA) </w:t>
      </w:r>
      <w:r w:rsidR="00124793">
        <w:rPr>
          <w:lang w:val="en-GB"/>
        </w:rPr>
        <w:t xml:space="preserve">spectral responses </w:t>
      </w:r>
      <w:r w:rsidR="00D56299">
        <w:rPr>
          <w:lang w:val="en-GB"/>
        </w:rPr>
        <w:t xml:space="preserve">that were </w:t>
      </w:r>
      <w:r w:rsidR="00124793">
        <w:rPr>
          <w:lang w:val="en-GB"/>
        </w:rPr>
        <w:t xml:space="preserve">numerically extracted from the </w:t>
      </w:r>
      <w:r w:rsidR="00A26BB7">
        <w:rPr>
          <w:lang w:val="en-GB"/>
        </w:rPr>
        <w:t xml:space="preserve">TA </w:t>
      </w:r>
      <w:r w:rsidR="00124793">
        <w:rPr>
          <w:lang w:val="en-GB"/>
        </w:rPr>
        <w:t>data of P3TEA:PCBM</w:t>
      </w:r>
      <w:r w:rsidR="00BF09AD">
        <w:rPr>
          <w:lang w:val="en-GB"/>
        </w:rPr>
        <w:t xml:space="preserve"> shown in Figure 2(c)</w:t>
      </w:r>
      <w:r w:rsidR="00124793">
        <w:rPr>
          <w:lang w:val="en-GB"/>
        </w:rPr>
        <w:t xml:space="preserve">. As described in the main text we assign </w:t>
      </w:r>
      <w:r w:rsidR="00561EF5">
        <w:rPr>
          <w:lang w:val="en-GB"/>
        </w:rPr>
        <w:t xml:space="preserve">these to </w:t>
      </w:r>
      <w:r w:rsidR="00187E76">
        <w:rPr>
          <w:lang w:val="en-GB"/>
        </w:rPr>
        <w:t xml:space="preserve">the TA </w:t>
      </w:r>
      <w:r w:rsidR="00561EF5">
        <w:rPr>
          <w:lang w:val="en-GB"/>
        </w:rPr>
        <w:t xml:space="preserve">response of charges (blue) and triplet excitons (red) </w:t>
      </w:r>
      <w:r w:rsidR="00423B61">
        <w:rPr>
          <w:lang w:val="en-GB"/>
        </w:rPr>
        <w:t>in</w:t>
      </w:r>
      <w:r w:rsidR="00561EF5">
        <w:rPr>
          <w:lang w:val="en-GB"/>
        </w:rPr>
        <w:t xml:space="preserve"> the P3TEA polymer</w:t>
      </w:r>
      <w:r w:rsidR="00423B61">
        <w:rPr>
          <w:lang w:val="en-GB"/>
        </w:rPr>
        <w:t xml:space="preserve"> domain</w:t>
      </w:r>
      <w:r w:rsidR="00561EF5">
        <w:rPr>
          <w:lang w:val="en-GB"/>
        </w:rPr>
        <w:t xml:space="preserve">. </w:t>
      </w:r>
      <w:r w:rsidR="00B948F4">
        <w:rPr>
          <w:lang w:val="en-GB"/>
        </w:rPr>
        <w:t xml:space="preserve">The P3TEA triplet exciton response matches the with </w:t>
      </w:r>
      <w:r w:rsidR="00E717F0">
        <w:rPr>
          <w:lang w:val="en-GB"/>
        </w:rPr>
        <w:t>100ns</w:t>
      </w:r>
      <w:r w:rsidR="00B948F4">
        <w:rPr>
          <w:lang w:val="en-GB"/>
        </w:rPr>
        <w:t xml:space="preserve"> TA spectrum measured in a pristine P3TEA film (see Fig. S1 in Supporting Information). </w:t>
      </w:r>
      <w:r w:rsidR="00A26BB7">
        <w:rPr>
          <w:lang w:val="en-GB"/>
        </w:rPr>
        <w:t>The black dashed line shows the response of singlet excitons as measured in a pristine P3TEA film, and the green dashed line show</w:t>
      </w:r>
      <w:r w:rsidR="009F4691">
        <w:rPr>
          <w:lang w:val="en-GB"/>
        </w:rPr>
        <w:t>s</w:t>
      </w:r>
      <w:r w:rsidR="00A26BB7">
        <w:rPr>
          <w:lang w:val="en-GB"/>
        </w:rPr>
        <w:t xml:space="preserve"> the photoinduced </w:t>
      </w:r>
      <w:r w:rsidR="009F4691">
        <w:rPr>
          <w:lang w:val="en-GB"/>
        </w:rPr>
        <w:t xml:space="preserve">absorption of P3TEA triplet excitons based on the assumption that excitons of both spin states have the same ground-state bleach (GSB) </w:t>
      </w:r>
      <w:r w:rsidR="00D1395F">
        <w:rPr>
          <w:lang w:val="en-GB"/>
        </w:rPr>
        <w:t xml:space="preserve">spectral </w:t>
      </w:r>
      <w:r w:rsidR="00187E76">
        <w:rPr>
          <w:lang w:val="en-GB"/>
        </w:rPr>
        <w:t>response</w:t>
      </w:r>
      <w:r w:rsidR="009F4691">
        <w:rPr>
          <w:lang w:val="en-GB"/>
        </w:rPr>
        <w:t>.</w:t>
      </w:r>
      <w:r w:rsidR="00F25E8E">
        <w:rPr>
          <w:lang w:val="en-GB"/>
        </w:rPr>
        <w:t xml:space="preserve"> (b) </w:t>
      </w:r>
      <w:r w:rsidR="008F44B5">
        <w:rPr>
          <w:lang w:val="en-GB"/>
        </w:rPr>
        <w:t>Evolution of charge and triplet signals in the three blends</w:t>
      </w:r>
      <w:r w:rsidR="008F44B5" w:rsidRPr="002578DA">
        <w:rPr>
          <w:lang w:val="en-GB"/>
        </w:rPr>
        <w:t xml:space="preserve"> </w:t>
      </w:r>
      <w:r w:rsidR="008F44B5">
        <w:rPr>
          <w:lang w:val="en-GB"/>
        </w:rPr>
        <w:t>upon 532 nm photoexcitation at a fluence of 2 µJ cm</w:t>
      </w:r>
      <w:r w:rsidR="008F44B5">
        <w:rPr>
          <w:vertAlign w:val="superscript"/>
          <w:lang w:val="en-GB"/>
        </w:rPr>
        <w:t>-2</w:t>
      </w:r>
      <w:r w:rsidR="008F44B5">
        <w:rPr>
          <w:lang w:val="en-GB"/>
        </w:rPr>
        <w:t xml:space="preserve"> per pulse. In the fullerene blend the decay of charge population scales with the growth in triplet excitons, thus indicating that bimolecular charge recombination leads to formation of long-lived (~1 µs) triplet excitons (see fluence dependence in </w:t>
      </w:r>
      <w:r w:rsidR="003C177B">
        <w:rPr>
          <w:lang w:val="en-GB"/>
        </w:rPr>
        <w:t xml:space="preserve">Fig. 2d and </w:t>
      </w:r>
      <w:r w:rsidR="008F44B5">
        <w:rPr>
          <w:lang w:val="en-GB"/>
        </w:rPr>
        <w:t>Fig. S4</w:t>
      </w:r>
      <w:r w:rsidR="003C177B">
        <w:rPr>
          <w:lang w:val="en-GB"/>
        </w:rPr>
        <w:t xml:space="preserve"> in the Supporting Information</w:t>
      </w:r>
      <w:r w:rsidR="008F44B5">
        <w:rPr>
          <w:lang w:val="en-GB"/>
        </w:rPr>
        <w:t xml:space="preserve">). We found no evidence for triplet exciton formation in the two non-fullerene blends, and the charge lifetimes are nearly an order of magnitude longer than in the fullerene blend (consistent with the reduced </w:t>
      </w:r>
      <w:r w:rsidR="003C177B">
        <w:rPr>
          <w:lang w:val="en-GB"/>
        </w:rPr>
        <w:t>photo</w:t>
      </w:r>
      <w:r w:rsidR="008F44B5">
        <w:rPr>
          <w:lang w:val="en-GB"/>
        </w:rPr>
        <w:t>voltage loss).</w:t>
      </w:r>
      <w:r w:rsidR="003C177B">
        <w:rPr>
          <w:lang w:val="en-GB"/>
        </w:rPr>
        <w:br w:type="page"/>
      </w:r>
    </w:p>
    <w:p w14:paraId="1C959D81" w14:textId="63B7C778" w:rsidR="008313F8" w:rsidRDefault="00101D37" w:rsidP="005760CE">
      <w:pPr>
        <w:spacing w:line="480" w:lineRule="auto"/>
        <w:jc w:val="center"/>
        <w:rPr>
          <w:lang w:val="en-GB"/>
        </w:rPr>
      </w:pPr>
      <w:r w:rsidRPr="00101D37">
        <w:rPr>
          <w:noProof/>
        </w:rPr>
        <w:lastRenderedPageBreak/>
        <w:drawing>
          <wp:inline distT="0" distB="0" distL="0" distR="0" wp14:anchorId="1C6C3C4F" wp14:editId="77DAECBE">
            <wp:extent cx="5760720" cy="2182495"/>
            <wp:effectExtent l="0" t="0" r="508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182495"/>
                    </a:xfrm>
                    <a:prstGeom prst="rect">
                      <a:avLst/>
                    </a:prstGeom>
                  </pic:spPr>
                </pic:pic>
              </a:graphicData>
            </a:graphic>
          </wp:inline>
        </w:drawing>
      </w:r>
    </w:p>
    <w:p w14:paraId="32C82772" w14:textId="4E9B8064" w:rsidR="00502E7E" w:rsidRDefault="008313F8" w:rsidP="00EC1A61">
      <w:pPr>
        <w:spacing w:line="480" w:lineRule="auto"/>
        <w:jc w:val="both"/>
        <w:rPr>
          <w:lang w:val="en-GB" w:eastAsia="zh-CN"/>
        </w:rPr>
      </w:pPr>
      <w:r w:rsidRPr="00D73FC9">
        <w:rPr>
          <w:b/>
          <w:lang w:val="en-GB"/>
        </w:rPr>
        <w:t>Fig</w:t>
      </w:r>
      <w:r w:rsidR="00D73FC9" w:rsidRPr="00D73FC9">
        <w:rPr>
          <w:b/>
          <w:lang w:val="en-GB"/>
        </w:rPr>
        <w:t>ure</w:t>
      </w:r>
      <w:r w:rsidRPr="00D73FC9">
        <w:rPr>
          <w:b/>
          <w:lang w:val="en-GB"/>
        </w:rPr>
        <w:t xml:space="preserve"> 4</w:t>
      </w:r>
      <w:r w:rsidR="002578DA">
        <w:rPr>
          <w:b/>
          <w:lang w:val="en-GB"/>
        </w:rPr>
        <w:t xml:space="preserve">. </w:t>
      </w:r>
      <w:r w:rsidR="00BF17BB">
        <w:rPr>
          <w:lang w:val="en-GB"/>
        </w:rPr>
        <w:t>(</w:t>
      </w:r>
      <w:r w:rsidR="003C177B">
        <w:rPr>
          <w:lang w:val="en-GB"/>
        </w:rPr>
        <w:t>a</w:t>
      </w:r>
      <w:r w:rsidR="00BF17BB">
        <w:rPr>
          <w:lang w:val="en-GB"/>
        </w:rPr>
        <w:t xml:space="preserve">) Calculated </w:t>
      </w:r>
      <w:r w:rsidR="00420671">
        <w:rPr>
          <w:lang w:val="en-GB" w:eastAsia="zh-CN"/>
        </w:rPr>
        <w:t>relaxation</w:t>
      </w:r>
      <w:r w:rsidR="00BF17BB">
        <w:rPr>
          <w:lang w:val="en-GB" w:eastAsia="zh-CN"/>
        </w:rPr>
        <w:t xml:space="preserve"> rate from CTE to T</w:t>
      </w:r>
      <w:r w:rsidR="00BF17BB">
        <w:rPr>
          <w:vertAlign w:val="subscript"/>
          <w:lang w:val="en-GB" w:eastAsia="zh-CN"/>
        </w:rPr>
        <w:t>1</w:t>
      </w:r>
      <w:r w:rsidR="00BF17BB">
        <w:rPr>
          <w:lang w:val="en-GB" w:eastAsia="zh-CN"/>
        </w:rPr>
        <w:t xml:space="preserve"> (</w:t>
      </w:r>
      <w:r w:rsidR="00BF17BB" w:rsidRPr="00121F3E">
        <w:rPr>
          <w:i/>
          <w:iCs/>
          <w:lang w:val="en-GB" w:eastAsia="zh-CN"/>
        </w:rPr>
        <w:t>k</w:t>
      </w:r>
      <w:r w:rsidR="00BF17BB" w:rsidRPr="00121F3E">
        <w:rPr>
          <w:i/>
          <w:iCs/>
          <w:vertAlign w:val="subscript"/>
          <w:lang w:val="en-GB" w:eastAsia="zh-CN"/>
        </w:rPr>
        <w:t>CTE</w:t>
      </w:r>
      <w:r w:rsidR="00BF17BB" w:rsidRPr="00121F3E">
        <w:rPr>
          <w:i/>
          <w:iCs/>
          <w:vertAlign w:val="subscript"/>
          <w:lang w:val="en-GB" w:eastAsia="zh-CN"/>
        </w:rPr>
        <w:sym w:font="Wingdings" w:char="F0E0"/>
      </w:r>
      <w:r w:rsidR="00BF17BB" w:rsidRPr="00121F3E">
        <w:rPr>
          <w:i/>
          <w:iCs/>
          <w:vertAlign w:val="subscript"/>
          <w:lang w:val="en-GB" w:eastAsia="zh-CN"/>
        </w:rPr>
        <w:t>T1</w:t>
      </w:r>
      <w:r w:rsidR="00BF17BB">
        <w:rPr>
          <w:lang w:val="en-GB" w:eastAsia="zh-CN"/>
        </w:rPr>
        <w:t xml:space="preserve">) based on the Marcus electron-transfer rate equation. </w:t>
      </w:r>
      <m:oMath>
        <m:r>
          <w:rPr>
            <w:rFonts w:ascii="Cambria Math" w:hAnsi="Cambria Math"/>
            <w:lang w:val="en-GB" w:eastAsia="zh-CN"/>
          </w:rPr>
          <m:t>∆G</m:t>
        </m:r>
      </m:oMath>
      <w:r w:rsidR="00BF17BB">
        <w:rPr>
          <w:lang w:val="en-GB" w:eastAsia="zh-CN"/>
        </w:rPr>
        <w:t xml:space="preserve"> is approximat</w:t>
      </w:r>
      <w:r w:rsidR="007E6F9D">
        <w:rPr>
          <w:lang w:val="en-GB" w:eastAsia="zh-CN"/>
        </w:rPr>
        <w:t>e</w:t>
      </w:r>
      <w:r w:rsidR="001909ED">
        <w:rPr>
          <w:lang w:val="en-GB" w:eastAsia="zh-CN"/>
        </w:rPr>
        <w:t>ly</w:t>
      </w:r>
      <w:r w:rsidR="00BF17BB">
        <w:rPr>
          <w:lang w:val="en-GB" w:eastAsia="zh-CN"/>
        </w:rPr>
        <w:t xml:space="preserve"> the energy difference between the local T</w:t>
      </w:r>
      <w:r w:rsidR="00BF17BB">
        <w:rPr>
          <w:vertAlign w:val="subscript"/>
          <w:lang w:val="en-GB" w:eastAsia="zh-CN"/>
        </w:rPr>
        <w:t>1</w:t>
      </w:r>
      <w:r w:rsidR="00BF17BB">
        <w:rPr>
          <w:lang w:val="en-GB" w:eastAsia="zh-CN"/>
        </w:rPr>
        <w:t xml:space="preserve"> state and the CTE state</w:t>
      </w:r>
      <w:r w:rsidR="006A0180">
        <w:rPr>
          <w:lang w:val="en-GB" w:eastAsia="zh-CN"/>
        </w:rPr>
        <w:t>. Note that the energy difference between singlet CTE (</w:t>
      </w:r>
      <w:r w:rsidR="006A0180">
        <w:rPr>
          <w:vertAlign w:val="superscript"/>
          <w:lang w:val="en-GB" w:eastAsia="zh-CN"/>
        </w:rPr>
        <w:t>1</w:t>
      </w:r>
      <w:r w:rsidR="006A0180">
        <w:rPr>
          <w:lang w:val="en-GB" w:eastAsia="zh-CN"/>
        </w:rPr>
        <w:t>CTE) and triplet CTE (</w:t>
      </w:r>
      <w:r w:rsidR="006A0180">
        <w:rPr>
          <w:vertAlign w:val="superscript"/>
          <w:lang w:val="en-GB" w:eastAsia="zh-CN"/>
        </w:rPr>
        <w:t>3</w:t>
      </w:r>
      <w:r w:rsidR="006A0180">
        <w:rPr>
          <w:lang w:val="en-GB" w:eastAsia="zh-CN"/>
        </w:rPr>
        <w:t xml:space="preserve">CTE) is negligible </w:t>
      </w:r>
      <w:r w:rsidR="006A0180">
        <w:rPr>
          <w:lang w:val="en-GB" w:eastAsia="zh-CN"/>
        </w:rPr>
        <w:fldChar w:fldCharType="begin" w:fldLock="1"/>
      </w:r>
      <w:r w:rsidR="00B50CC7">
        <w:rPr>
          <w:lang w:val="en-GB" w:eastAsia="zh-CN"/>
        </w:rPr>
        <w:instrText>ADDIN CSL_CITATION {"citationItems":[{"id":"ITEM-1","itemData":{"DOI":"10.1002/aenm.201602713","ISSN":"16146832","author":[{"dropping-particle":"","family":"Chen","given":"Xian-kai","non-dropping-particle":"","parse-names":false,"suffix":""},{"dropping-particle":"","family":"Wang","given":"Tonghui","non-dropping-particle":"","parse-names":false,"suffix":""},{"dropping-particle":"","family":"Brédas","given":"Jean-luc","non-dropping-particle":"","parse-names":false,"suffix":""}],"container-title":"Advanced Energy Materials","id":"ITEM-1","issue":"15","issued":{"date-parts":[["2017","8"]]},"page":"1602713","title":"Suppressing Energy Loss due to Triplet Exciton Formation in Organic Solar Cells: The Role of Chemical Structures and Molecular Packing","type":"article-journal","volume":"7"},"uris":["http://www.mendeley.com/documents/?uuid=44e8bab6-9414-4ea8-8b33-56748023a03f"]}],"mendeley":{"formattedCitation":"&lt;sup&gt;15&lt;/sup&gt;","plainTextFormattedCitation":"15","previouslyFormattedCitation":"&lt;sup&gt;15&lt;/sup&gt;"},"properties":{"noteIndex":0},"schema":"https://github.com/citation-style-language/schema/raw/master/csl-citation.json"}</w:instrText>
      </w:r>
      <w:r w:rsidR="006A0180">
        <w:rPr>
          <w:lang w:val="en-GB" w:eastAsia="zh-CN"/>
        </w:rPr>
        <w:fldChar w:fldCharType="separate"/>
      </w:r>
      <w:r w:rsidR="006A0180" w:rsidRPr="006A0180">
        <w:rPr>
          <w:noProof/>
          <w:vertAlign w:val="superscript"/>
          <w:lang w:val="en-GB" w:eastAsia="zh-CN"/>
        </w:rPr>
        <w:t>15</w:t>
      </w:r>
      <w:r w:rsidR="006A0180">
        <w:rPr>
          <w:lang w:val="en-GB" w:eastAsia="zh-CN"/>
        </w:rPr>
        <w:fldChar w:fldCharType="end"/>
      </w:r>
      <w:r w:rsidR="006A0180">
        <w:rPr>
          <w:lang w:val="en-GB" w:eastAsia="zh-CN"/>
        </w:rPr>
        <w:t xml:space="preserve">. </w:t>
      </w:r>
      <w:r w:rsidR="00BF17BB">
        <w:rPr>
          <w:lang w:val="en-GB" w:eastAsia="zh-CN"/>
        </w:rPr>
        <w:t xml:space="preserve">The reorganization energy </w:t>
      </w:r>
      <m:oMath>
        <m:r>
          <w:rPr>
            <w:rFonts w:ascii="Cambria Math" w:hAnsi="Cambria Math"/>
            <w:lang w:val="en-GB" w:eastAsia="zh-CN"/>
          </w:rPr>
          <m:t>λ</m:t>
        </m:r>
      </m:oMath>
      <w:r w:rsidR="00BF17BB">
        <w:rPr>
          <w:lang w:val="en-GB" w:eastAsia="zh-CN"/>
        </w:rPr>
        <w:t xml:space="preserve"> is estimated to be 150 meV, and the electronic coupling </w:t>
      </w:r>
      <w:r w:rsidR="00BF17BB" w:rsidRPr="00121F3E">
        <w:rPr>
          <w:i/>
          <w:iCs/>
          <w:lang w:val="en-GB" w:eastAsia="zh-CN"/>
        </w:rPr>
        <w:t>V</w:t>
      </w:r>
      <w:r w:rsidR="00BF17BB">
        <w:rPr>
          <w:lang w:val="en-GB" w:eastAsia="zh-CN"/>
        </w:rPr>
        <w:t xml:space="preserve"> between the two states is assumed to be 10 cm</w:t>
      </w:r>
      <w:r w:rsidR="00BF17BB">
        <w:rPr>
          <w:vertAlign w:val="superscript"/>
          <w:lang w:val="en-GB" w:eastAsia="zh-CN"/>
        </w:rPr>
        <w:t>-1</w:t>
      </w:r>
      <w:r w:rsidR="00BF17BB">
        <w:rPr>
          <w:lang w:val="en-GB" w:eastAsia="zh-CN"/>
        </w:rPr>
        <w:t>. A maximum rate of ~5 x 10</w:t>
      </w:r>
      <w:r w:rsidR="00BF17BB">
        <w:rPr>
          <w:vertAlign w:val="superscript"/>
          <w:lang w:val="en-GB" w:eastAsia="zh-CN"/>
        </w:rPr>
        <w:t>10</w:t>
      </w:r>
      <w:r w:rsidR="00BF17BB">
        <w:rPr>
          <w:lang w:val="en-GB" w:eastAsia="zh-CN"/>
        </w:rPr>
        <w:t xml:space="preserve"> s</w:t>
      </w:r>
      <w:r w:rsidR="00BF17BB">
        <w:rPr>
          <w:vertAlign w:val="superscript"/>
          <w:lang w:val="en-GB" w:eastAsia="zh-CN"/>
        </w:rPr>
        <w:t>-1</w:t>
      </w:r>
      <w:r w:rsidR="00BF17BB">
        <w:rPr>
          <w:lang w:val="en-GB" w:eastAsia="zh-CN"/>
        </w:rPr>
        <w:t xml:space="preserve"> is reached for </w:t>
      </w:r>
      <m:oMath>
        <m:r>
          <w:rPr>
            <w:rFonts w:ascii="Cambria Math" w:hAnsi="Cambria Math"/>
            <w:lang w:val="en-GB" w:eastAsia="zh-CN"/>
          </w:rPr>
          <m:t>-∆G</m:t>
        </m:r>
      </m:oMath>
      <w:r w:rsidR="00BF17BB">
        <w:rPr>
          <w:lang w:val="en-GB" w:eastAsia="zh-CN"/>
        </w:rPr>
        <w:t xml:space="preserve"> of about 0.1 eV</w:t>
      </w:r>
      <w:r w:rsidR="003744C8">
        <w:rPr>
          <w:lang w:val="en-GB" w:eastAsia="zh-CN"/>
        </w:rPr>
        <w:t>, which</w:t>
      </w:r>
      <w:r w:rsidR="00BF17BB">
        <w:rPr>
          <w:lang w:val="en-GB" w:eastAsia="zh-CN"/>
        </w:rPr>
        <w:t xml:space="preserve"> </w:t>
      </w:r>
      <w:r w:rsidR="003744C8" w:rsidRPr="003744C8">
        <w:rPr>
          <w:lang w:val="en-GB" w:eastAsia="zh-CN"/>
        </w:rPr>
        <w:t>applies to P3TEA:PCBM as a result of the high T</w:t>
      </w:r>
      <w:r w:rsidR="003744C8" w:rsidRPr="003744C8">
        <w:rPr>
          <w:vertAlign w:val="subscript"/>
          <w:lang w:val="en-GB" w:eastAsia="zh-CN"/>
        </w:rPr>
        <w:t>1</w:t>
      </w:r>
      <w:r w:rsidR="003744C8" w:rsidRPr="003744C8">
        <w:rPr>
          <w:lang w:val="en-GB" w:eastAsia="zh-CN"/>
        </w:rPr>
        <w:t xml:space="preserve"> energy of PCBM (</w:t>
      </w:r>
      <w:r w:rsidR="003744C8">
        <w:rPr>
          <w:lang w:val="en-GB" w:eastAsia="zh-CN"/>
        </w:rPr>
        <w:t>~</w:t>
      </w:r>
      <w:r w:rsidR="003744C8" w:rsidRPr="003744C8">
        <w:rPr>
          <w:lang w:val="en-GB" w:eastAsia="zh-CN"/>
        </w:rPr>
        <w:t>1.5 eV)</w:t>
      </w:r>
      <w:r w:rsidR="00420671">
        <w:rPr>
          <w:lang w:val="en-GB" w:eastAsia="zh-CN"/>
        </w:rPr>
        <w:t>, while</w:t>
      </w:r>
      <w:r w:rsidR="003744C8" w:rsidRPr="003744C8">
        <w:rPr>
          <w:lang w:val="en-GB" w:eastAsia="zh-CN"/>
        </w:rPr>
        <w:t xml:space="preserve"> for the two NFA blends</w:t>
      </w:r>
      <w:r w:rsidR="00420671">
        <w:rPr>
          <w:lang w:val="en-GB" w:eastAsia="zh-CN"/>
        </w:rPr>
        <w:t xml:space="preserve"> the </w:t>
      </w:r>
      <w:r w:rsidR="003744C8" w:rsidRPr="003744C8">
        <w:rPr>
          <w:lang w:val="en-GB" w:eastAsia="zh-CN"/>
        </w:rPr>
        <w:t>transition rate</w:t>
      </w:r>
      <w:r w:rsidR="003744C8">
        <w:rPr>
          <w:lang w:val="en-GB" w:eastAsia="zh-CN"/>
        </w:rPr>
        <w:t>s</w:t>
      </w:r>
      <w:r w:rsidR="003744C8" w:rsidRPr="003744C8">
        <w:rPr>
          <w:lang w:val="en-GB" w:eastAsia="zh-CN"/>
        </w:rPr>
        <w:t xml:space="preserve"> </w:t>
      </w:r>
      <w:r w:rsidR="003744C8">
        <w:rPr>
          <w:lang w:val="en-GB" w:eastAsia="zh-CN"/>
        </w:rPr>
        <w:t xml:space="preserve">are several orders of magnitude slower </w:t>
      </w:r>
      <w:r w:rsidR="00420671">
        <w:rPr>
          <w:lang w:val="en-GB" w:eastAsia="zh-CN"/>
        </w:rPr>
        <w:t>since the</w:t>
      </w:r>
      <w:r w:rsidR="00420671" w:rsidRPr="003744C8">
        <w:rPr>
          <w:lang w:val="en-GB" w:eastAsia="zh-CN"/>
        </w:rPr>
        <w:t xml:space="preserve"> T</w:t>
      </w:r>
      <w:r w:rsidR="00420671" w:rsidRPr="003744C8">
        <w:rPr>
          <w:vertAlign w:val="subscript"/>
          <w:lang w:val="en-GB" w:eastAsia="zh-CN"/>
        </w:rPr>
        <w:t>1</w:t>
      </w:r>
      <w:r w:rsidR="00420671" w:rsidRPr="003744C8">
        <w:rPr>
          <w:lang w:val="en-GB" w:eastAsia="zh-CN"/>
        </w:rPr>
        <w:t xml:space="preserve"> energies </w:t>
      </w:r>
      <w:r w:rsidR="00420671">
        <w:rPr>
          <w:lang w:val="en-GB" w:eastAsia="zh-CN"/>
        </w:rPr>
        <w:t xml:space="preserve">of </w:t>
      </w:r>
      <w:r w:rsidR="00420671" w:rsidRPr="003744C8">
        <w:rPr>
          <w:lang w:val="en-GB" w:eastAsia="zh-CN"/>
        </w:rPr>
        <w:t xml:space="preserve">donor and acceptor are </w:t>
      </w:r>
      <w:r w:rsidR="00420671">
        <w:rPr>
          <w:lang w:val="en-GB" w:eastAsia="zh-CN"/>
        </w:rPr>
        <w:t>at least ~</w:t>
      </w:r>
      <w:r w:rsidR="00420671" w:rsidRPr="003744C8">
        <w:rPr>
          <w:lang w:val="en-GB" w:eastAsia="zh-CN"/>
        </w:rPr>
        <w:t>0.3</w:t>
      </w:r>
      <w:r w:rsidR="00420671">
        <w:rPr>
          <w:lang w:val="en-GB" w:eastAsia="zh-CN"/>
        </w:rPr>
        <w:t xml:space="preserve"> and ~</w:t>
      </w:r>
      <w:r w:rsidR="00420671" w:rsidRPr="003744C8">
        <w:rPr>
          <w:lang w:val="en-GB" w:eastAsia="zh-CN"/>
        </w:rPr>
        <w:t>0.</w:t>
      </w:r>
      <w:r w:rsidR="00420671">
        <w:rPr>
          <w:lang w:val="en-GB" w:eastAsia="zh-CN"/>
        </w:rPr>
        <w:t>5</w:t>
      </w:r>
      <w:r w:rsidR="00420671" w:rsidRPr="003744C8">
        <w:rPr>
          <w:lang w:val="en-GB" w:eastAsia="zh-CN"/>
        </w:rPr>
        <w:t xml:space="preserve"> eV below the CTE energy levels</w:t>
      </w:r>
      <w:r w:rsidR="00420671">
        <w:rPr>
          <w:lang w:val="en-GB" w:eastAsia="zh-CN"/>
        </w:rPr>
        <w:t xml:space="preserve">. The </w:t>
      </w:r>
      <w:r w:rsidR="003744C8" w:rsidRPr="003744C8">
        <w:rPr>
          <w:lang w:val="en-GB" w:eastAsia="zh-CN"/>
        </w:rPr>
        <w:t>thermal dissociation rate of CTEs</w:t>
      </w:r>
      <w:r w:rsidR="00420671">
        <w:rPr>
          <w:lang w:val="en-GB" w:eastAsia="zh-CN"/>
        </w:rPr>
        <w:t xml:space="preserve"> into free charges (</w:t>
      </w:r>
      <w:r w:rsidR="00420671" w:rsidRPr="00121F3E">
        <w:rPr>
          <w:i/>
          <w:iCs/>
          <w:lang w:val="en-GB" w:eastAsia="zh-CN"/>
        </w:rPr>
        <w:t>k</w:t>
      </w:r>
      <w:r w:rsidR="00420671" w:rsidRPr="00121F3E">
        <w:rPr>
          <w:i/>
          <w:iCs/>
          <w:vertAlign w:val="subscript"/>
          <w:lang w:val="en-GB" w:eastAsia="zh-CN"/>
        </w:rPr>
        <w:t>CTE</w:t>
      </w:r>
      <w:r w:rsidR="00420671" w:rsidRPr="00121F3E">
        <w:rPr>
          <w:i/>
          <w:iCs/>
          <w:vertAlign w:val="subscript"/>
          <w:lang w:val="en-GB" w:eastAsia="zh-CN"/>
        </w:rPr>
        <w:sym w:font="Wingdings" w:char="F0E0"/>
      </w:r>
      <w:r w:rsidR="00420671">
        <w:rPr>
          <w:i/>
          <w:iCs/>
          <w:vertAlign w:val="subscript"/>
          <w:lang w:val="en-GB" w:eastAsia="zh-CN"/>
        </w:rPr>
        <w:t>FC</w:t>
      </w:r>
      <w:r w:rsidR="00420671">
        <w:rPr>
          <w:lang w:val="en-GB" w:eastAsia="zh-CN"/>
        </w:rPr>
        <w:t>) is ~10</w:t>
      </w:r>
      <w:r w:rsidR="00420671">
        <w:rPr>
          <w:vertAlign w:val="superscript"/>
          <w:lang w:val="en-GB" w:eastAsia="zh-CN"/>
        </w:rPr>
        <w:t>10</w:t>
      </w:r>
      <w:r w:rsidR="00420671">
        <w:rPr>
          <w:lang w:val="en-GB" w:eastAsia="zh-CN"/>
        </w:rPr>
        <w:t xml:space="preserve"> s</w:t>
      </w:r>
      <w:r w:rsidR="00420671">
        <w:rPr>
          <w:vertAlign w:val="superscript"/>
          <w:lang w:val="en-GB" w:eastAsia="zh-CN"/>
        </w:rPr>
        <w:t>-1</w:t>
      </w:r>
      <w:r w:rsidR="00420671">
        <w:rPr>
          <w:lang w:val="en-GB" w:eastAsia="zh-CN"/>
        </w:rPr>
        <w:t xml:space="preserve"> (Ref. </w:t>
      </w:r>
      <w:r w:rsidR="00420671">
        <w:rPr>
          <w:lang w:val="en-GB" w:eastAsia="zh-CN"/>
        </w:rPr>
        <w:fldChar w:fldCharType="begin" w:fldLock="1"/>
      </w:r>
      <w:r w:rsidR="005D75E8">
        <w:rPr>
          <w:lang w:val="en-GB" w:eastAsia="zh-CN"/>
        </w:rPr>
        <w:instrText>ADDIN CSL_CITATION {"citationItems":[{"id":"ITEM-1","itemData":{"DOI":"10.1038/s41467-020-19332-5","ISBN":"4146702019332","ISSN":"2041-1723","abstract":"Organic solar cells based on non-fullerene acceptors can show high charge generation yields despite near-zero donor–acceptor energy offsets to drive charge separation and overcome the mutual Coulomb attraction between electron and hole. Here, we use time-resolved optical spectroscopy to show that free charges in these systems are generated by thermally activated dissociation of interfacial charge-transfer states that occurs over hundreds of picoseconds at room temperature, three orders of magnitude slower than comparable fullerene-based systems. Upon free electron–hole encounters at later times, both charge-transfer states and emissive excitons are regenerated, thus setting up an equilibrium between excitons, charge-transfer states and free charges. Our results suggest that the formation of long-lived and disorder-free charge-transfer states in these systems enables them to operate closely to quasi-thermodynamic conditions with no requirement for energy offsets to drive interfacial charge separation and achieve suppressed non-radiative recombination.","author":[{"dropping-particle":"","family":"Hinrichsen","given":"Ture F.","non-dropping-particle":"","parse-names":false,"suffix":""},{"dropping-particle":"","family":"Chan","given":"Christopher C. S.","non-dropping-particle":"","parse-names":false,"suffix":""},{"dropping-particle":"","family":"Ma","given":"Chao","non-dropping-particle":"","parse-names":false,"suffix":""},{"dropping-particle":"","family":"Paleček","given":"David","non-dropping-particle":"","parse-names":false,"suffix":""},{"dropping-particle":"","family":"Gillett","given":"Alexander","non-dropping-particle":"","parse-names":false,"suffix":""},{"dropping-particle":"","family":"Chen","given":"Shangshang","non-dropping-particle":"","parse-names":false,"suffix":""},{"dropping-particle":"","family":"Zou","given":"Xinhui","non-dropping-particle":"","parse-names":false,"suffix":""},{"dropping-particle":"","family":"Zhang","given":"Guichuan","non-dropping-particle":"","parse-names":false,"suffix":""},{"dropping-particle":"","family":"Yip","given":"Hin-Lap","non-dropping-particle":"","parse-names":false,"suffix":""},{"dropping-particle":"","family":"Wong","given":"Kam Sing","non-dropping-particle":"","parse-names":false,"suffix":""},{"dropping-particle":"","family":"Friend","given":"Richard H.","non-dropping-particle":"","parse-names":false,"suffix":""},{"dropping-particle":"","family":"Yan","given":"He","non-dropping-particle":"","parse-names":false,"suffix":""},{"dropping-particle":"","family":"Rao","given":"Akshay","non-dropping-particle":"","parse-names":false,"suffix":""},{"dropping-particle":"","family":"Chow","given":"Philip C. Y.","non-dropping-particle":"","parse-names":false,"suffix":""}],"container-title":"Nature Communications","id":"ITEM-1","issue":"1","issued":{"date-parts":[["2020","12","5"]]},"page":"5617","title":"Long-lived and disorder-free charge transfer states enable endothermic charge separation in efficient non-fullerene organic solar cells","type":"article-journal","volume":"11"},"uris":["http://www.mendeley.com/documents/?uuid=4811954e-9106-4bc9-bc5d-4fdec12073fa"]}],"mendeley":{"formattedCitation":"&lt;sup&gt;23&lt;/sup&gt;","plainTextFormattedCitation":"23","previouslyFormattedCitation":"&lt;sup&gt;23&lt;/sup&gt;"},"properties":{"noteIndex":0},"schema":"https://github.com/citation-style-language/schema/raw/master/csl-citation.json"}</w:instrText>
      </w:r>
      <w:r w:rsidR="00420671">
        <w:rPr>
          <w:lang w:val="en-GB" w:eastAsia="zh-CN"/>
        </w:rPr>
        <w:fldChar w:fldCharType="separate"/>
      </w:r>
      <w:r w:rsidR="005D75E8" w:rsidRPr="005D75E8">
        <w:rPr>
          <w:noProof/>
          <w:vertAlign w:val="superscript"/>
          <w:lang w:val="en-GB" w:eastAsia="zh-CN"/>
        </w:rPr>
        <w:t>23</w:t>
      </w:r>
      <w:r w:rsidR="00420671">
        <w:rPr>
          <w:lang w:val="en-GB" w:eastAsia="zh-CN"/>
        </w:rPr>
        <w:fldChar w:fldCharType="end"/>
      </w:r>
      <w:r w:rsidR="00420671">
        <w:rPr>
          <w:lang w:val="en-GB" w:eastAsia="zh-CN"/>
        </w:rPr>
        <w:t>; red-dashed line)</w:t>
      </w:r>
      <w:r w:rsidR="003744C8" w:rsidRPr="003744C8">
        <w:rPr>
          <w:lang w:val="en-GB" w:eastAsia="zh-CN"/>
        </w:rPr>
        <w:t xml:space="preserve">. </w:t>
      </w:r>
      <w:r w:rsidR="00D073A8">
        <w:rPr>
          <w:lang w:val="en-GB" w:eastAsia="zh-CN"/>
        </w:rPr>
        <w:t xml:space="preserve">The dependence of </w:t>
      </w:r>
      <w:r w:rsidR="00D073A8" w:rsidRPr="00121F3E">
        <w:rPr>
          <w:i/>
          <w:iCs/>
          <w:lang w:val="en-GB" w:eastAsia="zh-CN"/>
        </w:rPr>
        <w:t>k</w:t>
      </w:r>
      <w:r w:rsidR="00D073A8" w:rsidRPr="00121F3E">
        <w:rPr>
          <w:i/>
          <w:iCs/>
          <w:vertAlign w:val="subscript"/>
          <w:lang w:val="en-GB" w:eastAsia="zh-CN"/>
        </w:rPr>
        <w:t>CTE</w:t>
      </w:r>
      <w:r w:rsidR="00D073A8" w:rsidRPr="00121F3E">
        <w:rPr>
          <w:i/>
          <w:iCs/>
          <w:vertAlign w:val="subscript"/>
          <w:lang w:val="en-GB" w:eastAsia="zh-CN"/>
        </w:rPr>
        <w:sym w:font="Wingdings" w:char="F0E0"/>
      </w:r>
      <w:r w:rsidR="00D073A8" w:rsidRPr="00121F3E">
        <w:rPr>
          <w:i/>
          <w:iCs/>
          <w:vertAlign w:val="subscript"/>
          <w:lang w:val="en-GB" w:eastAsia="zh-CN"/>
        </w:rPr>
        <w:t>T1</w:t>
      </w:r>
      <w:r w:rsidR="00D073A8">
        <w:rPr>
          <w:lang w:val="en-GB" w:eastAsia="zh-CN"/>
        </w:rPr>
        <w:t xml:space="preserve"> with electronic coupling and reorganization energy are shown in Fig. S5 in the Supporting Information. </w:t>
      </w:r>
      <w:r w:rsidR="0024786B">
        <w:rPr>
          <w:lang w:val="en-GB"/>
        </w:rPr>
        <w:t>(</w:t>
      </w:r>
      <w:r w:rsidR="003C177B">
        <w:rPr>
          <w:lang w:val="en-GB"/>
        </w:rPr>
        <w:t>b</w:t>
      </w:r>
      <w:r w:rsidR="0024786B">
        <w:rPr>
          <w:lang w:val="en-GB"/>
        </w:rPr>
        <w:t xml:space="preserve">) Schematic energy diagram illustrating </w:t>
      </w:r>
      <w:r w:rsidR="00420671">
        <w:rPr>
          <w:lang w:val="en-GB"/>
        </w:rPr>
        <w:t xml:space="preserve">the competition between triplet relaxation </w:t>
      </w:r>
      <w:r w:rsidR="00420671">
        <w:rPr>
          <w:lang w:val="en-GB" w:eastAsia="zh-CN"/>
        </w:rPr>
        <w:t>(</w:t>
      </w:r>
      <w:r w:rsidR="00420671" w:rsidRPr="00121F3E">
        <w:rPr>
          <w:i/>
          <w:iCs/>
          <w:lang w:val="en-GB" w:eastAsia="zh-CN"/>
        </w:rPr>
        <w:t>k</w:t>
      </w:r>
      <w:r w:rsidR="00420671" w:rsidRPr="00121F3E">
        <w:rPr>
          <w:i/>
          <w:iCs/>
          <w:vertAlign w:val="subscript"/>
          <w:lang w:val="en-GB" w:eastAsia="zh-CN"/>
        </w:rPr>
        <w:t>CTE</w:t>
      </w:r>
      <w:r w:rsidR="00420671" w:rsidRPr="00121F3E">
        <w:rPr>
          <w:i/>
          <w:iCs/>
          <w:vertAlign w:val="subscript"/>
          <w:lang w:val="en-GB" w:eastAsia="zh-CN"/>
        </w:rPr>
        <w:sym w:font="Wingdings" w:char="F0E0"/>
      </w:r>
      <w:r w:rsidR="00420671" w:rsidRPr="00121F3E">
        <w:rPr>
          <w:i/>
          <w:iCs/>
          <w:vertAlign w:val="subscript"/>
          <w:lang w:val="en-GB" w:eastAsia="zh-CN"/>
        </w:rPr>
        <w:t>T1</w:t>
      </w:r>
      <w:r w:rsidR="00420671">
        <w:rPr>
          <w:lang w:val="en-GB" w:eastAsia="zh-CN"/>
        </w:rPr>
        <w:t>) and CTE separation (</w:t>
      </w:r>
      <w:r w:rsidR="00420671" w:rsidRPr="00121F3E">
        <w:rPr>
          <w:i/>
          <w:iCs/>
          <w:lang w:val="en-GB" w:eastAsia="zh-CN"/>
        </w:rPr>
        <w:t>k</w:t>
      </w:r>
      <w:r w:rsidR="00420671" w:rsidRPr="00121F3E">
        <w:rPr>
          <w:i/>
          <w:iCs/>
          <w:vertAlign w:val="subscript"/>
          <w:lang w:val="en-GB" w:eastAsia="zh-CN"/>
        </w:rPr>
        <w:t>CTE</w:t>
      </w:r>
      <w:r w:rsidR="00420671" w:rsidRPr="00121F3E">
        <w:rPr>
          <w:i/>
          <w:iCs/>
          <w:vertAlign w:val="subscript"/>
          <w:lang w:val="en-GB" w:eastAsia="zh-CN"/>
        </w:rPr>
        <w:sym w:font="Wingdings" w:char="F0E0"/>
      </w:r>
      <w:r w:rsidR="00420671">
        <w:rPr>
          <w:i/>
          <w:iCs/>
          <w:vertAlign w:val="subscript"/>
          <w:lang w:val="en-GB" w:eastAsia="zh-CN"/>
        </w:rPr>
        <w:t>FC</w:t>
      </w:r>
      <w:r w:rsidR="00420671">
        <w:rPr>
          <w:lang w:val="en-GB" w:eastAsia="zh-CN"/>
        </w:rPr>
        <w:t>) rates</w:t>
      </w:r>
      <w:r w:rsidR="0024786B">
        <w:rPr>
          <w:lang w:val="en-GB"/>
        </w:rPr>
        <w:t xml:space="preserve">. </w:t>
      </w:r>
      <w:r w:rsidR="00420671">
        <w:rPr>
          <w:lang w:val="en-GB"/>
        </w:rPr>
        <w:t>The small energy difference between CTE and PCBM T</w:t>
      </w:r>
      <w:r w:rsidR="00420671">
        <w:rPr>
          <w:vertAlign w:val="subscript"/>
          <w:lang w:val="en-GB"/>
        </w:rPr>
        <w:t>1</w:t>
      </w:r>
      <w:r w:rsidR="00420671">
        <w:rPr>
          <w:lang w:val="en-GB"/>
        </w:rPr>
        <w:t xml:space="preserve"> states in P3TEA:PCBM leads to much greater </w:t>
      </w:r>
      <w:r w:rsidR="00420671" w:rsidRPr="00121F3E">
        <w:rPr>
          <w:i/>
          <w:iCs/>
          <w:lang w:val="en-GB" w:eastAsia="zh-CN"/>
        </w:rPr>
        <w:t>k</w:t>
      </w:r>
      <w:r w:rsidR="00420671" w:rsidRPr="00121F3E">
        <w:rPr>
          <w:i/>
          <w:iCs/>
          <w:vertAlign w:val="subscript"/>
          <w:lang w:val="en-GB" w:eastAsia="zh-CN"/>
        </w:rPr>
        <w:t>CTE</w:t>
      </w:r>
      <w:r w:rsidR="00420671" w:rsidRPr="00121F3E">
        <w:rPr>
          <w:i/>
          <w:iCs/>
          <w:vertAlign w:val="subscript"/>
          <w:lang w:val="en-GB" w:eastAsia="zh-CN"/>
        </w:rPr>
        <w:sym w:font="Wingdings" w:char="F0E0"/>
      </w:r>
      <w:r w:rsidR="00420671" w:rsidRPr="00121F3E">
        <w:rPr>
          <w:i/>
          <w:iCs/>
          <w:vertAlign w:val="subscript"/>
          <w:lang w:val="en-GB" w:eastAsia="zh-CN"/>
        </w:rPr>
        <w:t>T1</w:t>
      </w:r>
      <w:r w:rsidR="00420671">
        <w:rPr>
          <w:lang w:val="en-GB" w:eastAsia="zh-CN"/>
        </w:rPr>
        <w:t xml:space="preserve"> compared to the two NFA blends</w:t>
      </w:r>
      <w:r w:rsidR="00502E7E">
        <w:rPr>
          <w:lang w:val="en-GB" w:eastAsia="zh-CN"/>
        </w:rPr>
        <w:t>.</w:t>
      </w:r>
    </w:p>
    <w:p w14:paraId="1FC46AEE" w14:textId="66087A95" w:rsidR="00B17320" w:rsidRDefault="00502E7E" w:rsidP="00502E7E">
      <w:pPr>
        <w:rPr>
          <w:lang w:val="en-GB" w:eastAsia="zh-CN"/>
        </w:rPr>
      </w:pPr>
      <w:r>
        <w:rPr>
          <w:lang w:val="en-GB" w:eastAsia="zh-CN"/>
        </w:rPr>
        <w:br w:type="page"/>
      </w:r>
    </w:p>
    <w:tbl>
      <w:tblPr>
        <w:tblW w:w="4322" w:type="pct"/>
        <w:tblLook w:val="04A0" w:firstRow="1" w:lastRow="0" w:firstColumn="1" w:lastColumn="0" w:noHBand="0" w:noVBand="1"/>
      </w:tblPr>
      <w:tblGrid>
        <w:gridCol w:w="1669"/>
        <w:gridCol w:w="786"/>
        <w:gridCol w:w="858"/>
        <w:gridCol w:w="1030"/>
        <w:gridCol w:w="783"/>
        <w:gridCol w:w="728"/>
        <w:gridCol w:w="758"/>
        <w:gridCol w:w="1230"/>
      </w:tblGrid>
      <w:tr w:rsidR="00900389" w:rsidRPr="00CF5392" w14:paraId="78249995" w14:textId="77777777" w:rsidTr="00900389">
        <w:trPr>
          <w:trHeight w:val="437"/>
        </w:trPr>
        <w:tc>
          <w:tcPr>
            <w:tcW w:w="1064" w:type="pct"/>
            <w:tcBorders>
              <w:top w:val="single" w:sz="4" w:space="0" w:color="auto"/>
              <w:bottom w:val="single" w:sz="4" w:space="0" w:color="auto"/>
            </w:tcBorders>
            <w:vAlign w:val="center"/>
          </w:tcPr>
          <w:p w14:paraId="4D46F61D" w14:textId="77777777" w:rsidR="00900389" w:rsidRPr="00CF5392" w:rsidRDefault="00900389" w:rsidP="00143264">
            <w:pPr>
              <w:pStyle w:val="Legend"/>
              <w:jc w:val="center"/>
              <w:rPr>
                <w:sz w:val="21"/>
                <w:szCs w:val="13"/>
              </w:rPr>
            </w:pPr>
          </w:p>
        </w:tc>
        <w:tc>
          <w:tcPr>
            <w:tcW w:w="501" w:type="pct"/>
            <w:tcBorders>
              <w:top w:val="single" w:sz="4" w:space="0" w:color="auto"/>
              <w:bottom w:val="single" w:sz="4" w:space="0" w:color="auto"/>
            </w:tcBorders>
            <w:vAlign w:val="center"/>
          </w:tcPr>
          <w:p w14:paraId="365CA594" w14:textId="77777777" w:rsidR="00900389" w:rsidRPr="00CF5392" w:rsidRDefault="00900389" w:rsidP="00143264">
            <w:pPr>
              <w:pStyle w:val="Legend"/>
              <w:jc w:val="center"/>
              <w:rPr>
                <w:sz w:val="21"/>
                <w:szCs w:val="13"/>
              </w:rPr>
            </w:pPr>
            <w:r w:rsidRPr="00CF5392">
              <w:rPr>
                <w:sz w:val="21"/>
                <w:szCs w:val="13"/>
              </w:rPr>
              <w:t>V</w:t>
            </w:r>
            <w:r w:rsidRPr="00CF5392">
              <w:rPr>
                <w:sz w:val="21"/>
                <w:szCs w:val="13"/>
                <w:vertAlign w:val="subscript"/>
              </w:rPr>
              <w:t>OC</w:t>
            </w:r>
            <w:r w:rsidRPr="00CF5392">
              <w:rPr>
                <w:sz w:val="21"/>
                <w:szCs w:val="13"/>
              </w:rPr>
              <w:t xml:space="preserve"> (V)</w:t>
            </w:r>
            <w:r w:rsidRPr="00CF5392">
              <w:rPr>
                <w:sz w:val="21"/>
                <w:szCs w:val="13"/>
                <w:vertAlign w:val="superscript"/>
              </w:rPr>
              <w:t>a</w:t>
            </w:r>
          </w:p>
        </w:tc>
        <w:tc>
          <w:tcPr>
            <w:tcW w:w="547" w:type="pct"/>
            <w:tcBorders>
              <w:top w:val="single" w:sz="4" w:space="0" w:color="auto"/>
              <w:bottom w:val="single" w:sz="4" w:space="0" w:color="auto"/>
            </w:tcBorders>
            <w:vAlign w:val="center"/>
          </w:tcPr>
          <w:p w14:paraId="1B48FFF3" w14:textId="77777777" w:rsidR="00900389" w:rsidRPr="00CF5392" w:rsidRDefault="00900389" w:rsidP="00143264">
            <w:pPr>
              <w:pStyle w:val="Legend"/>
              <w:jc w:val="center"/>
              <w:rPr>
                <w:sz w:val="21"/>
                <w:szCs w:val="13"/>
              </w:rPr>
            </w:pPr>
            <w:proofErr w:type="spellStart"/>
            <w:r w:rsidRPr="00CF5392">
              <w:rPr>
                <w:sz w:val="21"/>
                <w:szCs w:val="13"/>
              </w:rPr>
              <w:t>E</w:t>
            </w:r>
            <w:r w:rsidRPr="00CF5392">
              <w:rPr>
                <w:sz w:val="21"/>
                <w:szCs w:val="13"/>
                <w:vertAlign w:val="subscript"/>
              </w:rPr>
              <w:t>g</w:t>
            </w:r>
            <w:proofErr w:type="spellEnd"/>
            <w:r w:rsidRPr="00CF5392">
              <w:rPr>
                <w:sz w:val="21"/>
                <w:szCs w:val="13"/>
              </w:rPr>
              <w:t>/q – V</w:t>
            </w:r>
            <w:r w:rsidRPr="00CF5392">
              <w:rPr>
                <w:sz w:val="21"/>
                <w:szCs w:val="13"/>
                <w:vertAlign w:val="subscript"/>
              </w:rPr>
              <w:t>OC</w:t>
            </w:r>
            <w:r w:rsidRPr="00CF5392">
              <w:rPr>
                <w:sz w:val="21"/>
                <w:szCs w:val="13"/>
              </w:rPr>
              <w:t xml:space="preserve"> (V)</w:t>
            </w:r>
            <w:r w:rsidRPr="00CF5392">
              <w:rPr>
                <w:sz w:val="21"/>
                <w:szCs w:val="13"/>
                <w:vertAlign w:val="superscript"/>
              </w:rPr>
              <w:t>b</w:t>
            </w:r>
          </w:p>
        </w:tc>
        <w:tc>
          <w:tcPr>
            <w:tcW w:w="657" w:type="pct"/>
            <w:tcBorders>
              <w:top w:val="single" w:sz="4" w:space="0" w:color="auto"/>
              <w:bottom w:val="single" w:sz="4" w:space="0" w:color="auto"/>
            </w:tcBorders>
            <w:vAlign w:val="center"/>
          </w:tcPr>
          <w:p w14:paraId="5A8FD74E" w14:textId="77777777" w:rsidR="00900389" w:rsidRPr="00CF5392" w:rsidRDefault="00900389" w:rsidP="00143264">
            <w:pPr>
              <w:pStyle w:val="Legend"/>
              <w:jc w:val="center"/>
              <w:rPr>
                <w:sz w:val="21"/>
                <w:szCs w:val="13"/>
              </w:rPr>
            </w:pPr>
            <w:proofErr w:type="spellStart"/>
            <w:r w:rsidRPr="00CF5392">
              <w:rPr>
                <w:sz w:val="21"/>
                <w:szCs w:val="13"/>
              </w:rPr>
              <w:t>EQE</w:t>
            </w:r>
            <w:r w:rsidRPr="00CF5392">
              <w:rPr>
                <w:sz w:val="21"/>
                <w:szCs w:val="13"/>
                <w:vertAlign w:val="subscript"/>
              </w:rPr>
              <w:t>max</w:t>
            </w:r>
            <w:r w:rsidRPr="00CF5392">
              <w:rPr>
                <w:sz w:val="21"/>
                <w:szCs w:val="13"/>
                <w:vertAlign w:val="superscript"/>
              </w:rPr>
              <w:t>c</w:t>
            </w:r>
            <w:proofErr w:type="spellEnd"/>
          </w:p>
        </w:tc>
        <w:tc>
          <w:tcPr>
            <w:tcW w:w="499" w:type="pct"/>
            <w:tcBorders>
              <w:top w:val="single" w:sz="4" w:space="0" w:color="auto"/>
              <w:bottom w:val="single" w:sz="4" w:space="0" w:color="auto"/>
            </w:tcBorders>
            <w:vAlign w:val="center"/>
          </w:tcPr>
          <w:p w14:paraId="5B43B6DB" w14:textId="77777777" w:rsidR="00900389" w:rsidRPr="00CF5392" w:rsidRDefault="00900389" w:rsidP="00143264">
            <w:pPr>
              <w:pStyle w:val="Legend"/>
              <w:jc w:val="center"/>
              <w:rPr>
                <w:sz w:val="21"/>
                <w:szCs w:val="13"/>
              </w:rPr>
            </w:pPr>
            <w:r w:rsidRPr="00CF5392">
              <w:rPr>
                <w:sz w:val="21"/>
                <w:szCs w:val="13"/>
              </w:rPr>
              <w:t>E</w:t>
            </w:r>
            <w:r w:rsidRPr="00CF5392">
              <w:rPr>
                <w:sz w:val="21"/>
                <w:szCs w:val="13"/>
                <w:vertAlign w:val="subscript"/>
              </w:rPr>
              <w:t>CTE</w:t>
            </w:r>
            <w:r w:rsidRPr="00CF5392">
              <w:rPr>
                <w:sz w:val="21"/>
                <w:szCs w:val="13"/>
              </w:rPr>
              <w:t xml:space="preserve"> (eV)</w:t>
            </w:r>
            <w:r w:rsidRPr="00CF5392">
              <w:rPr>
                <w:sz w:val="21"/>
                <w:szCs w:val="13"/>
                <w:vertAlign w:val="superscript"/>
              </w:rPr>
              <w:t>d</w:t>
            </w:r>
          </w:p>
        </w:tc>
        <w:tc>
          <w:tcPr>
            <w:tcW w:w="464" w:type="pct"/>
            <w:tcBorders>
              <w:top w:val="single" w:sz="4" w:space="0" w:color="auto"/>
              <w:bottom w:val="single" w:sz="4" w:space="0" w:color="auto"/>
            </w:tcBorders>
          </w:tcPr>
          <w:p w14:paraId="4FCAE27F" w14:textId="77777777" w:rsidR="00900389" w:rsidRPr="00CF5392" w:rsidRDefault="00900389" w:rsidP="00143264">
            <w:pPr>
              <w:pStyle w:val="Legend"/>
              <w:jc w:val="center"/>
              <w:rPr>
                <w:sz w:val="21"/>
                <w:szCs w:val="13"/>
              </w:rPr>
            </w:pPr>
            <w:r w:rsidRPr="00CF5392">
              <w:rPr>
                <w:sz w:val="21"/>
                <w:szCs w:val="13"/>
              </w:rPr>
              <w:t>E</w:t>
            </w:r>
            <w:r w:rsidRPr="00CF5392">
              <w:rPr>
                <w:sz w:val="21"/>
                <w:szCs w:val="13"/>
                <w:vertAlign w:val="subscript"/>
              </w:rPr>
              <w:t xml:space="preserve">T1 </w:t>
            </w:r>
            <w:r w:rsidRPr="00CF5392">
              <w:rPr>
                <w:sz w:val="21"/>
                <w:szCs w:val="13"/>
                <w:vertAlign w:val="superscript"/>
              </w:rPr>
              <w:t xml:space="preserve">donor </w:t>
            </w:r>
            <w:r w:rsidRPr="00CF5392">
              <w:rPr>
                <w:sz w:val="21"/>
                <w:szCs w:val="13"/>
              </w:rPr>
              <w:t>(eV)</w:t>
            </w:r>
            <w:r w:rsidRPr="00CF5392">
              <w:rPr>
                <w:sz w:val="21"/>
                <w:szCs w:val="13"/>
                <w:vertAlign w:val="superscript"/>
              </w:rPr>
              <w:t>e</w:t>
            </w:r>
          </w:p>
        </w:tc>
        <w:tc>
          <w:tcPr>
            <w:tcW w:w="483" w:type="pct"/>
            <w:tcBorders>
              <w:top w:val="single" w:sz="4" w:space="0" w:color="auto"/>
              <w:bottom w:val="single" w:sz="4" w:space="0" w:color="auto"/>
            </w:tcBorders>
            <w:vAlign w:val="center"/>
          </w:tcPr>
          <w:p w14:paraId="35601467" w14:textId="77777777" w:rsidR="00900389" w:rsidRPr="00CF5392" w:rsidRDefault="00900389" w:rsidP="00143264">
            <w:pPr>
              <w:pStyle w:val="Legend"/>
              <w:jc w:val="center"/>
              <w:rPr>
                <w:sz w:val="21"/>
                <w:szCs w:val="13"/>
              </w:rPr>
            </w:pPr>
            <w:r w:rsidRPr="00CF5392">
              <w:rPr>
                <w:sz w:val="21"/>
                <w:szCs w:val="13"/>
              </w:rPr>
              <w:t>E</w:t>
            </w:r>
            <w:r w:rsidRPr="00CF5392">
              <w:rPr>
                <w:sz w:val="21"/>
                <w:szCs w:val="13"/>
                <w:vertAlign w:val="subscript"/>
              </w:rPr>
              <w:t xml:space="preserve">T1 </w:t>
            </w:r>
            <w:r w:rsidRPr="00CF5392">
              <w:rPr>
                <w:sz w:val="21"/>
                <w:szCs w:val="13"/>
                <w:vertAlign w:val="superscript"/>
              </w:rPr>
              <w:t xml:space="preserve">acceptor </w:t>
            </w:r>
            <w:r w:rsidRPr="00CF5392">
              <w:rPr>
                <w:sz w:val="21"/>
                <w:szCs w:val="13"/>
              </w:rPr>
              <w:t>(eV)</w:t>
            </w:r>
            <w:r w:rsidRPr="00CF5392">
              <w:rPr>
                <w:sz w:val="21"/>
                <w:szCs w:val="13"/>
                <w:vertAlign w:val="superscript"/>
              </w:rPr>
              <w:t>f</w:t>
            </w:r>
          </w:p>
        </w:tc>
        <w:tc>
          <w:tcPr>
            <w:tcW w:w="784" w:type="pct"/>
            <w:tcBorders>
              <w:top w:val="single" w:sz="4" w:space="0" w:color="auto"/>
              <w:bottom w:val="single" w:sz="4" w:space="0" w:color="auto"/>
            </w:tcBorders>
            <w:vAlign w:val="center"/>
          </w:tcPr>
          <w:p w14:paraId="41FB8D55" w14:textId="77777777" w:rsidR="00900389" w:rsidRPr="00CF5392" w:rsidRDefault="00900389" w:rsidP="00143264">
            <w:pPr>
              <w:pStyle w:val="Legend"/>
              <w:jc w:val="center"/>
              <w:rPr>
                <w:sz w:val="21"/>
                <w:szCs w:val="13"/>
              </w:rPr>
            </w:pPr>
            <w:proofErr w:type="spellStart"/>
            <w:r w:rsidRPr="00CF5392">
              <w:rPr>
                <w:sz w:val="21"/>
                <w:szCs w:val="13"/>
              </w:rPr>
              <w:t>E</w:t>
            </w:r>
            <w:r w:rsidRPr="00CF5392">
              <w:rPr>
                <w:sz w:val="21"/>
                <w:szCs w:val="13"/>
                <w:vertAlign w:val="subscript"/>
              </w:rPr>
              <w:t>g</w:t>
            </w:r>
            <w:proofErr w:type="spellEnd"/>
            <w:r w:rsidRPr="00CF5392">
              <w:rPr>
                <w:sz w:val="21"/>
                <w:szCs w:val="13"/>
                <w:vertAlign w:val="subscript"/>
              </w:rPr>
              <w:t xml:space="preserve"> </w:t>
            </w:r>
            <w:r w:rsidRPr="00CF5392">
              <w:rPr>
                <w:sz w:val="21"/>
                <w:szCs w:val="13"/>
              </w:rPr>
              <w:t>– E</w:t>
            </w:r>
            <w:r w:rsidRPr="00CF5392">
              <w:rPr>
                <w:sz w:val="21"/>
                <w:szCs w:val="13"/>
                <w:vertAlign w:val="subscript"/>
              </w:rPr>
              <w:t xml:space="preserve">CTE </w:t>
            </w:r>
            <w:r w:rsidRPr="00CF5392">
              <w:rPr>
                <w:sz w:val="21"/>
                <w:szCs w:val="13"/>
              </w:rPr>
              <w:t>(eV)</w:t>
            </w:r>
          </w:p>
        </w:tc>
      </w:tr>
      <w:tr w:rsidR="00900389" w:rsidRPr="00CF5392" w14:paraId="26A8D1AB" w14:textId="77777777" w:rsidTr="00900389">
        <w:trPr>
          <w:trHeight w:val="218"/>
        </w:trPr>
        <w:tc>
          <w:tcPr>
            <w:tcW w:w="1064" w:type="pct"/>
            <w:tcBorders>
              <w:top w:val="single" w:sz="4" w:space="0" w:color="auto"/>
            </w:tcBorders>
            <w:vAlign w:val="center"/>
          </w:tcPr>
          <w:p w14:paraId="2F24DE18" w14:textId="77777777" w:rsidR="00900389" w:rsidRPr="00CF5392" w:rsidRDefault="00900389" w:rsidP="00F32BC7">
            <w:pPr>
              <w:pStyle w:val="Legend"/>
              <w:jc w:val="center"/>
              <w:rPr>
                <w:sz w:val="21"/>
                <w:szCs w:val="13"/>
              </w:rPr>
            </w:pPr>
            <w:r w:rsidRPr="00CF5392">
              <w:rPr>
                <w:sz w:val="21"/>
                <w:szCs w:val="13"/>
              </w:rPr>
              <w:t>P3TEA:SF-PDI</w:t>
            </w:r>
            <w:r w:rsidRPr="00CF5392">
              <w:rPr>
                <w:sz w:val="21"/>
                <w:szCs w:val="13"/>
                <w:vertAlign w:val="subscript"/>
              </w:rPr>
              <w:t>2</w:t>
            </w:r>
          </w:p>
        </w:tc>
        <w:tc>
          <w:tcPr>
            <w:tcW w:w="501" w:type="pct"/>
            <w:tcBorders>
              <w:top w:val="single" w:sz="4" w:space="0" w:color="auto"/>
            </w:tcBorders>
            <w:vAlign w:val="center"/>
          </w:tcPr>
          <w:p w14:paraId="34690707" w14:textId="77777777" w:rsidR="00900389" w:rsidRPr="00CF5392" w:rsidRDefault="00900389" w:rsidP="00F32BC7">
            <w:pPr>
              <w:pStyle w:val="Legend"/>
              <w:jc w:val="center"/>
              <w:rPr>
                <w:sz w:val="21"/>
                <w:szCs w:val="13"/>
              </w:rPr>
            </w:pPr>
            <w:r w:rsidRPr="00CF5392">
              <w:rPr>
                <w:sz w:val="21"/>
                <w:szCs w:val="13"/>
              </w:rPr>
              <w:t xml:space="preserve">1.11 </w:t>
            </w:r>
          </w:p>
        </w:tc>
        <w:tc>
          <w:tcPr>
            <w:tcW w:w="547" w:type="pct"/>
            <w:tcBorders>
              <w:top w:val="single" w:sz="4" w:space="0" w:color="auto"/>
            </w:tcBorders>
            <w:vAlign w:val="center"/>
          </w:tcPr>
          <w:p w14:paraId="3C3F55E2" w14:textId="77777777" w:rsidR="00900389" w:rsidRPr="00CF5392" w:rsidRDefault="00900389" w:rsidP="00F32BC7">
            <w:pPr>
              <w:pStyle w:val="Legend"/>
              <w:jc w:val="center"/>
              <w:rPr>
                <w:sz w:val="21"/>
                <w:szCs w:val="13"/>
              </w:rPr>
            </w:pPr>
            <w:r w:rsidRPr="00CF5392">
              <w:rPr>
                <w:sz w:val="21"/>
                <w:szCs w:val="13"/>
              </w:rPr>
              <w:t>0.61</w:t>
            </w:r>
          </w:p>
        </w:tc>
        <w:tc>
          <w:tcPr>
            <w:tcW w:w="657" w:type="pct"/>
            <w:tcBorders>
              <w:top w:val="single" w:sz="4" w:space="0" w:color="auto"/>
            </w:tcBorders>
            <w:vAlign w:val="center"/>
          </w:tcPr>
          <w:p w14:paraId="64CE9DBC" w14:textId="77777777" w:rsidR="00900389" w:rsidRPr="00CF5392" w:rsidRDefault="00900389" w:rsidP="00F32BC7">
            <w:pPr>
              <w:pStyle w:val="Legend"/>
              <w:jc w:val="center"/>
              <w:rPr>
                <w:sz w:val="21"/>
                <w:szCs w:val="13"/>
              </w:rPr>
            </w:pPr>
            <w:r w:rsidRPr="00CF5392">
              <w:rPr>
                <w:sz w:val="21"/>
                <w:szCs w:val="13"/>
              </w:rPr>
              <w:t>66%</w:t>
            </w:r>
          </w:p>
        </w:tc>
        <w:tc>
          <w:tcPr>
            <w:tcW w:w="499" w:type="pct"/>
            <w:tcBorders>
              <w:top w:val="single" w:sz="4" w:space="0" w:color="auto"/>
            </w:tcBorders>
            <w:vAlign w:val="center"/>
          </w:tcPr>
          <w:p w14:paraId="65861EF2" w14:textId="77777777" w:rsidR="00900389" w:rsidRPr="00CF5392" w:rsidRDefault="00900389" w:rsidP="00F32BC7">
            <w:pPr>
              <w:pStyle w:val="Legend"/>
              <w:jc w:val="center"/>
              <w:rPr>
                <w:sz w:val="21"/>
                <w:szCs w:val="13"/>
              </w:rPr>
            </w:pPr>
            <w:r w:rsidRPr="00CF5392">
              <w:rPr>
                <w:sz w:val="21"/>
                <w:szCs w:val="13"/>
              </w:rPr>
              <w:t xml:space="preserve">1.72 </w:t>
            </w:r>
          </w:p>
        </w:tc>
        <w:tc>
          <w:tcPr>
            <w:tcW w:w="464" w:type="pct"/>
            <w:tcBorders>
              <w:top w:val="single" w:sz="4" w:space="0" w:color="auto"/>
            </w:tcBorders>
            <w:vAlign w:val="center"/>
          </w:tcPr>
          <w:p w14:paraId="655E0819" w14:textId="77777777" w:rsidR="00900389" w:rsidRPr="00CF5392" w:rsidRDefault="00900389" w:rsidP="00F32BC7">
            <w:pPr>
              <w:pStyle w:val="Legend"/>
              <w:jc w:val="center"/>
              <w:rPr>
                <w:sz w:val="21"/>
                <w:szCs w:val="13"/>
              </w:rPr>
            </w:pPr>
            <w:r w:rsidRPr="00CF5392">
              <w:rPr>
                <w:sz w:val="21"/>
                <w:szCs w:val="13"/>
              </w:rPr>
              <w:t>1.2</w:t>
            </w:r>
          </w:p>
        </w:tc>
        <w:tc>
          <w:tcPr>
            <w:tcW w:w="483" w:type="pct"/>
            <w:tcBorders>
              <w:top w:val="single" w:sz="4" w:space="0" w:color="auto"/>
            </w:tcBorders>
            <w:vAlign w:val="center"/>
          </w:tcPr>
          <w:p w14:paraId="63698D48" w14:textId="71091AFF" w:rsidR="00900389" w:rsidRPr="00CF5392" w:rsidRDefault="00900389" w:rsidP="00F32BC7">
            <w:pPr>
              <w:pStyle w:val="Legend"/>
              <w:jc w:val="center"/>
              <w:rPr>
                <w:sz w:val="21"/>
                <w:szCs w:val="13"/>
              </w:rPr>
            </w:pPr>
            <w:r w:rsidRPr="00CF5392">
              <w:rPr>
                <w:sz w:val="21"/>
                <w:szCs w:val="13"/>
              </w:rPr>
              <w:t>1.</w:t>
            </w:r>
            <w:r w:rsidR="000A799C">
              <w:rPr>
                <w:sz w:val="21"/>
                <w:szCs w:val="13"/>
              </w:rPr>
              <w:t>2</w:t>
            </w:r>
          </w:p>
        </w:tc>
        <w:tc>
          <w:tcPr>
            <w:tcW w:w="784" w:type="pct"/>
            <w:tcBorders>
              <w:top w:val="single" w:sz="4" w:space="0" w:color="auto"/>
            </w:tcBorders>
            <w:vAlign w:val="center"/>
          </w:tcPr>
          <w:p w14:paraId="635DFA11" w14:textId="77777777" w:rsidR="00900389" w:rsidRPr="00CF5392" w:rsidRDefault="00900389" w:rsidP="00F32BC7">
            <w:pPr>
              <w:pStyle w:val="Legend"/>
              <w:jc w:val="center"/>
              <w:rPr>
                <w:sz w:val="21"/>
                <w:szCs w:val="13"/>
              </w:rPr>
            </w:pPr>
            <w:r w:rsidRPr="00CF5392">
              <w:rPr>
                <w:sz w:val="21"/>
                <w:szCs w:val="13"/>
              </w:rPr>
              <w:t>Negligible</w:t>
            </w:r>
          </w:p>
        </w:tc>
      </w:tr>
      <w:tr w:rsidR="00900389" w:rsidRPr="00CF5392" w14:paraId="679BDCAA" w14:textId="77777777" w:rsidTr="00900389">
        <w:trPr>
          <w:trHeight w:val="218"/>
        </w:trPr>
        <w:tc>
          <w:tcPr>
            <w:tcW w:w="1064" w:type="pct"/>
            <w:vAlign w:val="center"/>
          </w:tcPr>
          <w:p w14:paraId="35805341" w14:textId="77777777" w:rsidR="00900389" w:rsidRPr="00CF5392" w:rsidRDefault="00900389" w:rsidP="00F32BC7">
            <w:pPr>
              <w:pStyle w:val="Legend"/>
              <w:jc w:val="center"/>
              <w:rPr>
                <w:sz w:val="21"/>
                <w:szCs w:val="13"/>
              </w:rPr>
            </w:pPr>
            <w:r w:rsidRPr="00CF5392">
              <w:rPr>
                <w:sz w:val="21"/>
                <w:szCs w:val="13"/>
              </w:rPr>
              <w:t>P3TEA:di-PDI</w:t>
            </w:r>
          </w:p>
        </w:tc>
        <w:tc>
          <w:tcPr>
            <w:tcW w:w="501" w:type="pct"/>
            <w:vAlign w:val="center"/>
          </w:tcPr>
          <w:p w14:paraId="1706BF0E" w14:textId="77777777" w:rsidR="00900389" w:rsidRPr="00CF5392" w:rsidRDefault="00900389" w:rsidP="00F32BC7">
            <w:pPr>
              <w:pStyle w:val="Legend"/>
              <w:jc w:val="center"/>
              <w:rPr>
                <w:sz w:val="21"/>
                <w:szCs w:val="13"/>
              </w:rPr>
            </w:pPr>
            <w:r w:rsidRPr="00CF5392">
              <w:rPr>
                <w:sz w:val="21"/>
                <w:szCs w:val="13"/>
              </w:rPr>
              <w:t xml:space="preserve">0.95 </w:t>
            </w:r>
          </w:p>
        </w:tc>
        <w:tc>
          <w:tcPr>
            <w:tcW w:w="547" w:type="pct"/>
            <w:vAlign w:val="center"/>
          </w:tcPr>
          <w:p w14:paraId="78DC38C6" w14:textId="77777777" w:rsidR="00900389" w:rsidRPr="00CF5392" w:rsidRDefault="00900389" w:rsidP="00F32BC7">
            <w:pPr>
              <w:pStyle w:val="Legend"/>
              <w:jc w:val="center"/>
              <w:rPr>
                <w:sz w:val="21"/>
                <w:szCs w:val="13"/>
              </w:rPr>
            </w:pPr>
            <w:r w:rsidRPr="00CF5392">
              <w:rPr>
                <w:sz w:val="21"/>
                <w:szCs w:val="13"/>
              </w:rPr>
              <w:t>0.77</w:t>
            </w:r>
          </w:p>
        </w:tc>
        <w:tc>
          <w:tcPr>
            <w:tcW w:w="657" w:type="pct"/>
            <w:vAlign w:val="center"/>
          </w:tcPr>
          <w:p w14:paraId="337B0914" w14:textId="77777777" w:rsidR="00900389" w:rsidRPr="00CF5392" w:rsidRDefault="00900389" w:rsidP="00F32BC7">
            <w:pPr>
              <w:pStyle w:val="Legend"/>
              <w:jc w:val="center"/>
              <w:rPr>
                <w:sz w:val="21"/>
                <w:szCs w:val="13"/>
              </w:rPr>
            </w:pPr>
            <w:r w:rsidRPr="00CF5392">
              <w:rPr>
                <w:sz w:val="21"/>
                <w:szCs w:val="13"/>
              </w:rPr>
              <w:t>62%</w:t>
            </w:r>
          </w:p>
        </w:tc>
        <w:tc>
          <w:tcPr>
            <w:tcW w:w="499" w:type="pct"/>
            <w:vAlign w:val="center"/>
          </w:tcPr>
          <w:p w14:paraId="12181591" w14:textId="77777777" w:rsidR="00900389" w:rsidRPr="00CF5392" w:rsidRDefault="00900389" w:rsidP="00F32BC7">
            <w:pPr>
              <w:pStyle w:val="Legend"/>
              <w:jc w:val="center"/>
              <w:rPr>
                <w:sz w:val="21"/>
                <w:szCs w:val="13"/>
              </w:rPr>
            </w:pPr>
            <w:r w:rsidRPr="00CF5392">
              <w:rPr>
                <w:sz w:val="21"/>
                <w:szCs w:val="13"/>
              </w:rPr>
              <w:t xml:space="preserve">1.52 </w:t>
            </w:r>
          </w:p>
        </w:tc>
        <w:tc>
          <w:tcPr>
            <w:tcW w:w="464" w:type="pct"/>
            <w:vAlign w:val="center"/>
          </w:tcPr>
          <w:p w14:paraId="41001239" w14:textId="77777777" w:rsidR="00900389" w:rsidRPr="00CF5392" w:rsidRDefault="00900389" w:rsidP="00F32BC7">
            <w:pPr>
              <w:pStyle w:val="Legend"/>
              <w:jc w:val="center"/>
              <w:rPr>
                <w:sz w:val="21"/>
                <w:szCs w:val="13"/>
              </w:rPr>
            </w:pPr>
            <w:r w:rsidRPr="00CF5392">
              <w:rPr>
                <w:sz w:val="21"/>
                <w:szCs w:val="13"/>
              </w:rPr>
              <w:t xml:space="preserve">1.2 </w:t>
            </w:r>
          </w:p>
        </w:tc>
        <w:tc>
          <w:tcPr>
            <w:tcW w:w="483" w:type="pct"/>
            <w:vAlign w:val="center"/>
          </w:tcPr>
          <w:p w14:paraId="3AC7F78A" w14:textId="71829B8C" w:rsidR="00900389" w:rsidRPr="00CF5392" w:rsidRDefault="00900389" w:rsidP="00F32BC7">
            <w:pPr>
              <w:pStyle w:val="Legend"/>
              <w:jc w:val="center"/>
              <w:rPr>
                <w:sz w:val="21"/>
                <w:szCs w:val="13"/>
              </w:rPr>
            </w:pPr>
            <w:r w:rsidRPr="00CF5392">
              <w:rPr>
                <w:sz w:val="21"/>
                <w:szCs w:val="13"/>
              </w:rPr>
              <w:t>1.</w:t>
            </w:r>
            <w:r w:rsidR="000A799C">
              <w:rPr>
                <w:sz w:val="21"/>
                <w:szCs w:val="13"/>
              </w:rPr>
              <w:t>2</w:t>
            </w:r>
            <w:r w:rsidRPr="00CF5392">
              <w:rPr>
                <w:sz w:val="21"/>
                <w:szCs w:val="13"/>
              </w:rPr>
              <w:t xml:space="preserve"> </w:t>
            </w:r>
          </w:p>
        </w:tc>
        <w:tc>
          <w:tcPr>
            <w:tcW w:w="784" w:type="pct"/>
            <w:vAlign w:val="center"/>
          </w:tcPr>
          <w:p w14:paraId="24703304" w14:textId="387EDAD8" w:rsidR="00900389" w:rsidRPr="00CF5392" w:rsidRDefault="009C1B23" w:rsidP="00F32BC7">
            <w:pPr>
              <w:pStyle w:val="Legend"/>
              <w:jc w:val="center"/>
              <w:rPr>
                <w:sz w:val="21"/>
                <w:szCs w:val="13"/>
              </w:rPr>
            </w:pPr>
            <w:r>
              <w:rPr>
                <w:sz w:val="21"/>
                <w:szCs w:val="13"/>
              </w:rPr>
              <w:t>~</w:t>
            </w:r>
            <w:r w:rsidR="00900389" w:rsidRPr="00CF5392">
              <w:rPr>
                <w:sz w:val="21"/>
                <w:szCs w:val="13"/>
              </w:rPr>
              <w:t xml:space="preserve">0.2 </w:t>
            </w:r>
          </w:p>
        </w:tc>
      </w:tr>
      <w:tr w:rsidR="00900389" w:rsidRPr="00CF5392" w14:paraId="60DCA09C" w14:textId="77777777" w:rsidTr="00900389">
        <w:trPr>
          <w:trHeight w:val="218"/>
        </w:trPr>
        <w:tc>
          <w:tcPr>
            <w:tcW w:w="1064" w:type="pct"/>
            <w:tcBorders>
              <w:bottom w:val="single" w:sz="4" w:space="0" w:color="auto"/>
            </w:tcBorders>
            <w:vAlign w:val="center"/>
          </w:tcPr>
          <w:p w14:paraId="616D5746" w14:textId="77777777" w:rsidR="00900389" w:rsidRPr="00CF5392" w:rsidRDefault="00900389" w:rsidP="00F32BC7">
            <w:pPr>
              <w:pStyle w:val="Legend"/>
              <w:jc w:val="center"/>
              <w:rPr>
                <w:sz w:val="21"/>
                <w:szCs w:val="13"/>
              </w:rPr>
            </w:pPr>
            <w:r w:rsidRPr="00CF5392">
              <w:rPr>
                <w:sz w:val="21"/>
                <w:szCs w:val="13"/>
              </w:rPr>
              <w:t>P3TEA:PCBM</w:t>
            </w:r>
          </w:p>
        </w:tc>
        <w:tc>
          <w:tcPr>
            <w:tcW w:w="501" w:type="pct"/>
            <w:tcBorders>
              <w:bottom w:val="single" w:sz="4" w:space="0" w:color="auto"/>
            </w:tcBorders>
            <w:vAlign w:val="center"/>
          </w:tcPr>
          <w:p w14:paraId="3AB9F963" w14:textId="77777777" w:rsidR="00900389" w:rsidRPr="00CF5392" w:rsidRDefault="00900389" w:rsidP="00F32BC7">
            <w:pPr>
              <w:pStyle w:val="Legend"/>
              <w:jc w:val="center"/>
              <w:rPr>
                <w:sz w:val="21"/>
                <w:szCs w:val="13"/>
              </w:rPr>
            </w:pPr>
            <w:r w:rsidRPr="00CF5392">
              <w:rPr>
                <w:sz w:val="21"/>
                <w:szCs w:val="13"/>
              </w:rPr>
              <w:t>0.89</w:t>
            </w:r>
          </w:p>
        </w:tc>
        <w:tc>
          <w:tcPr>
            <w:tcW w:w="547" w:type="pct"/>
            <w:tcBorders>
              <w:bottom w:val="single" w:sz="4" w:space="0" w:color="auto"/>
            </w:tcBorders>
            <w:vAlign w:val="center"/>
          </w:tcPr>
          <w:p w14:paraId="0BA12675" w14:textId="77777777" w:rsidR="00900389" w:rsidRPr="00CF5392" w:rsidRDefault="00900389" w:rsidP="00F32BC7">
            <w:pPr>
              <w:pStyle w:val="Legend"/>
              <w:jc w:val="center"/>
              <w:rPr>
                <w:sz w:val="21"/>
                <w:szCs w:val="13"/>
              </w:rPr>
            </w:pPr>
            <w:r w:rsidRPr="00CF5392">
              <w:rPr>
                <w:sz w:val="21"/>
                <w:szCs w:val="13"/>
              </w:rPr>
              <w:t>0.83</w:t>
            </w:r>
          </w:p>
        </w:tc>
        <w:tc>
          <w:tcPr>
            <w:tcW w:w="657" w:type="pct"/>
            <w:tcBorders>
              <w:bottom w:val="single" w:sz="4" w:space="0" w:color="auto"/>
            </w:tcBorders>
            <w:vAlign w:val="center"/>
          </w:tcPr>
          <w:p w14:paraId="404D01AA" w14:textId="77777777" w:rsidR="00900389" w:rsidRPr="00CF5392" w:rsidRDefault="00900389" w:rsidP="00F32BC7">
            <w:pPr>
              <w:pStyle w:val="Legend"/>
              <w:jc w:val="center"/>
              <w:rPr>
                <w:sz w:val="21"/>
                <w:szCs w:val="13"/>
              </w:rPr>
            </w:pPr>
            <w:r w:rsidRPr="00CF5392">
              <w:rPr>
                <w:sz w:val="21"/>
                <w:szCs w:val="13"/>
              </w:rPr>
              <w:t>65%</w:t>
            </w:r>
          </w:p>
        </w:tc>
        <w:tc>
          <w:tcPr>
            <w:tcW w:w="499" w:type="pct"/>
            <w:tcBorders>
              <w:bottom w:val="single" w:sz="4" w:space="0" w:color="auto"/>
            </w:tcBorders>
            <w:vAlign w:val="center"/>
          </w:tcPr>
          <w:p w14:paraId="6545A235" w14:textId="77777777" w:rsidR="00900389" w:rsidRPr="00CF5392" w:rsidRDefault="00900389" w:rsidP="00F32BC7">
            <w:pPr>
              <w:pStyle w:val="Legend"/>
              <w:jc w:val="center"/>
              <w:rPr>
                <w:sz w:val="21"/>
                <w:szCs w:val="13"/>
              </w:rPr>
            </w:pPr>
            <w:r w:rsidRPr="00CF5392">
              <w:rPr>
                <w:sz w:val="21"/>
                <w:szCs w:val="13"/>
              </w:rPr>
              <w:t xml:space="preserve">1.62 </w:t>
            </w:r>
          </w:p>
        </w:tc>
        <w:tc>
          <w:tcPr>
            <w:tcW w:w="464" w:type="pct"/>
            <w:tcBorders>
              <w:bottom w:val="single" w:sz="4" w:space="0" w:color="auto"/>
            </w:tcBorders>
            <w:vAlign w:val="center"/>
          </w:tcPr>
          <w:p w14:paraId="3B6CC816" w14:textId="77777777" w:rsidR="00900389" w:rsidRPr="00CF5392" w:rsidRDefault="00900389" w:rsidP="00F32BC7">
            <w:pPr>
              <w:pStyle w:val="Legend"/>
              <w:jc w:val="center"/>
              <w:rPr>
                <w:sz w:val="21"/>
                <w:szCs w:val="13"/>
              </w:rPr>
            </w:pPr>
            <w:r w:rsidRPr="00CF5392">
              <w:rPr>
                <w:sz w:val="21"/>
                <w:szCs w:val="13"/>
              </w:rPr>
              <w:t xml:space="preserve">1.2 </w:t>
            </w:r>
          </w:p>
        </w:tc>
        <w:tc>
          <w:tcPr>
            <w:tcW w:w="483" w:type="pct"/>
            <w:tcBorders>
              <w:bottom w:val="single" w:sz="4" w:space="0" w:color="auto"/>
            </w:tcBorders>
            <w:vAlign w:val="center"/>
          </w:tcPr>
          <w:p w14:paraId="5744BEFF" w14:textId="77777777" w:rsidR="00900389" w:rsidRPr="00CF5392" w:rsidRDefault="00900389" w:rsidP="00F32BC7">
            <w:pPr>
              <w:pStyle w:val="Legend"/>
              <w:jc w:val="center"/>
              <w:rPr>
                <w:sz w:val="21"/>
                <w:szCs w:val="13"/>
              </w:rPr>
            </w:pPr>
            <w:r w:rsidRPr="00CF5392">
              <w:rPr>
                <w:sz w:val="21"/>
                <w:szCs w:val="13"/>
              </w:rPr>
              <w:t xml:space="preserve">1.5 </w:t>
            </w:r>
          </w:p>
        </w:tc>
        <w:tc>
          <w:tcPr>
            <w:tcW w:w="784" w:type="pct"/>
            <w:tcBorders>
              <w:bottom w:val="single" w:sz="4" w:space="0" w:color="auto"/>
            </w:tcBorders>
            <w:vAlign w:val="center"/>
          </w:tcPr>
          <w:p w14:paraId="03600FA9" w14:textId="759E67C2" w:rsidR="00900389" w:rsidRPr="00CF5392" w:rsidRDefault="009C1B23" w:rsidP="00F32BC7">
            <w:pPr>
              <w:pStyle w:val="Legend"/>
              <w:jc w:val="center"/>
              <w:rPr>
                <w:sz w:val="21"/>
                <w:szCs w:val="13"/>
              </w:rPr>
            </w:pPr>
            <w:r>
              <w:rPr>
                <w:sz w:val="21"/>
                <w:szCs w:val="13"/>
              </w:rPr>
              <w:t>~</w:t>
            </w:r>
            <w:r w:rsidR="00900389" w:rsidRPr="00CF5392">
              <w:rPr>
                <w:sz w:val="21"/>
                <w:szCs w:val="13"/>
              </w:rPr>
              <w:t xml:space="preserve">0.1 </w:t>
            </w:r>
          </w:p>
        </w:tc>
      </w:tr>
    </w:tbl>
    <w:p w14:paraId="0B0A7989" w14:textId="77777777" w:rsidR="00B17320" w:rsidRDefault="00B17320" w:rsidP="009B62E4">
      <w:pPr>
        <w:pStyle w:val="Legend"/>
        <w:rPr>
          <w:lang w:val="en-GB"/>
        </w:rPr>
      </w:pPr>
    </w:p>
    <w:p w14:paraId="6043E93D" w14:textId="1936986D" w:rsidR="00BA013D" w:rsidRDefault="00EC07E8" w:rsidP="00725CEB">
      <w:pPr>
        <w:pStyle w:val="Legend"/>
        <w:jc w:val="both"/>
        <w:rPr>
          <w:lang w:val="en-GB"/>
        </w:rPr>
      </w:pPr>
      <w:r w:rsidRPr="00EC07E8">
        <w:rPr>
          <w:b/>
          <w:lang w:val="en-GB"/>
        </w:rPr>
        <w:t>Table 1.</w:t>
      </w:r>
      <w:r w:rsidR="00D5615A">
        <w:rPr>
          <w:b/>
          <w:lang w:val="en-GB"/>
        </w:rPr>
        <w:t xml:space="preserve"> </w:t>
      </w:r>
      <w:r w:rsidR="00D5615A">
        <w:rPr>
          <w:lang w:val="en-GB"/>
        </w:rPr>
        <w:t xml:space="preserve">(a) </w:t>
      </w:r>
      <w:r w:rsidR="00C24B7C">
        <w:rPr>
          <w:lang w:val="en-GB"/>
        </w:rPr>
        <w:t>Device open-circuit voltage under 1 sun</w:t>
      </w:r>
      <w:r w:rsidR="00B37985">
        <w:rPr>
          <w:lang w:val="en-GB"/>
        </w:rPr>
        <w:t xml:space="preserve"> (V</w:t>
      </w:r>
      <w:r w:rsidR="00B37985">
        <w:rPr>
          <w:vertAlign w:val="subscript"/>
          <w:lang w:val="en-GB"/>
        </w:rPr>
        <w:t>OC</w:t>
      </w:r>
      <w:r w:rsidR="00B37985">
        <w:rPr>
          <w:lang w:val="en-GB"/>
        </w:rPr>
        <w:t>)</w:t>
      </w:r>
      <w:r w:rsidR="00C24B7C">
        <w:rPr>
          <w:lang w:val="en-GB"/>
        </w:rPr>
        <w:t xml:space="preserve">. (b) </w:t>
      </w:r>
      <w:r w:rsidR="00B37985">
        <w:rPr>
          <w:lang w:val="en-GB"/>
        </w:rPr>
        <w:t>Photo</w:t>
      </w:r>
      <w:r w:rsidR="00C24B7C">
        <w:rPr>
          <w:lang w:val="en-GB"/>
        </w:rPr>
        <w:t xml:space="preserve">voltage loss given by difference </w:t>
      </w:r>
      <w:r w:rsidR="0029684A">
        <w:rPr>
          <w:lang w:val="en-GB"/>
        </w:rPr>
        <w:t>between</w:t>
      </w:r>
      <w:r w:rsidR="00C24B7C">
        <w:rPr>
          <w:lang w:val="en-GB"/>
        </w:rPr>
        <w:t xml:space="preserve"> </w:t>
      </w:r>
      <w:r w:rsidR="00B37985">
        <w:rPr>
          <w:lang w:val="en-GB"/>
        </w:rPr>
        <w:t xml:space="preserve">optical </w:t>
      </w:r>
      <w:r w:rsidR="00C24B7C">
        <w:rPr>
          <w:lang w:val="en-GB"/>
        </w:rPr>
        <w:t xml:space="preserve">gap </w:t>
      </w:r>
      <w:r w:rsidR="0088304F">
        <w:rPr>
          <w:lang w:val="en-GB"/>
        </w:rPr>
        <w:t>(</w:t>
      </w:r>
      <w:proofErr w:type="spellStart"/>
      <w:r w:rsidR="00C24B7C">
        <w:rPr>
          <w:lang w:val="en-GB"/>
        </w:rPr>
        <w:t>E</w:t>
      </w:r>
      <w:r w:rsidR="00C24B7C">
        <w:rPr>
          <w:vertAlign w:val="subscript"/>
          <w:lang w:val="en-GB"/>
        </w:rPr>
        <w:t>g</w:t>
      </w:r>
      <w:proofErr w:type="spellEnd"/>
      <w:r w:rsidR="0088304F">
        <w:rPr>
          <w:lang w:val="en-GB"/>
        </w:rPr>
        <w:t>)</w:t>
      </w:r>
      <w:r w:rsidR="00C24B7C">
        <w:rPr>
          <w:lang w:val="en-GB"/>
        </w:rPr>
        <w:t xml:space="preserve"> and V</w:t>
      </w:r>
      <w:r w:rsidR="00C24B7C">
        <w:rPr>
          <w:vertAlign w:val="subscript"/>
          <w:lang w:val="en-GB"/>
        </w:rPr>
        <w:t>OC</w:t>
      </w:r>
      <w:r w:rsidR="00C24B7C">
        <w:rPr>
          <w:lang w:val="en-GB"/>
        </w:rPr>
        <w:t xml:space="preserve">. (c) Maximum external charge generation yield at short-circuit. (d) Energy of charge-transfer excitons determined by photoconductivity and emission measurements </w:t>
      </w:r>
      <w:r w:rsidR="00C24B7C">
        <w:rPr>
          <w:lang w:val="en-GB"/>
        </w:rPr>
        <w:fldChar w:fldCharType="begin" w:fldLock="1"/>
      </w:r>
      <w:r w:rsidR="005D75E8">
        <w:rPr>
          <w:lang w:val="en-GB"/>
        </w:rPr>
        <w:instrText>ADDIN CSL_CITATION {"citationItems":[{"id":"ITEM-1","itemData":{"DOI":"10.1038/nenergy.2016.89","ISBN":"0001415123","ISSN":"2058-7546","abstract":"Fast and efficient charge separation is essential to achieve high power conversion efficiency in organic solar cells (OSCs). In state-of-the-art OSCs, this is usually achieved by a significant driving force, defined as the offset between the bandgap (Egap) of the donor/acceptor materials and the energy of the charge transfer (CT) state (ECT), which is typically greater than 0.3 eV. The large driving force causes a relatively large voltage loss that hinders performance. Here, we report non-fullerene OSCs that exhibit ultrafast and efficient charge separation despite a negligible driving force, as ECT is nearly identical to Egap. Moreover, the small driving force is found to have minimal detrimental effects on charge transfer dynamics of the OSCs. We demonstrate a non-fullerene OSC with 9.5% efficiency and nearly 90% internal quantum efficiency despite a low voltage loss of 0.61 V. This creates a path towards highly efficient OSCs with a low voltage loss.","author":[{"dropping-particle":"","family":"Liu","given":"Jing","non-dropping-particle":"","parse-names":false,"suffix":""},{"dropping-particle":"","family":"Chen","given":"Shangshang","non-dropping-particle":"","parse-names":false,"suffix":""},{"dropping-particle":"","family":"Qian","given":"Deping","non-dropping-particle":"","parse-names":false,"suffix":""},{"dropping-particle":"","family":"Gautam","given":"Bhoj","non-dropping-particle":"","parse-names":false,"suffix":""},{"dropping-particle":"","family":"Yang","given":"Guofang","non-dropping-particle":"","parse-names":false,"suffix":""},{"dropping-particle":"","family":"Zhao","given":"Jingbo","non-dropping-particle":"","parse-names":false,"suffix":""},{"dropping-particle":"","family":"Bergqvist","given":"Jonas","non-dropping-particle":"","parse-names":false,"suffix":""},{"dropping-particle":"","family":"Zhang","given":"Fengling","non-dropping-particle":"","parse-names":false,"suffix":""},{"dropping-particle":"","family":"Ma","given":"Wei","non-dropping-particle":"","parse-names":false,"suffix":""},{"dropping-particle":"","family":"Ade","given":"Harald","non-dropping-particle":"","parse-names":false,"suffix":""},{"dropping-particle":"","family":"Inganäs","given":"Olle","non-dropping-particle":"","parse-names":false,"suffix":""},{"dropping-particle":"","family":"Gundogdu","given":"Kenan","non-dropping-particle":"","parse-names":false,"suffix":""},{"dropping-particle":"","family":"Gao","given":"Feng","non-dropping-particle":"","parse-names":false,"suffix":""},{"dropping-particle":"","family":"Yan","given":"He","non-dropping-particle":"","parse-names":false,"suffix":""}],"container-title":"Nature Energy","id":"ITEM-1","issue":"7","issued":{"date-parts":[["2016"]]},"page":"16089","title":"Fast charge separation in a non-fullerene organic solar cell with a small driving force","type":"article-journal","volume":"1"},"uris":["http://www.mendeley.com/documents/?uuid=1f9e4c77-a3fb-4f32-87c7-b5e54dafa4fb"]}],"mendeley":{"formattedCitation":"&lt;sup&gt;21&lt;/sup&gt;","plainTextFormattedCitation":"21","previouslyFormattedCitation":"&lt;sup&gt;21&lt;/sup&gt;"},"properties":{"noteIndex":0},"schema":"https://github.com/citation-style-language/schema/raw/master/csl-citation.json"}</w:instrText>
      </w:r>
      <w:r w:rsidR="00C24B7C">
        <w:rPr>
          <w:lang w:val="en-GB"/>
        </w:rPr>
        <w:fldChar w:fldCharType="separate"/>
      </w:r>
      <w:r w:rsidR="005D75E8" w:rsidRPr="005D75E8">
        <w:rPr>
          <w:noProof/>
          <w:vertAlign w:val="superscript"/>
          <w:lang w:val="en-GB"/>
        </w:rPr>
        <w:t>21</w:t>
      </w:r>
      <w:r w:rsidR="00C24B7C">
        <w:rPr>
          <w:lang w:val="en-GB"/>
        </w:rPr>
        <w:fldChar w:fldCharType="end"/>
      </w:r>
      <w:r w:rsidR="00C24B7C">
        <w:rPr>
          <w:lang w:val="en-GB"/>
        </w:rPr>
        <w:t xml:space="preserve">. </w:t>
      </w:r>
      <w:r w:rsidR="00F32BC7">
        <w:rPr>
          <w:lang w:val="en-GB"/>
        </w:rPr>
        <w:t>(e) Lowest triplet exciton level of P3TEA donor is estimated based on a</w:t>
      </w:r>
      <w:r w:rsidR="005A491B">
        <w:rPr>
          <w:lang w:val="en-GB"/>
        </w:rPr>
        <w:t xml:space="preserve"> </w:t>
      </w:r>
      <w:r w:rsidR="005A491B">
        <w:rPr>
          <w:lang w:val="en-GB"/>
        </w:rPr>
        <w:sym w:font="Symbol" w:char="F044"/>
      </w:r>
      <w:r w:rsidR="005A491B">
        <w:rPr>
          <w:lang w:val="en-GB"/>
        </w:rPr>
        <w:t>E</w:t>
      </w:r>
      <w:r w:rsidR="005A491B">
        <w:rPr>
          <w:vertAlign w:val="subscript"/>
          <w:lang w:val="en-GB"/>
        </w:rPr>
        <w:t>ST</w:t>
      </w:r>
      <w:r w:rsidR="005A491B" w:rsidRPr="00045547">
        <w:rPr>
          <w:lang w:val="en-GB"/>
        </w:rPr>
        <w:t xml:space="preserve"> </w:t>
      </w:r>
      <w:r w:rsidR="00F32BC7">
        <w:rPr>
          <w:lang w:val="en-GB"/>
        </w:rPr>
        <w:t>of 0.5 eV</w:t>
      </w:r>
      <w:r w:rsidR="005A491B">
        <w:rPr>
          <w:lang w:val="en-GB"/>
        </w:rPr>
        <w:t xml:space="preserve"> typically found for conjugated polymers </w:t>
      </w:r>
      <w:r w:rsidR="005A491B">
        <w:rPr>
          <w:lang w:val="en-GB"/>
        </w:rPr>
        <w:fldChar w:fldCharType="begin" w:fldLock="1"/>
      </w:r>
      <w:r w:rsidR="005D75E8">
        <w:rPr>
          <w:lang w:val="en-GB"/>
        </w:rPr>
        <w:instrText>ADDIN CSL_CITATION {"citationItems":[{"id":"ITEM-1","itemData":{"DOI":"10.1002/adfm.200305032","ISBN":"1616-3028","ISSN":"1616-301X","abstract":"Electron–electron interactions in organic semiconductors split the lowest singlet and triplet states by the exchange energy, ΔEST. Measurement of singlet and triplet emission spectra in a large number of conjugated polymers yield an almost constant ΔEST value close to 0.7 eV. This is in contrast to the situation in molecules, where the exchange energy is found to depend on molecular size and to vary over a wide range. Quantum-chemical calculations are performed to address the origin of the constant exchange energy in phenylene-based conjugated polymers. The electron–hole separation in the lowest singlet and triplet excited states is found to be independent of the π-conjugated backbone, and saturates for chains longer than a few repeating units, resulting in a constant exchange energy. In shorter conjugated oligomers, confinement of the excitations destabilizes the singlet with respect to the triplet through exchange interactions and leads to a larger and size-dependent singlet–triplet energy separation.","author":[{"dropping-particle":"","family":"Köhler","given":"A.","non-dropping-particle":"","parse-names":false,"suffix":""},{"dropping-particle":"","family":"Beljonne","given":"D.","non-dropping-particle":"","parse-names":false,"suffix":""}],"container-title":"Advanced Functional Materials","id":"ITEM-1","issue":"1","issued":{"date-parts":[["2004","1"]]},"page":"11-18","title":"The Singlet–Triplet Exchange Energy in Conjugated Polymers","type":"article-journal","volume":"14"},"uris":["http://www.mendeley.com/documents/?uuid=b671735b-82f9-4ee0-beec-786318733a2f"]}],"mendeley":{"formattedCitation":"&lt;sup&gt;3&lt;/sup&gt;","plainTextFormattedCitation":"3","previouslyFormattedCitation":"&lt;sup&gt;3&lt;/sup&gt;"},"properties":{"noteIndex":0},"schema":"https://github.com/citation-style-language/schema/raw/master/csl-citation.json"}</w:instrText>
      </w:r>
      <w:r w:rsidR="005A491B">
        <w:rPr>
          <w:lang w:val="en-GB"/>
        </w:rPr>
        <w:fldChar w:fldCharType="separate"/>
      </w:r>
      <w:r w:rsidR="005A491B" w:rsidRPr="005A491B">
        <w:rPr>
          <w:noProof/>
          <w:vertAlign w:val="superscript"/>
          <w:lang w:val="en-GB"/>
        </w:rPr>
        <w:t>3</w:t>
      </w:r>
      <w:r w:rsidR="005A491B">
        <w:rPr>
          <w:lang w:val="en-GB"/>
        </w:rPr>
        <w:fldChar w:fldCharType="end"/>
      </w:r>
      <w:r w:rsidR="00F32BC7">
        <w:rPr>
          <w:lang w:val="en-GB"/>
        </w:rPr>
        <w:t xml:space="preserve">. </w:t>
      </w:r>
      <w:r w:rsidR="00C24B7C">
        <w:rPr>
          <w:lang w:val="en-GB"/>
        </w:rPr>
        <w:t>(</w:t>
      </w:r>
      <w:r w:rsidR="00F32BC7">
        <w:rPr>
          <w:lang w:val="en-GB"/>
        </w:rPr>
        <w:t>f</w:t>
      </w:r>
      <w:r w:rsidR="00C24B7C">
        <w:rPr>
          <w:lang w:val="en-GB"/>
        </w:rPr>
        <w:t>) Energy of lowest triplets in the acceptor molecule</w:t>
      </w:r>
      <w:r w:rsidR="00D1784B">
        <w:rPr>
          <w:lang w:val="en-GB"/>
        </w:rPr>
        <w:t xml:space="preserve">s </w:t>
      </w:r>
      <w:r w:rsidR="00AE7C1D">
        <w:rPr>
          <w:lang w:val="en-GB"/>
        </w:rPr>
        <w:t xml:space="preserve">based on previous </w:t>
      </w:r>
      <w:r w:rsidR="005A491B">
        <w:rPr>
          <w:lang w:val="en-GB"/>
        </w:rPr>
        <w:t xml:space="preserve">reports </w:t>
      </w:r>
      <w:r w:rsidR="00D1784B">
        <w:rPr>
          <w:lang w:val="en-GB"/>
        </w:rPr>
        <w:fldChar w:fldCharType="begin" w:fldLock="1"/>
      </w:r>
      <w:r w:rsidR="005D75E8">
        <w:rPr>
          <w:lang w:val="en-GB"/>
        </w:rPr>
        <w:instrText>ADDIN CSL_CITATION {"citationItems":[{"id":"ITEM-1","itemData":{"DOI":"10.1021/ja4053174","ISBN":"0002-7863","ISSN":"00027863","PMID":"24011336","abstract":"The crystal structure of N,N-bis(n-octyl)-2,5,8,11-tetraphenylperylene-3,4:9,10-bis(dicarboximide), 1, obtained by X-ray diffraction reveals that 1 has a nearly planar perylene core and π–π stacks at a 3.5 Å interplanar distance in well-separated slip-stacked columns. Theory predicts that slip-stacked, π–π-stacked structures should enhance interchromophore electronic coupling and thus favor singlet exciton fission. Photoexcitation of vapor-deposited polycrystalline 188 nm thick films of 1 results in a 140 ± 20% yield of triplet excitons (3*1) in τSF = 180 ± 10 ps. These results illustrate a design strategy for producing perylenediimide and related rylene derivatives that have the optimized interchromophore electronic interactions which promote high-yield singlet exciton fission for potentially enhancing organic solar cell performance and charge separation in systems for artificial photosynthesis.","author":[{"dropping-particle":"","family":"Eaton","given":"Samuel W.","non-dropping-particle":"","parse-names":false,"suffix":""},{"dropping-particle":"","family":"Shoer","given":"Leah E.","non-dropping-particle":"","parse-names":false,"suffix":""},{"dropping-particle":"","family":"Karlen","given":"Steven D.","non-dropping-particle":"","parse-names":false,"suffix":""},{"dropping-particle":"","family":"Dyar","given":"Scott M.","non-dropping-particle":"","parse-names":false,"suffix":""},{"dropping-particle":"","family":"Margulies","given":"Eric A.","non-dropping-particle":"","parse-names":false,"suffix":""},{"dropping-particle":"","family":"Veldkamp","given":"Brad S.","non-dropping-particle":"","parse-names":false,"suffix":""},{"dropping-particle":"","family":"Ramanan","given":"Charusheela","non-dropping-particle":"","parse-names":false,"suffix":""},{"dropping-particle":"","family":"Hartzler","given":"Daniel A.","non-dropping-particle":"","parse-names":false,"suffix":""},{"dropping-particle":"","family":"Savikhin","given":"Sergei","non-dropping-particle":"","parse-names":false,"suffix":""},{"dropping-particle":"","family":"Marks","given":"Tobin J.","non-dropping-particle":"","parse-names":false,"suffix":""},{"dropping-particle":"","family":"Wasielewski","given":"Michael R.","non-dropping-particle":"","parse-names":false,"suffix":""}],"container-title":"Journal of the American Chemical Society","id":"ITEM-1","issue":"39","issued":{"date-parts":[["2013"]]},"page":"14701-14712","title":"Singlet exciton fission in polycrystalline thin films of a slip-stacked perylenediimide","type":"article-journal","volume":"135"},"uris":["http://www.mendeley.com/documents/?uuid=176862ec-55d8-4e42-b6dc-672b5a9de162"]},{"id":"ITEM-2","itemData":{"DOI":"10.1002/adma.201400846","ISBN":"1521-4095","ISSN":"0935-9648","PMID":"24902831","abstract":"Triplet-exciton formation through intersystem crossing of photogenerated singlet excitons in fullerene acceptors can compete with charge generation in organic photovoltaic diodes. This article reports the intersystem crossing timescale (τISC ) of the most commonly used fullerene acceptors, PC60 BM and PC70 BM, in solutions and in spin-coated films. These times are on the nanosecond timescale</w:instrText>
      </w:r>
      <w:r w:rsidR="005D75E8">
        <w:rPr>
          <w:rFonts w:hint="eastAsia"/>
          <w:lang w:val="en-GB"/>
        </w:rPr>
        <w:instrText>, and are longer than the characteristic times for charge generation (</w:instrText>
      </w:r>
      <w:r w:rsidR="005D75E8">
        <w:rPr>
          <w:rFonts w:hint="eastAsia"/>
          <w:lang w:val="en-GB"/>
        </w:rPr>
        <w:instrText>τ</w:instrText>
      </w:r>
      <w:r w:rsidR="005D75E8">
        <w:rPr>
          <w:rFonts w:hint="eastAsia"/>
          <w:lang w:val="en-GB"/>
        </w:rPr>
        <w:instrText>d ).","author":[{"dropping-particle":"","family":"Chow","given":"Philip C Y","non-dropping-particle":"","parse-names":false,"suffix":""},{"dropping-particle":"","family":"Albert</w:instrText>
      </w:r>
      <w:r w:rsidR="005D75E8">
        <w:rPr>
          <w:rFonts w:hint="eastAsia"/>
          <w:lang w:val="en-GB"/>
        </w:rPr>
        <w:instrText>‐</w:instrText>
      </w:r>
      <w:r w:rsidR="005D75E8">
        <w:rPr>
          <w:rFonts w:hint="eastAsia"/>
          <w:lang w:val="en-GB"/>
        </w:rPr>
        <w:instrText>Seifri</w:instrText>
      </w:r>
      <w:r w:rsidR="005D75E8">
        <w:rPr>
          <w:lang w:val="en-GB"/>
        </w:rPr>
        <w:instrText>ed","given":"Sebastian","non-dropping-particle":"","parse-names":false,"suffix":""},{"dropping-particle":"","family":"Gélinas","given":"Simon","non-dropping-particle":"","parse-names":false,"suffix":""},{"dropping-particle":"","family":"Friend","given":"Richard H.","non-dropping-particle":"","parse-names":false,"suffix":""}],"container-title":"Advanced Materials","id":"ITEM-2","issue":"28","issued":{"date-parts":[["2014","7","6"]]},"page":"4851-4854","title":"Nanosecond Intersystem Crossing Times in Fullerene Acceptors: Implications for Organic Photovoltaic Diodes","type":"article-journal","volume":"26"},"uris":["http://www.mendeley.com/documents/?uuid=8d445232-d23b-493d-a710-3c0d129c10a2"]}],"mendeley":{"formattedCitation":"&lt;sup&gt;4,30&lt;/sup&gt;","plainTextFormattedCitation":"4,30","previouslyFormattedCitation":"&lt;sup&gt;4,30&lt;/sup&gt;"},"properties":{"noteIndex":0},"schema":"https://github.com/citation-style-language/schema/raw/master/csl-citation.json"}</w:instrText>
      </w:r>
      <w:r w:rsidR="00D1784B">
        <w:rPr>
          <w:lang w:val="en-GB"/>
        </w:rPr>
        <w:fldChar w:fldCharType="separate"/>
      </w:r>
      <w:r w:rsidR="005D75E8" w:rsidRPr="005D75E8">
        <w:rPr>
          <w:noProof/>
          <w:vertAlign w:val="superscript"/>
          <w:lang w:val="en-GB"/>
        </w:rPr>
        <w:t>4,30</w:t>
      </w:r>
      <w:r w:rsidR="00D1784B">
        <w:rPr>
          <w:lang w:val="en-GB"/>
        </w:rPr>
        <w:fldChar w:fldCharType="end"/>
      </w:r>
      <w:r w:rsidR="00C24B7C">
        <w:rPr>
          <w:lang w:val="en-GB"/>
        </w:rPr>
        <w:t>.</w:t>
      </w:r>
    </w:p>
    <w:sectPr w:rsidR="00BA013D">
      <w:headerReference w:type="default" r:id="rId14"/>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B96D7B" w14:textId="77777777" w:rsidR="001C73B7" w:rsidRDefault="001C73B7">
      <w:r>
        <w:separator/>
      </w:r>
    </w:p>
  </w:endnote>
  <w:endnote w:type="continuationSeparator" w:id="0">
    <w:p w14:paraId="5E6C4F52" w14:textId="77777777" w:rsidR="001C73B7" w:rsidRDefault="001C7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altName w:val="Sylfaen"/>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19D37" w14:textId="31C66B0D" w:rsidR="00C31944" w:rsidRDefault="00C31944">
    <w:pPr>
      <w:pStyle w:val="Footer"/>
      <w:jc w:val="center"/>
    </w:pPr>
  </w:p>
  <w:p w14:paraId="6048F00A" w14:textId="77777777" w:rsidR="00C31944" w:rsidRDefault="00C31944" w:rsidP="0088145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1AB34" w14:textId="77777777" w:rsidR="001C73B7" w:rsidRDefault="001C73B7">
      <w:r>
        <w:separator/>
      </w:r>
    </w:p>
  </w:footnote>
  <w:footnote w:type="continuationSeparator" w:id="0">
    <w:p w14:paraId="1009D2D2" w14:textId="77777777" w:rsidR="001C73B7" w:rsidRDefault="001C73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0D80A" w14:textId="77777777" w:rsidR="00C31944" w:rsidRPr="009B44CC" w:rsidRDefault="00C31944" w:rsidP="009B44CC">
    <w:pPr>
      <w:pStyle w:val="Header"/>
      <w:tabs>
        <w:tab w:val="left" w:pos="5003"/>
      </w:tabs>
      <w:jc w:val="right"/>
      <w:rPr>
        <w:lang w:val="en-US"/>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936F3"/>
    <w:multiLevelType w:val="hybridMultilevel"/>
    <w:tmpl w:val="6994E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055752"/>
    <w:multiLevelType w:val="hybridMultilevel"/>
    <w:tmpl w:val="DA28B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BB605A"/>
    <w:multiLevelType w:val="hybridMultilevel"/>
    <w:tmpl w:val="2D9C0CD4"/>
    <w:lvl w:ilvl="0" w:tplc="A03E184A">
      <w:start w:val="2"/>
      <w:numFmt w:val="bullet"/>
      <w:lvlText w:val=""/>
      <w:lvlJc w:val="left"/>
      <w:pPr>
        <w:ind w:left="786" w:hanging="360"/>
      </w:pPr>
      <w:rPr>
        <w:rFonts w:ascii="Symbol" w:eastAsia="MS Mincho" w:hAnsi="Symbol" w:cs="Times New Roman"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 w15:restartNumberingAfterBreak="0">
    <w:nsid w:val="3A051B1B"/>
    <w:multiLevelType w:val="hybridMultilevel"/>
    <w:tmpl w:val="0A163C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71D6D30"/>
    <w:multiLevelType w:val="hybridMultilevel"/>
    <w:tmpl w:val="32DEE9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814D5C"/>
    <w:multiLevelType w:val="hybridMultilevel"/>
    <w:tmpl w:val="0846C9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78960349">
    <w:abstractNumId w:val="0"/>
  </w:num>
  <w:num w:numId="2" w16cid:durableId="545531592">
    <w:abstractNumId w:val="4"/>
  </w:num>
  <w:num w:numId="3" w16cid:durableId="1730419101">
    <w:abstractNumId w:val="1"/>
  </w:num>
  <w:num w:numId="4" w16cid:durableId="527791398">
    <w:abstractNumId w:val="3"/>
  </w:num>
  <w:num w:numId="5" w16cid:durableId="1148791437">
    <w:abstractNumId w:val="2"/>
  </w:num>
  <w:num w:numId="6" w16cid:durableId="8171859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9"/>
  <w:bordersDoNotSurroundHeader/>
  <w:bordersDoNotSurroundFooter/>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6A0"/>
    <w:rsid w:val="000003BB"/>
    <w:rsid w:val="000011BF"/>
    <w:rsid w:val="0000300F"/>
    <w:rsid w:val="0000371B"/>
    <w:rsid w:val="0000374D"/>
    <w:rsid w:val="00004A23"/>
    <w:rsid w:val="00006A0A"/>
    <w:rsid w:val="00006F85"/>
    <w:rsid w:val="0000703E"/>
    <w:rsid w:val="00010558"/>
    <w:rsid w:val="000112FC"/>
    <w:rsid w:val="000118B0"/>
    <w:rsid w:val="00011F40"/>
    <w:rsid w:val="0001454A"/>
    <w:rsid w:val="0001683C"/>
    <w:rsid w:val="000172E7"/>
    <w:rsid w:val="00020DB2"/>
    <w:rsid w:val="000214A8"/>
    <w:rsid w:val="00023F64"/>
    <w:rsid w:val="00024C23"/>
    <w:rsid w:val="00025907"/>
    <w:rsid w:val="00026364"/>
    <w:rsid w:val="00026692"/>
    <w:rsid w:val="00027533"/>
    <w:rsid w:val="00027FB5"/>
    <w:rsid w:val="00031434"/>
    <w:rsid w:val="000314D2"/>
    <w:rsid w:val="0003318F"/>
    <w:rsid w:val="00033C6C"/>
    <w:rsid w:val="00033E1F"/>
    <w:rsid w:val="000363BF"/>
    <w:rsid w:val="00037840"/>
    <w:rsid w:val="0004094E"/>
    <w:rsid w:val="00040B7B"/>
    <w:rsid w:val="000437F7"/>
    <w:rsid w:val="00045547"/>
    <w:rsid w:val="000475CC"/>
    <w:rsid w:val="00050985"/>
    <w:rsid w:val="000538CB"/>
    <w:rsid w:val="0005501E"/>
    <w:rsid w:val="00055883"/>
    <w:rsid w:val="0006044D"/>
    <w:rsid w:val="00062324"/>
    <w:rsid w:val="00062777"/>
    <w:rsid w:val="00063975"/>
    <w:rsid w:val="00063C0E"/>
    <w:rsid w:val="00066007"/>
    <w:rsid w:val="00070F85"/>
    <w:rsid w:val="00072EA7"/>
    <w:rsid w:val="0007442B"/>
    <w:rsid w:val="00076EAD"/>
    <w:rsid w:val="0008287E"/>
    <w:rsid w:val="00083031"/>
    <w:rsid w:val="00085E0D"/>
    <w:rsid w:val="000862B0"/>
    <w:rsid w:val="00086B39"/>
    <w:rsid w:val="00086CC6"/>
    <w:rsid w:val="0008740B"/>
    <w:rsid w:val="000904D3"/>
    <w:rsid w:val="000907B8"/>
    <w:rsid w:val="00092891"/>
    <w:rsid w:val="0009309C"/>
    <w:rsid w:val="00093F1B"/>
    <w:rsid w:val="00094624"/>
    <w:rsid w:val="00095DE3"/>
    <w:rsid w:val="00096406"/>
    <w:rsid w:val="000A1F4B"/>
    <w:rsid w:val="000A21A9"/>
    <w:rsid w:val="000A3E93"/>
    <w:rsid w:val="000A472C"/>
    <w:rsid w:val="000A5773"/>
    <w:rsid w:val="000A682F"/>
    <w:rsid w:val="000A799C"/>
    <w:rsid w:val="000A7A1D"/>
    <w:rsid w:val="000B05A0"/>
    <w:rsid w:val="000B0EA5"/>
    <w:rsid w:val="000B0EB1"/>
    <w:rsid w:val="000B33EE"/>
    <w:rsid w:val="000B4293"/>
    <w:rsid w:val="000B756E"/>
    <w:rsid w:val="000C0C94"/>
    <w:rsid w:val="000C259E"/>
    <w:rsid w:val="000C3E0C"/>
    <w:rsid w:val="000C5574"/>
    <w:rsid w:val="000C5F64"/>
    <w:rsid w:val="000C6252"/>
    <w:rsid w:val="000C6F8A"/>
    <w:rsid w:val="000D2BAD"/>
    <w:rsid w:val="000D2D4B"/>
    <w:rsid w:val="000D4219"/>
    <w:rsid w:val="000D43E8"/>
    <w:rsid w:val="000D45F4"/>
    <w:rsid w:val="000D5AB4"/>
    <w:rsid w:val="000D66DB"/>
    <w:rsid w:val="000D7EBA"/>
    <w:rsid w:val="000E2223"/>
    <w:rsid w:val="000E228F"/>
    <w:rsid w:val="000E641C"/>
    <w:rsid w:val="000E788B"/>
    <w:rsid w:val="000E7A5B"/>
    <w:rsid w:val="000E7BBA"/>
    <w:rsid w:val="000F1956"/>
    <w:rsid w:val="000F2B3C"/>
    <w:rsid w:val="000F3048"/>
    <w:rsid w:val="000F512F"/>
    <w:rsid w:val="000F64DA"/>
    <w:rsid w:val="000F6DB3"/>
    <w:rsid w:val="000F7A5A"/>
    <w:rsid w:val="001013F4"/>
    <w:rsid w:val="00101D37"/>
    <w:rsid w:val="001049CA"/>
    <w:rsid w:val="001054D4"/>
    <w:rsid w:val="00106029"/>
    <w:rsid w:val="0010686C"/>
    <w:rsid w:val="00106A64"/>
    <w:rsid w:val="00107C5F"/>
    <w:rsid w:val="00107CCC"/>
    <w:rsid w:val="00110011"/>
    <w:rsid w:val="001105BD"/>
    <w:rsid w:val="00116C82"/>
    <w:rsid w:val="00120E85"/>
    <w:rsid w:val="00121F3E"/>
    <w:rsid w:val="00123ADA"/>
    <w:rsid w:val="00124793"/>
    <w:rsid w:val="00124F1D"/>
    <w:rsid w:val="00125573"/>
    <w:rsid w:val="0012642A"/>
    <w:rsid w:val="00126D17"/>
    <w:rsid w:val="00127AB3"/>
    <w:rsid w:val="001305BF"/>
    <w:rsid w:val="00131D58"/>
    <w:rsid w:val="001325BA"/>
    <w:rsid w:val="0013320B"/>
    <w:rsid w:val="001370B1"/>
    <w:rsid w:val="001377CA"/>
    <w:rsid w:val="00137FC3"/>
    <w:rsid w:val="00140556"/>
    <w:rsid w:val="00140676"/>
    <w:rsid w:val="00140B94"/>
    <w:rsid w:val="00143264"/>
    <w:rsid w:val="001441FD"/>
    <w:rsid w:val="001450FB"/>
    <w:rsid w:val="0014658A"/>
    <w:rsid w:val="00146C08"/>
    <w:rsid w:val="00146E52"/>
    <w:rsid w:val="001472C5"/>
    <w:rsid w:val="00147DB8"/>
    <w:rsid w:val="00151683"/>
    <w:rsid w:val="0015392F"/>
    <w:rsid w:val="0015563E"/>
    <w:rsid w:val="0015598E"/>
    <w:rsid w:val="00155F66"/>
    <w:rsid w:val="001603C7"/>
    <w:rsid w:val="001614BA"/>
    <w:rsid w:val="001616B0"/>
    <w:rsid w:val="00161887"/>
    <w:rsid w:val="0016390D"/>
    <w:rsid w:val="00164057"/>
    <w:rsid w:val="00164FB4"/>
    <w:rsid w:val="00165B37"/>
    <w:rsid w:val="00170369"/>
    <w:rsid w:val="00170602"/>
    <w:rsid w:val="00173757"/>
    <w:rsid w:val="00174176"/>
    <w:rsid w:val="00177836"/>
    <w:rsid w:val="00180666"/>
    <w:rsid w:val="00180A7C"/>
    <w:rsid w:val="00181D92"/>
    <w:rsid w:val="001823B6"/>
    <w:rsid w:val="00182B40"/>
    <w:rsid w:val="001848EB"/>
    <w:rsid w:val="00187DB9"/>
    <w:rsid w:val="00187E76"/>
    <w:rsid w:val="00187EF1"/>
    <w:rsid w:val="0019077D"/>
    <w:rsid w:val="001909ED"/>
    <w:rsid w:val="0019194D"/>
    <w:rsid w:val="0019461D"/>
    <w:rsid w:val="00195659"/>
    <w:rsid w:val="00195706"/>
    <w:rsid w:val="00197A70"/>
    <w:rsid w:val="001A0CA8"/>
    <w:rsid w:val="001A1993"/>
    <w:rsid w:val="001A2AF5"/>
    <w:rsid w:val="001A2DC8"/>
    <w:rsid w:val="001A4240"/>
    <w:rsid w:val="001A6821"/>
    <w:rsid w:val="001A6A5A"/>
    <w:rsid w:val="001A6D7C"/>
    <w:rsid w:val="001A6DBC"/>
    <w:rsid w:val="001A734D"/>
    <w:rsid w:val="001B0F5D"/>
    <w:rsid w:val="001B4224"/>
    <w:rsid w:val="001B4F06"/>
    <w:rsid w:val="001B6326"/>
    <w:rsid w:val="001B7472"/>
    <w:rsid w:val="001B75D7"/>
    <w:rsid w:val="001C10AC"/>
    <w:rsid w:val="001C128D"/>
    <w:rsid w:val="001C55FB"/>
    <w:rsid w:val="001C73B7"/>
    <w:rsid w:val="001D0B36"/>
    <w:rsid w:val="001D12BC"/>
    <w:rsid w:val="001D51E2"/>
    <w:rsid w:val="001D561D"/>
    <w:rsid w:val="001E18CC"/>
    <w:rsid w:val="001E1FBB"/>
    <w:rsid w:val="001E3D2D"/>
    <w:rsid w:val="001E4168"/>
    <w:rsid w:val="001E4605"/>
    <w:rsid w:val="001E5F4E"/>
    <w:rsid w:val="001E7F73"/>
    <w:rsid w:val="001F0DA2"/>
    <w:rsid w:val="001F1528"/>
    <w:rsid w:val="001F2549"/>
    <w:rsid w:val="001F2689"/>
    <w:rsid w:val="001F2AB7"/>
    <w:rsid w:val="001F2AC6"/>
    <w:rsid w:val="001F2EB3"/>
    <w:rsid w:val="001F3505"/>
    <w:rsid w:val="001F3C9B"/>
    <w:rsid w:val="001F3E77"/>
    <w:rsid w:val="001F4BD1"/>
    <w:rsid w:val="001F5110"/>
    <w:rsid w:val="001F5702"/>
    <w:rsid w:val="001F65A2"/>
    <w:rsid w:val="002002FC"/>
    <w:rsid w:val="002014B9"/>
    <w:rsid w:val="00201F71"/>
    <w:rsid w:val="00202F95"/>
    <w:rsid w:val="00203934"/>
    <w:rsid w:val="0020446B"/>
    <w:rsid w:val="00204BA7"/>
    <w:rsid w:val="00205920"/>
    <w:rsid w:val="002072AB"/>
    <w:rsid w:val="00210140"/>
    <w:rsid w:val="002103D9"/>
    <w:rsid w:val="00211942"/>
    <w:rsid w:val="00214D95"/>
    <w:rsid w:val="00215531"/>
    <w:rsid w:val="00215F50"/>
    <w:rsid w:val="00216114"/>
    <w:rsid w:val="002161F7"/>
    <w:rsid w:val="002162B2"/>
    <w:rsid w:val="002163F8"/>
    <w:rsid w:val="00216AC3"/>
    <w:rsid w:val="00220933"/>
    <w:rsid w:val="00220C72"/>
    <w:rsid w:val="00220FC6"/>
    <w:rsid w:val="0022514C"/>
    <w:rsid w:val="0022540C"/>
    <w:rsid w:val="002258F1"/>
    <w:rsid w:val="00226AA4"/>
    <w:rsid w:val="00227D49"/>
    <w:rsid w:val="00233C8A"/>
    <w:rsid w:val="00235C35"/>
    <w:rsid w:val="00236036"/>
    <w:rsid w:val="002361BB"/>
    <w:rsid w:val="00236FCD"/>
    <w:rsid w:val="002378EE"/>
    <w:rsid w:val="00240D90"/>
    <w:rsid w:val="00241128"/>
    <w:rsid w:val="00241670"/>
    <w:rsid w:val="0024786B"/>
    <w:rsid w:val="002502B5"/>
    <w:rsid w:val="00250BEF"/>
    <w:rsid w:val="00251A42"/>
    <w:rsid w:val="00252668"/>
    <w:rsid w:val="00253CB1"/>
    <w:rsid w:val="002543F9"/>
    <w:rsid w:val="002547E6"/>
    <w:rsid w:val="002578DA"/>
    <w:rsid w:val="00257ADD"/>
    <w:rsid w:val="00261B5A"/>
    <w:rsid w:val="002626A8"/>
    <w:rsid w:val="002636B3"/>
    <w:rsid w:val="00263723"/>
    <w:rsid w:val="00263CF8"/>
    <w:rsid w:val="00265635"/>
    <w:rsid w:val="00266389"/>
    <w:rsid w:val="002675F7"/>
    <w:rsid w:val="002725A5"/>
    <w:rsid w:val="0027314F"/>
    <w:rsid w:val="00273ECC"/>
    <w:rsid w:val="00274096"/>
    <w:rsid w:val="00281B45"/>
    <w:rsid w:val="0028289F"/>
    <w:rsid w:val="00284157"/>
    <w:rsid w:val="00284186"/>
    <w:rsid w:val="00285631"/>
    <w:rsid w:val="002862AA"/>
    <w:rsid w:val="00287356"/>
    <w:rsid w:val="002900B6"/>
    <w:rsid w:val="00290D94"/>
    <w:rsid w:val="002918B6"/>
    <w:rsid w:val="0029203C"/>
    <w:rsid w:val="00294873"/>
    <w:rsid w:val="0029684A"/>
    <w:rsid w:val="00297BAD"/>
    <w:rsid w:val="002A1A49"/>
    <w:rsid w:val="002A374F"/>
    <w:rsid w:val="002A40D9"/>
    <w:rsid w:val="002A4A81"/>
    <w:rsid w:val="002A73A2"/>
    <w:rsid w:val="002A75A6"/>
    <w:rsid w:val="002A7CE8"/>
    <w:rsid w:val="002B0671"/>
    <w:rsid w:val="002B262F"/>
    <w:rsid w:val="002B3553"/>
    <w:rsid w:val="002B5C15"/>
    <w:rsid w:val="002B5E06"/>
    <w:rsid w:val="002C0CFF"/>
    <w:rsid w:val="002C1024"/>
    <w:rsid w:val="002C1078"/>
    <w:rsid w:val="002C1161"/>
    <w:rsid w:val="002C415C"/>
    <w:rsid w:val="002C748D"/>
    <w:rsid w:val="002D09B9"/>
    <w:rsid w:val="002D16A0"/>
    <w:rsid w:val="002D2930"/>
    <w:rsid w:val="002D2DFF"/>
    <w:rsid w:val="002D419A"/>
    <w:rsid w:val="002D5BF8"/>
    <w:rsid w:val="002D5C22"/>
    <w:rsid w:val="002D7482"/>
    <w:rsid w:val="002D7ECC"/>
    <w:rsid w:val="002E1B8F"/>
    <w:rsid w:val="002E2DEF"/>
    <w:rsid w:val="002E35A8"/>
    <w:rsid w:val="002E3D88"/>
    <w:rsid w:val="002E4AFE"/>
    <w:rsid w:val="002E4E3E"/>
    <w:rsid w:val="002E4EB2"/>
    <w:rsid w:val="002E4EBF"/>
    <w:rsid w:val="002E76B2"/>
    <w:rsid w:val="002E79A2"/>
    <w:rsid w:val="002E7F04"/>
    <w:rsid w:val="002F2F5C"/>
    <w:rsid w:val="002F3539"/>
    <w:rsid w:val="002F42F0"/>
    <w:rsid w:val="002F4F4B"/>
    <w:rsid w:val="002F55FD"/>
    <w:rsid w:val="002F594C"/>
    <w:rsid w:val="002F5B74"/>
    <w:rsid w:val="002F79B7"/>
    <w:rsid w:val="002F7BE4"/>
    <w:rsid w:val="00301984"/>
    <w:rsid w:val="00301AF3"/>
    <w:rsid w:val="00301B0B"/>
    <w:rsid w:val="00301E84"/>
    <w:rsid w:val="00302D27"/>
    <w:rsid w:val="00302E7A"/>
    <w:rsid w:val="00303A3F"/>
    <w:rsid w:val="00303D1B"/>
    <w:rsid w:val="003041F8"/>
    <w:rsid w:val="003046B7"/>
    <w:rsid w:val="00305603"/>
    <w:rsid w:val="0031030A"/>
    <w:rsid w:val="00313EC5"/>
    <w:rsid w:val="00315006"/>
    <w:rsid w:val="0031713B"/>
    <w:rsid w:val="00317A57"/>
    <w:rsid w:val="003205D5"/>
    <w:rsid w:val="00320A99"/>
    <w:rsid w:val="0032144B"/>
    <w:rsid w:val="00322D5B"/>
    <w:rsid w:val="00325AC2"/>
    <w:rsid w:val="00326A1C"/>
    <w:rsid w:val="00327FDC"/>
    <w:rsid w:val="003347C6"/>
    <w:rsid w:val="003360E3"/>
    <w:rsid w:val="003371D5"/>
    <w:rsid w:val="003376CD"/>
    <w:rsid w:val="00337A55"/>
    <w:rsid w:val="0034051C"/>
    <w:rsid w:val="0034061F"/>
    <w:rsid w:val="00341633"/>
    <w:rsid w:val="00344727"/>
    <w:rsid w:val="003452C3"/>
    <w:rsid w:val="00345853"/>
    <w:rsid w:val="003500C4"/>
    <w:rsid w:val="003501A7"/>
    <w:rsid w:val="0035048A"/>
    <w:rsid w:val="00351789"/>
    <w:rsid w:val="003522D4"/>
    <w:rsid w:val="00354F09"/>
    <w:rsid w:val="0035558A"/>
    <w:rsid w:val="00355676"/>
    <w:rsid w:val="00356CAF"/>
    <w:rsid w:val="00356E32"/>
    <w:rsid w:val="0036263B"/>
    <w:rsid w:val="0036308D"/>
    <w:rsid w:val="00363B62"/>
    <w:rsid w:val="003645B0"/>
    <w:rsid w:val="00364B2C"/>
    <w:rsid w:val="003664F1"/>
    <w:rsid w:val="003668F4"/>
    <w:rsid w:val="00367E3F"/>
    <w:rsid w:val="0037099A"/>
    <w:rsid w:val="003722F7"/>
    <w:rsid w:val="00372A62"/>
    <w:rsid w:val="00373CA7"/>
    <w:rsid w:val="003744C8"/>
    <w:rsid w:val="00374A57"/>
    <w:rsid w:val="0037516C"/>
    <w:rsid w:val="00376318"/>
    <w:rsid w:val="00377E4B"/>
    <w:rsid w:val="00377EA5"/>
    <w:rsid w:val="00377F77"/>
    <w:rsid w:val="00381F64"/>
    <w:rsid w:val="00382784"/>
    <w:rsid w:val="00382BD8"/>
    <w:rsid w:val="00383073"/>
    <w:rsid w:val="0038438F"/>
    <w:rsid w:val="0038594A"/>
    <w:rsid w:val="00387C67"/>
    <w:rsid w:val="00387D98"/>
    <w:rsid w:val="003908B2"/>
    <w:rsid w:val="00390B0F"/>
    <w:rsid w:val="00390B38"/>
    <w:rsid w:val="00390B6B"/>
    <w:rsid w:val="00391CFE"/>
    <w:rsid w:val="0039353B"/>
    <w:rsid w:val="00394F9E"/>
    <w:rsid w:val="00395426"/>
    <w:rsid w:val="00395B91"/>
    <w:rsid w:val="00395C2B"/>
    <w:rsid w:val="00396615"/>
    <w:rsid w:val="0039700D"/>
    <w:rsid w:val="00397089"/>
    <w:rsid w:val="003978A8"/>
    <w:rsid w:val="003A0853"/>
    <w:rsid w:val="003A0F30"/>
    <w:rsid w:val="003A17AC"/>
    <w:rsid w:val="003A3AEA"/>
    <w:rsid w:val="003A4C44"/>
    <w:rsid w:val="003A5AD0"/>
    <w:rsid w:val="003A6CE3"/>
    <w:rsid w:val="003A7899"/>
    <w:rsid w:val="003A794C"/>
    <w:rsid w:val="003B15EE"/>
    <w:rsid w:val="003B1D69"/>
    <w:rsid w:val="003B41DD"/>
    <w:rsid w:val="003B517D"/>
    <w:rsid w:val="003B60EC"/>
    <w:rsid w:val="003B7DAF"/>
    <w:rsid w:val="003C00ED"/>
    <w:rsid w:val="003C08CE"/>
    <w:rsid w:val="003C108B"/>
    <w:rsid w:val="003C177B"/>
    <w:rsid w:val="003C1C0A"/>
    <w:rsid w:val="003C25B4"/>
    <w:rsid w:val="003C35DF"/>
    <w:rsid w:val="003C4A68"/>
    <w:rsid w:val="003C554F"/>
    <w:rsid w:val="003C61DD"/>
    <w:rsid w:val="003D494F"/>
    <w:rsid w:val="003D63E7"/>
    <w:rsid w:val="003E05F1"/>
    <w:rsid w:val="003E071C"/>
    <w:rsid w:val="003E113B"/>
    <w:rsid w:val="003E2404"/>
    <w:rsid w:val="003E2E60"/>
    <w:rsid w:val="003E5092"/>
    <w:rsid w:val="003E715D"/>
    <w:rsid w:val="003F103E"/>
    <w:rsid w:val="003F1611"/>
    <w:rsid w:val="003F210E"/>
    <w:rsid w:val="003F2E48"/>
    <w:rsid w:val="003F440C"/>
    <w:rsid w:val="003F4C42"/>
    <w:rsid w:val="003F4F19"/>
    <w:rsid w:val="003F50EE"/>
    <w:rsid w:val="003F525A"/>
    <w:rsid w:val="003F5E58"/>
    <w:rsid w:val="003F602A"/>
    <w:rsid w:val="003F649F"/>
    <w:rsid w:val="003F7BE6"/>
    <w:rsid w:val="004006A9"/>
    <w:rsid w:val="00401065"/>
    <w:rsid w:val="00403062"/>
    <w:rsid w:val="00403719"/>
    <w:rsid w:val="004052AE"/>
    <w:rsid w:val="004118A5"/>
    <w:rsid w:val="00413672"/>
    <w:rsid w:val="00413D0E"/>
    <w:rsid w:val="00414041"/>
    <w:rsid w:val="00414465"/>
    <w:rsid w:val="00414729"/>
    <w:rsid w:val="00414C80"/>
    <w:rsid w:val="00414F4B"/>
    <w:rsid w:val="00415EF9"/>
    <w:rsid w:val="00416036"/>
    <w:rsid w:val="00416629"/>
    <w:rsid w:val="00417DA1"/>
    <w:rsid w:val="00420671"/>
    <w:rsid w:val="004209F3"/>
    <w:rsid w:val="00420B05"/>
    <w:rsid w:val="00422DA4"/>
    <w:rsid w:val="00423478"/>
    <w:rsid w:val="00423B61"/>
    <w:rsid w:val="00425B76"/>
    <w:rsid w:val="004260A2"/>
    <w:rsid w:val="00426FC6"/>
    <w:rsid w:val="004273BC"/>
    <w:rsid w:val="00427C5F"/>
    <w:rsid w:val="00431757"/>
    <w:rsid w:val="004360AC"/>
    <w:rsid w:val="004361B3"/>
    <w:rsid w:val="004415A0"/>
    <w:rsid w:val="004439AE"/>
    <w:rsid w:val="004464B3"/>
    <w:rsid w:val="0045030D"/>
    <w:rsid w:val="004507E5"/>
    <w:rsid w:val="004519AD"/>
    <w:rsid w:val="004523E0"/>
    <w:rsid w:val="00452C85"/>
    <w:rsid w:val="004533A3"/>
    <w:rsid w:val="0045459A"/>
    <w:rsid w:val="004545DB"/>
    <w:rsid w:val="0045786A"/>
    <w:rsid w:val="00460F76"/>
    <w:rsid w:val="0046266B"/>
    <w:rsid w:val="00462F12"/>
    <w:rsid w:val="00463050"/>
    <w:rsid w:val="0046340F"/>
    <w:rsid w:val="00465F6F"/>
    <w:rsid w:val="00466168"/>
    <w:rsid w:val="00470885"/>
    <w:rsid w:val="004714D4"/>
    <w:rsid w:val="00471B98"/>
    <w:rsid w:val="004747AB"/>
    <w:rsid w:val="00475712"/>
    <w:rsid w:val="00477E88"/>
    <w:rsid w:val="00477F63"/>
    <w:rsid w:val="00480CCE"/>
    <w:rsid w:val="00482FAA"/>
    <w:rsid w:val="00483BDC"/>
    <w:rsid w:val="00484726"/>
    <w:rsid w:val="00485C3E"/>
    <w:rsid w:val="00487186"/>
    <w:rsid w:val="0049075F"/>
    <w:rsid w:val="0049082E"/>
    <w:rsid w:val="00490DD5"/>
    <w:rsid w:val="00492DA8"/>
    <w:rsid w:val="00493DAE"/>
    <w:rsid w:val="00496BF5"/>
    <w:rsid w:val="00496C6E"/>
    <w:rsid w:val="00496CA5"/>
    <w:rsid w:val="004A0888"/>
    <w:rsid w:val="004A1540"/>
    <w:rsid w:val="004A33B6"/>
    <w:rsid w:val="004A43B6"/>
    <w:rsid w:val="004A657A"/>
    <w:rsid w:val="004A70EE"/>
    <w:rsid w:val="004A774E"/>
    <w:rsid w:val="004A7D3E"/>
    <w:rsid w:val="004A7FF9"/>
    <w:rsid w:val="004B1870"/>
    <w:rsid w:val="004B1E3A"/>
    <w:rsid w:val="004B379D"/>
    <w:rsid w:val="004B52AA"/>
    <w:rsid w:val="004B5F0C"/>
    <w:rsid w:val="004B6031"/>
    <w:rsid w:val="004B6DAE"/>
    <w:rsid w:val="004B6F91"/>
    <w:rsid w:val="004C046E"/>
    <w:rsid w:val="004C0DB4"/>
    <w:rsid w:val="004C12C0"/>
    <w:rsid w:val="004C1609"/>
    <w:rsid w:val="004C216B"/>
    <w:rsid w:val="004C2D99"/>
    <w:rsid w:val="004C3738"/>
    <w:rsid w:val="004C3E34"/>
    <w:rsid w:val="004C5DD3"/>
    <w:rsid w:val="004D0025"/>
    <w:rsid w:val="004D24C7"/>
    <w:rsid w:val="004D30F9"/>
    <w:rsid w:val="004D45D1"/>
    <w:rsid w:val="004D4A32"/>
    <w:rsid w:val="004D64AB"/>
    <w:rsid w:val="004D6EDC"/>
    <w:rsid w:val="004D7BBA"/>
    <w:rsid w:val="004E26ED"/>
    <w:rsid w:val="004E3A28"/>
    <w:rsid w:val="004E4239"/>
    <w:rsid w:val="004E4975"/>
    <w:rsid w:val="004E7CE8"/>
    <w:rsid w:val="004F10B6"/>
    <w:rsid w:val="004F271D"/>
    <w:rsid w:val="004F3373"/>
    <w:rsid w:val="004F4B43"/>
    <w:rsid w:val="004F5114"/>
    <w:rsid w:val="004F61B8"/>
    <w:rsid w:val="004F756C"/>
    <w:rsid w:val="005001FA"/>
    <w:rsid w:val="0050147C"/>
    <w:rsid w:val="005019AF"/>
    <w:rsid w:val="00502840"/>
    <w:rsid w:val="00502E7E"/>
    <w:rsid w:val="0050334F"/>
    <w:rsid w:val="0050488D"/>
    <w:rsid w:val="00504D12"/>
    <w:rsid w:val="00504EFB"/>
    <w:rsid w:val="0050527A"/>
    <w:rsid w:val="0050535A"/>
    <w:rsid w:val="00507238"/>
    <w:rsid w:val="00511192"/>
    <w:rsid w:val="005118AD"/>
    <w:rsid w:val="00512353"/>
    <w:rsid w:val="0051299C"/>
    <w:rsid w:val="00514B03"/>
    <w:rsid w:val="005220C2"/>
    <w:rsid w:val="005224FF"/>
    <w:rsid w:val="00522E88"/>
    <w:rsid w:val="00523369"/>
    <w:rsid w:val="0052398F"/>
    <w:rsid w:val="00527CBF"/>
    <w:rsid w:val="00532960"/>
    <w:rsid w:val="0053444D"/>
    <w:rsid w:val="00534C00"/>
    <w:rsid w:val="00535A05"/>
    <w:rsid w:val="00537A14"/>
    <w:rsid w:val="00540B3A"/>
    <w:rsid w:val="00540DFE"/>
    <w:rsid w:val="005436E9"/>
    <w:rsid w:val="00545A73"/>
    <w:rsid w:val="00545EC8"/>
    <w:rsid w:val="00546DEB"/>
    <w:rsid w:val="00546F0F"/>
    <w:rsid w:val="0054774B"/>
    <w:rsid w:val="005477E7"/>
    <w:rsid w:val="00547B4D"/>
    <w:rsid w:val="00547C08"/>
    <w:rsid w:val="00550159"/>
    <w:rsid w:val="00551897"/>
    <w:rsid w:val="00551FFD"/>
    <w:rsid w:val="00552A0F"/>
    <w:rsid w:val="005551ED"/>
    <w:rsid w:val="00556419"/>
    <w:rsid w:val="005572B4"/>
    <w:rsid w:val="005572DD"/>
    <w:rsid w:val="005577B5"/>
    <w:rsid w:val="00557A65"/>
    <w:rsid w:val="00560564"/>
    <w:rsid w:val="00561EF5"/>
    <w:rsid w:val="00562E2B"/>
    <w:rsid w:val="00563C04"/>
    <w:rsid w:val="00564668"/>
    <w:rsid w:val="005665B7"/>
    <w:rsid w:val="00567014"/>
    <w:rsid w:val="00567161"/>
    <w:rsid w:val="00570353"/>
    <w:rsid w:val="005715F5"/>
    <w:rsid w:val="0057171E"/>
    <w:rsid w:val="00571EEC"/>
    <w:rsid w:val="005721E7"/>
    <w:rsid w:val="00572666"/>
    <w:rsid w:val="0057267E"/>
    <w:rsid w:val="005726BD"/>
    <w:rsid w:val="00574A5A"/>
    <w:rsid w:val="005753B8"/>
    <w:rsid w:val="005760CE"/>
    <w:rsid w:val="005761EB"/>
    <w:rsid w:val="00576378"/>
    <w:rsid w:val="00583ED5"/>
    <w:rsid w:val="00587437"/>
    <w:rsid w:val="005876B5"/>
    <w:rsid w:val="00592678"/>
    <w:rsid w:val="005927F5"/>
    <w:rsid w:val="00593E26"/>
    <w:rsid w:val="00594449"/>
    <w:rsid w:val="00594644"/>
    <w:rsid w:val="0059526F"/>
    <w:rsid w:val="00596F36"/>
    <w:rsid w:val="005A041C"/>
    <w:rsid w:val="005A1741"/>
    <w:rsid w:val="005A1F1D"/>
    <w:rsid w:val="005A235F"/>
    <w:rsid w:val="005A2E20"/>
    <w:rsid w:val="005A491B"/>
    <w:rsid w:val="005A751F"/>
    <w:rsid w:val="005A7719"/>
    <w:rsid w:val="005A77C2"/>
    <w:rsid w:val="005A7B7F"/>
    <w:rsid w:val="005B0992"/>
    <w:rsid w:val="005B0E52"/>
    <w:rsid w:val="005B291B"/>
    <w:rsid w:val="005B2934"/>
    <w:rsid w:val="005B5C39"/>
    <w:rsid w:val="005B6FFA"/>
    <w:rsid w:val="005B76C5"/>
    <w:rsid w:val="005B7AF0"/>
    <w:rsid w:val="005B7B8A"/>
    <w:rsid w:val="005C09C6"/>
    <w:rsid w:val="005C168D"/>
    <w:rsid w:val="005C1E2E"/>
    <w:rsid w:val="005C458D"/>
    <w:rsid w:val="005C491E"/>
    <w:rsid w:val="005C5E0A"/>
    <w:rsid w:val="005C6C0C"/>
    <w:rsid w:val="005C6C77"/>
    <w:rsid w:val="005D2276"/>
    <w:rsid w:val="005D25FD"/>
    <w:rsid w:val="005D2808"/>
    <w:rsid w:val="005D42F0"/>
    <w:rsid w:val="005D75E8"/>
    <w:rsid w:val="005E0230"/>
    <w:rsid w:val="005E0858"/>
    <w:rsid w:val="005E2794"/>
    <w:rsid w:val="005E37AD"/>
    <w:rsid w:val="005E3B84"/>
    <w:rsid w:val="005E3CBF"/>
    <w:rsid w:val="005E5941"/>
    <w:rsid w:val="005E5A36"/>
    <w:rsid w:val="005E6D6A"/>
    <w:rsid w:val="005E6F9D"/>
    <w:rsid w:val="005E73AB"/>
    <w:rsid w:val="005E7A02"/>
    <w:rsid w:val="005E7B5A"/>
    <w:rsid w:val="005F01FC"/>
    <w:rsid w:val="005F0C89"/>
    <w:rsid w:val="005F3701"/>
    <w:rsid w:val="005F41DF"/>
    <w:rsid w:val="005F4521"/>
    <w:rsid w:val="005F5478"/>
    <w:rsid w:val="006006FC"/>
    <w:rsid w:val="006023F2"/>
    <w:rsid w:val="006045BA"/>
    <w:rsid w:val="0060583A"/>
    <w:rsid w:val="00606366"/>
    <w:rsid w:val="00611649"/>
    <w:rsid w:val="00611A0E"/>
    <w:rsid w:val="00614154"/>
    <w:rsid w:val="00614BD3"/>
    <w:rsid w:val="00617C9C"/>
    <w:rsid w:val="00623A77"/>
    <w:rsid w:val="00624028"/>
    <w:rsid w:val="006256F5"/>
    <w:rsid w:val="00627ED6"/>
    <w:rsid w:val="0063009E"/>
    <w:rsid w:val="0063097B"/>
    <w:rsid w:val="006364B8"/>
    <w:rsid w:val="00636A64"/>
    <w:rsid w:val="00636B93"/>
    <w:rsid w:val="00637932"/>
    <w:rsid w:val="0064020D"/>
    <w:rsid w:val="00640550"/>
    <w:rsid w:val="00642AE9"/>
    <w:rsid w:val="0064326A"/>
    <w:rsid w:val="00644D5D"/>
    <w:rsid w:val="0064641E"/>
    <w:rsid w:val="00646DC7"/>
    <w:rsid w:val="006470B2"/>
    <w:rsid w:val="006511F6"/>
    <w:rsid w:val="006511FB"/>
    <w:rsid w:val="00651A9D"/>
    <w:rsid w:val="00652EDC"/>
    <w:rsid w:val="006536DA"/>
    <w:rsid w:val="00653A61"/>
    <w:rsid w:val="00656092"/>
    <w:rsid w:val="0065736F"/>
    <w:rsid w:val="0065741C"/>
    <w:rsid w:val="00657FC1"/>
    <w:rsid w:val="00660B85"/>
    <w:rsid w:val="00661239"/>
    <w:rsid w:val="00661AD6"/>
    <w:rsid w:val="00662DCE"/>
    <w:rsid w:val="00663420"/>
    <w:rsid w:val="00664F6D"/>
    <w:rsid w:val="006650B8"/>
    <w:rsid w:val="00665268"/>
    <w:rsid w:val="00666329"/>
    <w:rsid w:val="006672EE"/>
    <w:rsid w:val="006700BC"/>
    <w:rsid w:val="0067011F"/>
    <w:rsid w:val="0067015E"/>
    <w:rsid w:val="00676720"/>
    <w:rsid w:val="006769D6"/>
    <w:rsid w:val="006778F3"/>
    <w:rsid w:val="00677914"/>
    <w:rsid w:val="00677A7C"/>
    <w:rsid w:val="00680453"/>
    <w:rsid w:val="00680ABB"/>
    <w:rsid w:val="00682526"/>
    <w:rsid w:val="00683555"/>
    <w:rsid w:val="0068368B"/>
    <w:rsid w:val="00686F1D"/>
    <w:rsid w:val="0069040B"/>
    <w:rsid w:val="006917DA"/>
    <w:rsid w:val="00692C97"/>
    <w:rsid w:val="00692F7A"/>
    <w:rsid w:val="0069404C"/>
    <w:rsid w:val="00694081"/>
    <w:rsid w:val="00695E06"/>
    <w:rsid w:val="00696315"/>
    <w:rsid w:val="006A0180"/>
    <w:rsid w:val="006A0D1E"/>
    <w:rsid w:val="006A0D51"/>
    <w:rsid w:val="006A1C05"/>
    <w:rsid w:val="006A225B"/>
    <w:rsid w:val="006A30D2"/>
    <w:rsid w:val="006A48C7"/>
    <w:rsid w:val="006A5A6A"/>
    <w:rsid w:val="006A5FE3"/>
    <w:rsid w:val="006B04D5"/>
    <w:rsid w:val="006B16B7"/>
    <w:rsid w:val="006B23B2"/>
    <w:rsid w:val="006B4845"/>
    <w:rsid w:val="006B635C"/>
    <w:rsid w:val="006B6EDC"/>
    <w:rsid w:val="006C1708"/>
    <w:rsid w:val="006C1BC9"/>
    <w:rsid w:val="006C1C29"/>
    <w:rsid w:val="006C2427"/>
    <w:rsid w:val="006C3782"/>
    <w:rsid w:val="006C3CDE"/>
    <w:rsid w:val="006C4184"/>
    <w:rsid w:val="006C4745"/>
    <w:rsid w:val="006D0EE8"/>
    <w:rsid w:val="006D3162"/>
    <w:rsid w:val="006D37E7"/>
    <w:rsid w:val="006D5146"/>
    <w:rsid w:val="006D51EC"/>
    <w:rsid w:val="006D59D6"/>
    <w:rsid w:val="006D5C04"/>
    <w:rsid w:val="006D7508"/>
    <w:rsid w:val="006E0F2F"/>
    <w:rsid w:val="006E19D7"/>
    <w:rsid w:val="006E2C04"/>
    <w:rsid w:val="006E303B"/>
    <w:rsid w:val="006E4502"/>
    <w:rsid w:val="006E5035"/>
    <w:rsid w:val="006E6B49"/>
    <w:rsid w:val="006E71B9"/>
    <w:rsid w:val="006F23ED"/>
    <w:rsid w:val="006F39B2"/>
    <w:rsid w:val="006F41F5"/>
    <w:rsid w:val="006F4F9F"/>
    <w:rsid w:val="006F5384"/>
    <w:rsid w:val="006F6604"/>
    <w:rsid w:val="006F71D8"/>
    <w:rsid w:val="006F7D1A"/>
    <w:rsid w:val="00700347"/>
    <w:rsid w:val="0070346C"/>
    <w:rsid w:val="0070349A"/>
    <w:rsid w:val="007051A0"/>
    <w:rsid w:val="00706496"/>
    <w:rsid w:val="007103E7"/>
    <w:rsid w:val="00711A12"/>
    <w:rsid w:val="00711F11"/>
    <w:rsid w:val="00712171"/>
    <w:rsid w:val="007128B1"/>
    <w:rsid w:val="007154C4"/>
    <w:rsid w:val="00715549"/>
    <w:rsid w:val="00715DB9"/>
    <w:rsid w:val="007218A0"/>
    <w:rsid w:val="007231D4"/>
    <w:rsid w:val="007238AF"/>
    <w:rsid w:val="00725CEB"/>
    <w:rsid w:val="00726908"/>
    <w:rsid w:val="007270C7"/>
    <w:rsid w:val="007305A6"/>
    <w:rsid w:val="00730F3A"/>
    <w:rsid w:val="00733D58"/>
    <w:rsid w:val="00735F34"/>
    <w:rsid w:val="00736944"/>
    <w:rsid w:val="00737277"/>
    <w:rsid w:val="00741200"/>
    <w:rsid w:val="00741333"/>
    <w:rsid w:val="00742FF2"/>
    <w:rsid w:val="0074337C"/>
    <w:rsid w:val="007440BD"/>
    <w:rsid w:val="00744D6A"/>
    <w:rsid w:val="00745B92"/>
    <w:rsid w:val="007460A4"/>
    <w:rsid w:val="00746138"/>
    <w:rsid w:val="0074620A"/>
    <w:rsid w:val="007463A1"/>
    <w:rsid w:val="007473A0"/>
    <w:rsid w:val="007504D2"/>
    <w:rsid w:val="00751D50"/>
    <w:rsid w:val="007527D5"/>
    <w:rsid w:val="00752F3C"/>
    <w:rsid w:val="00754556"/>
    <w:rsid w:val="00755C7B"/>
    <w:rsid w:val="007561FC"/>
    <w:rsid w:val="00761D34"/>
    <w:rsid w:val="00762D2D"/>
    <w:rsid w:val="007645C0"/>
    <w:rsid w:val="00764622"/>
    <w:rsid w:val="00764CAD"/>
    <w:rsid w:val="007654F3"/>
    <w:rsid w:val="007670EF"/>
    <w:rsid w:val="00770FA1"/>
    <w:rsid w:val="00773884"/>
    <w:rsid w:val="00774813"/>
    <w:rsid w:val="0078052A"/>
    <w:rsid w:val="007812FB"/>
    <w:rsid w:val="00783073"/>
    <w:rsid w:val="00783647"/>
    <w:rsid w:val="00784032"/>
    <w:rsid w:val="007848C7"/>
    <w:rsid w:val="0078587E"/>
    <w:rsid w:val="00786E79"/>
    <w:rsid w:val="00787925"/>
    <w:rsid w:val="0079010E"/>
    <w:rsid w:val="00790E31"/>
    <w:rsid w:val="00793B87"/>
    <w:rsid w:val="0079566E"/>
    <w:rsid w:val="00796509"/>
    <w:rsid w:val="0079691E"/>
    <w:rsid w:val="00797723"/>
    <w:rsid w:val="00797D19"/>
    <w:rsid w:val="007A2712"/>
    <w:rsid w:val="007A4376"/>
    <w:rsid w:val="007A4C5A"/>
    <w:rsid w:val="007A4DEB"/>
    <w:rsid w:val="007B1EEE"/>
    <w:rsid w:val="007B249B"/>
    <w:rsid w:val="007B6D4D"/>
    <w:rsid w:val="007B7A09"/>
    <w:rsid w:val="007B7B86"/>
    <w:rsid w:val="007B7DAC"/>
    <w:rsid w:val="007C0F7A"/>
    <w:rsid w:val="007C74EA"/>
    <w:rsid w:val="007D049A"/>
    <w:rsid w:val="007D24A9"/>
    <w:rsid w:val="007D26F0"/>
    <w:rsid w:val="007D27FA"/>
    <w:rsid w:val="007D30B5"/>
    <w:rsid w:val="007D6218"/>
    <w:rsid w:val="007D6699"/>
    <w:rsid w:val="007D739C"/>
    <w:rsid w:val="007D7E30"/>
    <w:rsid w:val="007E21F2"/>
    <w:rsid w:val="007E2222"/>
    <w:rsid w:val="007E6419"/>
    <w:rsid w:val="007E6F9D"/>
    <w:rsid w:val="007E70B1"/>
    <w:rsid w:val="007F0559"/>
    <w:rsid w:val="007F1AB8"/>
    <w:rsid w:val="007F6815"/>
    <w:rsid w:val="007F6BA8"/>
    <w:rsid w:val="0080073C"/>
    <w:rsid w:val="00800E32"/>
    <w:rsid w:val="0080218F"/>
    <w:rsid w:val="0080271B"/>
    <w:rsid w:val="0080681B"/>
    <w:rsid w:val="008068B3"/>
    <w:rsid w:val="0080738C"/>
    <w:rsid w:val="00810B77"/>
    <w:rsid w:val="008153E0"/>
    <w:rsid w:val="00815554"/>
    <w:rsid w:val="00815C17"/>
    <w:rsid w:val="00817436"/>
    <w:rsid w:val="0082542D"/>
    <w:rsid w:val="00827834"/>
    <w:rsid w:val="008313F8"/>
    <w:rsid w:val="00832835"/>
    <w:rsid w:val="008335E4"/>
    <w:rsid w:val="00834DFD"/>
    <w:rsid w:val="00835110"/>
    <w:rsid w:val="008351FC"/>
    <w:rsid w:val="008355C3"/>
    <w:rsid w:val="00840063"/>
    <w:rsid w:val="0084166A"/>
    <w:rsid w:val="00841F50"/>
    <w:rsid w:val="00842DAD"/>
    <w:rsid w:val="00843A0E"/>
    <w:rsid w:val="008449A3"/>
    <w:rsid w:val="00845DFE"/>
    <w:rsid w:val="00846E17"/>
    <w:rsid w:val="00854283"/>
    <w:rsid w:val="0085551C"/>
    <w:rsid w:val="00856B7F"/>
    <w:rsid w:val="008573E3"/>
    <w:rsid w:val="00861E81"/>
    <w:rsid w:val="008645FF"/>
    <w:rsid w:val="00866D42"/>
    <w:rsid w:val="0086786C"/>
    <w:rsid w:val="00870084"/>
    <w:rsid w:val="0087030E"/>
    <w:rsid w:val="00870AAC"/>
    <w:rsid w:val="0087138C"/>
    <w:rsid w:val="0087154B"/>
    <w:rsid w:val="0087179B"/>
    <w:rsid w:val="008734F7"/>
    <w:rsid w:val="00874E9F"/>
    <w:rsid w:val="00877842"/>
    <w:rsid w:val="008806F8"/>
    <w:rsid w:val="008808E2"/>
    <w:rsid w:val="00881456"/>
    <w:rsid w:val="00881ACB"/>
    <w:rsid w:val="00881DC0"/>
    <w:rsid w:val="0088304F"/>
    <w:rsid w:val="00884856"/>
    <w:rsid w:val="008858F0"/>
    <w:rsid w:val="00885FC9"/>
    <w:rsid w:val="00887901"/>
    <w:rsid w:val="00887D1A"/>
    <w:rsid w:val="00890F3E"/>
    <w:rsid w:val="00891328"/>
    <w:rsid w:val="0089149D"/>
    <w:rsid w:val="00891A47"/>
    <w:rsid w:val="00892809"/>
    <w:rsid w:val="0089370F"/>
    <w:rsid w:val="008939AF"/>
    <w:rsid w:val="00893FED"/>
    <w:rsid w:val="0089449A"/>
    <w:rsid w:val="00895E48"/>
    <w:rsid w:val="00896687"/>
    <w:rsid w:val="00896DBA"/>
    <w:rsid w:val="008971F4"/>
    <w:rsid w:val="008A0E7D"/>
    <w:rsid w:val="008A3023"/>
    <w:rsid w:val="008A31A2"/>
    <w:rsid w:val="008A403F"/>
    <w:rsid w:val="008A4D5F"/>
    <w:rsid w:val="008A6815"/>
    <w:rsid w:val="008A6D14"/>
    <w:rsid w:val="008A74B5"/>
    <w:rsid w:val="008A7848"/>
    <w:rsid w:val="008B1031"/>
    <w:rsid w:val="008B1EA8"/>
    <w:rsid w:val="008B2303"/>
    <w:rsid w:val="008B34A0"/>
    <w:rsid w:val="008B3CF7"/>
    <w:rsid w:val="008B524F"/>
    <w:rsid w:val="008B5740"/>
    <w:rsid w:val="008B7127"/>
    <w:rsid w:val="008C0B84"/>
    <w:rsid w:val="008C41DA"/>
    <w:rsid w:val="008C553A"/>
    <w:rsid w:val="008C588E"/>
    <w:rsid w:val="008C7226"/>
    <w:rsid w:val="008D0BCC"/>
    <w:rsid w:val="008D14CA"/>
    <w:rsid w:val="008D17FC"/>
    <w:rsid w:val="008D2419"/>
    <w:rsid w:val="008D2789"/>
    <w:rsid w:val="008D7B80"/>
    <w:rsid w:val="008E4184"/>
    <w:rsid w:val="008E4BE2"/>
    <w:rsid w:val="008E549F"/>
    <w:rsid w:val="008E6301"/>
    <w:rsid w:val="008E73DE"/>
    <w:rsid w:val="008E7434"/>
    <w:rsid w:val="008F10BC"/>
    <w:rsid w:val="008F2052"/>
    <w:rsid w:val="008F26ED"/>
    <w:rsid w:val="008F2A38"/>
    <w:rsid w:val="008F2B22"/>
    <w:rsid w:val="008F2E74"/>
    <w:rsid w:val="008F3012"/>
    <w:rsid w:val="008F44B5"/>
    <w:rsid w:val="008F592B"/>
    <w:rsid w:val="008F7FD1"/>
    <w:rsid w:val="00900389"/>
    <w:rsid w:val="00901D14"/>
    <w:rsid w:val="00903775"/>
    <w:rsid w:val="0090557B"/>
    <w:rsid w:val="00905E41"/>
    <w:rsid w:val="009109F7"/>
    <w:rsid w:val="00911D4E"/>
    <w:rsid w:val="00911FCC"/>
    <w:rsid w:val="00912137"/>
    <w:rsid w:val="00912951"/>
    <w:rsid w:val="009139A7"/>
    <w:rsid w:val="009159BD"/>
    <w:rsid w:val="00915BED"/>
    <w:rsid w:val="00915DF1"/>
    <w:rsid w:val="00916894"/>
    <w:rsid w:val="00916B64"/>
    <w:rsid w:val="0092145D"/>
    <w:rsid w:val="009245DE"/>
    <w:rsid w:val="00925130"/>
    <w:rsid w:val="00930762"/>
    <w:rsid w:val="00930C0C"/>
    <w:rsid w:val="00934D92"/>
    <w:rsid w:val="00936B81"/>
    <w:rsid w:val="00936EA6"/>
    <w:rsid w:val="00942D6D"/>
    <w:rsid w:val="009441EF"/>
    <w:rsid w:val="00944701"/>
    <w:rsid w:val="009453A7"/>
    <w:rsid w:val="009456FC"/>
    <w:rsid w:val="00945BDC"/>
    <w:rsid w:val="00946991"/>
    <w:rsid w:val="00950ED1"/>
    <w:rsid w:val="009526F3"/>
    <w:rsid w:val="00952A7A"/>
    <w:rsid w:val="00953B67"/>
    <w:rsid w:val="0095444E"/>
    <w:rsid w:val="00955C67"/>
    <w:rsid w:val="009562B8"/>
    <w:rsid w:val="00957B65"/>
    <w:rsid w:val="00960AFF"/>
    <w:rsid w:val="00961DED"/>
    <w:rsid w:val="0096278F"/>
    <w:rsid w:val="00963F62"/>
    <w:rsid w:val="00965466"/>
    <w:rsid w:val="00965EFC"/>
    <w:rsid w:val="00966784"/>
    <w:rsid w:val="009674E8"/>
    <w:rsid w:val="009711A5"/>
    <w:rsid w:val="009762D2"/>
    <w:rsid w:val="009762F1"/>
    <w:rsid w:val="0097692D"/>
    <w:rsid w:val="009776D2"/>
    <w:rsid w:val="00977EA8"/>
    <w:rsid w:val="0098140D"/>
    <w:rsid w:val="00981CED"/>
    <w:rsid w:val="00982E96"/>
    <w:rsid w:val="00986C3F"/>
    <w:rsid w:val="00987225"/>
    <w:rsid w:val="00990870"/>
    <w:rsid w:val="00990DCF"/>
    <w:rsid w:val="00991ABC"/>
    <w:rsid w:val="009920F5"/>
    <w:rsid w:val="00992B56"/>
    <w:rsid w:val="00992CDA"/>
    <w:rsid w:val="00993342"/>
    <w:rsid w:val="00993926"/>
    <w:rsid w:val="00996C43"/>
    <w:rsid w:val="00996CE4"/>
    <w:rsid w:val="009A0FB3"/>
    <w:rsid w:val="009A1102"/>
    <w:rsid w:val="009A189A"/>
    <w:rsid w:val="009A3F36"/>
    <w:rsid w:val="009A48D8"/>
    <w:rsid w:val="009A4C66"/>
    <w:rsid w:val="009A57A7"/>
    <w:rsid w:val="009A6C59"/>
    <w:rsid w:val="009A7878"/>
    <w:rsid w:val="009A7EFA"/>
    <w:rsid w:val="009B0888"/>
    <w:rsid w:val="009B33DF"/>
    <w:rsid w:val="009B4270"/>
    <w:rsid w:val="009B44CC"/>
    <w:rsid w:val="009B5651"/>
    <w:rsid w:val="009B62E4"/>
    <w:rsid w:val="009C1B23"/>
    <w:rsid w:val="009C24B4"/>
    <w:rsid w:val="009C3AA2"/>
    <w:rsid w:val="009C4319"/>
    <w:rsid w:val="009C54E3"/>
    <w:rsid w:val="009C647A"/>
    <w:rsid w:val="009D109E"/>
    <w:rsid w:val="009D1CD9"/>
    <w:rsid w:val="009D1F28"/>
    <w:rsid w:val="009D4830"/>
    <w:rsid w:val="009D4EAB"/>
    <w:rsid w:val="009D6682"/>
    <w:rsid w:val="009D797A"/>
    <w:rsid w:val="009E026A"/>
    <w:rsid w:val="009E23F1"/>
    <w:rsid w:val="009E39FB"/>
    <w:rsid w:val="009E3B56"/>
    <w:rsid w:val="009E49B5"/>
    <w:rsid w:val="009E551E"/>
    <w:rsid w:val="009E7066"/>
    <w:rsid w:val="009F1EF8"/>
    <w:rsid w:val="009F2C6E"/>
    <w:rsid w:val="009F40FE"/>
    <w:rsid w:val="009F4604"/>
    <w:rsid w:val="009F4691"/>
    <w:rsid w:val="009F4B78"/>
    <w:rsid w:val="009F606B"/>
    <w:rsid w:val="009F6E66"/>
    <w:rsid w:val="00A00C12"/>
    <w:rsid w:val="00A012F0"/>
    <w:rsid w:val="00A02838"/>
    <w:rsid w:val="00A02AC3"/>
    <w:rsid w:val="00A04F81"/>
    <w:rsid w:val="00A0569A"/>
    <w:rsid w:val="00A06840"/>
    <w:rsid w:val="00A06EAD"/>
    <w:rsid w:val="00A1010A"/>
    <w:rsid w:val="00A11558"/>
    <w:rsid w:val="00A11828"/>
    <w:rsid w:val="00A1293C"/>
    <w:rsid w:val="00A136A2"/>
    <w:rsid w:val="00A14F9B"/>
    <w:rsid w:val="00A167F1"/>
    <w:rsid w:val="00A201C9"/>
    <w:rsid w:val="00A20523"/>
    <w:rsid w:val="00A2085F"/>
    <w:rsid w:val="00A20EC0"/>
    <w:rsid w:val="00A2126A"/>
    <w:rsid w:val="00A2150B"/>
    <w:rsid w:val="00A215D9"/>
    <w:rsid w:val="00A2292C"/>
    <w:rsid w:val="00A23FC3"/>
    <w:rsid w:val="00A24DB9"/>
    <w:rsid w:val="00A25F1B"/>
    <w:rsid w:val="00A26BB7"/>
    <w:rsid w:val="00A30C21"/>
    <w:rsid w:val="00A3288D"/>
    <w:rsid w:val="00A329DC"/>
    <w:rsid w:val="00A36E59"/>
    <w:rsid w:val="00A401B4"/>
    <w:rsid w:val="00A40AB3"/>
    <w:rsid w:val="00A41135"/>
    <w:rsid w:val="00A41FEB"/>
    <w:rsid w:val="00A44DA6"/>
    <w:rsid w:val="00A455C2"/>
    <w:rsid w:val="00A45F2E"/>
    <w:rsid w:val="00A50921"/>
    <w:rsid w:val="00A510B5"/>
    <w:rsid w:val="00A5160D"/>
    <w:rsid w:val="00A543F5"/>
    <w:rsid w:val="00A56CA4"/>
    <w:rsid w:val="00A57670"/>
    <w:rsid w:val="00A601D8"/>
    <w:rsid w:val="00A611B2"/>
    <w:rsid w:val="00A65F04"/>
    <w:rsid w:val="00A65F2E"/>
    <w:rsid w:val="00A66415"/>
    <w:rsid w:val="00A66EBA"/>
    <w:rsid w:val="00A67543"/>
    <w:rsid w:val="00A71AD5"/>
    <w:rsid w:val="00A748D0"/>
    <w:rsid w:val="00A74ED0"/>
    <w:rsid w:val="00A8073E"/>
    <w:rsid w:val="00A80883"/>
    <w:rsid w:val="00A81313"/>
    <w:rsid w:val="00A81BED"/>
    <w:rsid w:val="00A82711"/>
    <w:rsid w:val="00A82FC6"/>
    <w:rsid w:val="00A92270"/>
    <w:rsid w:val="00A95337"/>
    <w:rsid w:val="00AA10AE"/>
    <w:rsid w:val="00AA1417"/>
    <w:rsid w:val="00AA2AF9"/>
    <w:rsid w:val="00AA329F"/>
    <w:rsid w:val="00AA6595"/>
    <w:rsid w:val="00AA746C"/>
    <w:rsid w:val="00AA7B6A"/>
    <w:rsid w:val="00AB593E"/>
    <w:rsid w:val="00AB5D37"/>
    <w:rsid w:val="00AB683F"/>
    <w:rsid w:val="00AB6DF8"/>
    <w:rsid w:val="00AB7936"/>
    <w:rsid w:val="00AC24BF"/>
    <w:rsid w:val="00AC33F8"/>
    <w:rsid w:val="00AC4A2E"/>
    <w:rsid w:val="00AD1885"/>
    <w:rsid w:val="00AD2686"/>
    <w:rsid w:val="00AD3C66"/>
    <w:rsid w:val="00AD50BA"/>
    <w:rsid w:val="00AD7159"/>
    <w:rsid w:val="00AE02E7"/>
    <w:rsid w:val="00AE0F75"/>
    <w:rsid w:val="00AE319E"/>
    <w:rsid w:val="00AE3B2C"/>
    <w:rsid w:val="00AE3B4E"/>
    <w:rsid w:val="00AE40EA"/>
    <w:rsid w:val="00AE5BE0"/>
    <w:rsid w:val="00AE676F"/>
    <w:rsid w:val="00AE6995"/>
    <w:rsid w:val="00AE709C"/>
    <w:rsid w:val="00AE7C1D"/>
    <w:rsid w:val="00AE7DD9"/>
    <w:rsid w:val="00AF1BDD"/>
    <w:rsid w:val="00AF263B"/>
    <w:rsid w:val="00AF2B38"/>
    <w:rsid w:val="00AF346F"/>
    <w:rsid w:val="00AF3BD7"/>
    <w:rsid w:val="00AF4AA0"/>
    <w:rsid w:val="00AF610A"/>
    <w:rsid w:val="00B004C1"/>
    <w:rsid w:val="00B0168B"/>
    <w:rsid w:val="00B03458"/>
    <w:rsid w:val="00B04B8E"/>
    <w:rsid w:val="00B05484"/>
    <w:rsid w:val="00B0609F"/>
    <w:rsid w:val="00B0620F"/>
    <w:rsid w:val="00B1072F"/>
    <w:rsid w:val="00B11C32"/>
    <w:rsid w:val="00B13771"/>
    <w:rsid w:val="00B15355"/>
    <w:rsid w:val="00B15820"/>
    <w:rsid w:val="00B17320"/>
    <w:rsid w:val="00B215D8"/>
    <w:rsid w:val="00B2218A"/>
    <w:rsid w:val="00B246ED"/>
    <w:rsid w:val="00B26DD0"/>
    <w:rsid w:val="00B31782"/>
    <w:rsid w:val="00B323C4"/>
    <w:rsid w:val="00B330EE"/>
    <w:rsid w:val="00B338C8"/>
    <w:rsid w:val="00B33A29"/>
    <w:rsid w:val="00B341CC"/>
    <w:rsid w:val="00B34645"/>
    <w:rsid w:val="00B34A75"/>
    <w:rsid w:val="00B35321"/>
    <w:rsid w:val="00B35505"/>
    <w:rsid w:val="00B35CB3"/>
    <w:rsid w:val="00B35E0A"/>
    <w:rsid w:val="00B36792"/>
    <w:rsid w:val="00B36CFC"/>
    <w:rsid w:val="00B37985"/>
    <w:rsid w:val="00B40124"/>
    <w:rsid w:val="00B40B86"/>
    <w:rsid w:val="00B42E03"/>
    <w:rsid w:val="00B436A0"/>
    <w:rsid w:val="00B443B0"/>
    <w:rsid w:val="00B443E2"/>
    <w:rsid w:val="00B456BB"/>
    <w:rsid w:val="00B45752"/>
    <w:rsid w:val="00B45943"/>
    <w:rsid w:val="00B461F8"/>
    <w:rsid w:val="00B46222"/>
    <w:rsid w:val="00B46682"/>
    <w:rsid w:val="00B46993"/>
    <w:rsid w:val="00B47885"/>
    <w:rsid w:val="00B50C1A"/>
    <w:rsid w:val="00B50CC7"/>
    <w:rsid w:val="00B52363"/>
    <w:rsid w:val="00B52721"/>
    <w:rsid w:val="00B54092"/>
    <w:rsid w:val="00B5444C"/>
    <w:rsid w:val="00B54B9C"/>
    <w:rsid w:val="00B5568B"/>
    <w:rsid w:val="00B557BF"/>
    <w:rsid w:val="00B55BD6"/>
    <w:rsid w:val="00B56147"/>
    <w:rsid w:val="00B566A5"/>
    <w:rsid w:val="00B56D0B"/>
    <w:rsid w:val="00B5720A"/>
    <w:rsid w:val="00B5794C"/>
    <w:rsid w:val="00B604A0"/>
    <w:rsid w:val="00B60761"/>
    <w:rsid w:val="00B620A5"/>
    <w:rsid w:val="00B62AB7"/>
    <w:rsid w:val="00B62BB1"/>
    <w:rsid w:val="00B62F39"/>
    <w:rsid w:val="00B63559"/>
    <w:rsid w:val="00B6468E"/>
    <w:rsid w:val="00B666ED"/>
    <w:rsid w:val="00B67827"/>
    <w:rsid w:val="00B73979"/>
    <w:rsid w:val="00B751B0"/>
    <w:rsid w:val="00B75203"/>
    <w:rsid w:val="00B762E0"/>
    <w:rsid w:val="00B86C54"/>
    <w:rsid w:val="00B874C4"/>
    <w:rsid w:val="00B9137F"/>
    <w:rsid w:val="00B92B04"/>
    <w:rsid w:val="00B92BA6"/>
    <w:rsid w:val="00B93962"/>
    <w:rsid w:val="00B948F4"/>
    <w:rsid w:val="00B94A78"/>
    <w:rsid w:val="00B95A61"/>
    <w:rsid w:val="00B96F05"/>
    <w:rsid w:val="00B97AA2"/>
    <w:rsid w:val="00B97B8E"/>
    <w:rsid w:val="00B97F55"/>
    <w:rsid w:val="00BA00A8"/>
    <w:rsid w:val="00BA013D"/>
    <w:rsid w:val="00BA0378"/>
    <w:rsid w:val="00BA37A4"/>
    <w:rsid w:val="00BA3BB4"/>
    <w:rsid w:val="00BA4532"/>
    <w:rsid w:val="00BA4FB0"/>
    <w:rsid w:val="00BA5A8E"/>
    <w:rsid w:val="00BA6138"/>
    <w:rsid w:val="00BA65B2"/>
    <w:rsid w:val="00BA6CA8"/>
    <w:rsid w:val="00BB1773"/>
    <w:rsid w:val="00BB1930"/>
    <w:rsid w:val="00BB323D"/>
    <w:rsid w:val="00BB3478"/>
    <w:rsid w:val="00BC1A62"/>
    <w:rsid w:val="00BC2247"/>
    <w:rsid w:val="00BC48F2"/>
    <w:rsid w:val="00BC5572"/>
    <w:rsid w:val="00BC6652"/>
    <w:rsid w:val="00BD1295"/>
    <w:rsid w:val="00BD2696"/>
    <w:rsid w:val="00BD29BD"/>
    <w:rsid w:val="00BD497C"/>
    <w:rsid w:val="00BD57EE"/>
    <w:rsid w:val="00BD6A0E"/>
    <w:rsid w:val="00BE160E"/>
    <w:rsid w:val="00BE4E8A"/>
    <w:rsid w:val="00BE60EE"/>
    <w:rsid w:val="00BF0474"/>
    <w:rsid w:val="00BF082B"/>
    <w:rsid w:val="00BF09AD"/>
    <w:rsid w:val="00BF17BB"/>
    <w:rsid w:val="00BF2A79"/>
    <w:rsid w:val="00BF375F"/>
    <w:rsid w:val="00BF3C80"/>
    <w:rsid w:val="00BF6545"/>
    <w:rsid w:val="00BF686A"/>
    <w:rsid w:val="00C02372"/>
    <w:rsid w:val="00C0383B"/>
    <w:rsid w:val="00C044C3"/>
    <w:rsid w:val="00C06BE2"/>
    <w:rsid w:val="00C06E32"/>
    <w:rsid w:val="00C10453"/>
    <w:rsid w:val="00C1096A"/>
    <w:rsid w:val="00C115DF"/>
    <w:rsid w:val="00C13BCA"/>
    <w:rsid w:val="00C141B9"/>
    <w:rsid w:val="00C158CF"/>
    <w:rsid w:val="00C16518"/>
    <w:rsid w:val="00C1787D"/>
    <w:rsid w:val="00C20010"/>
    <w:rsid w:val="00C20F14"/>
    <w:rsid w:val="00C216BB"/>
    <w:rsid w:val="00C21F4C"/>
    <w:rsid w:val="00C21F52"/>
    <w:rsid w:val="00C22B7C"/>
    <w:rsid w:val="00C23B8E"/>
    <w:rsid w:val="00C2432A"/>
    <w:rsid w:val="00C24B7C"/>
    <w:rsid w:val="00C272D6"/>
    <w:rsid w:val="00C30CD3"/>
    <w:rsid w:val="00C3184D"/>
    <w:rsid w:val="00C31944"/>
    <w:rsid w:val="00C331FD"/>
    <w:rsid w:val="00C34031"/>
    <w:rsid w:val="00C34DCB"/>
    <w:rsid w:val="00C36D0C"/>
    <w:rsid w:val="00C3708D"/>
    <w:rsid w:val="00C4138A"/>
    <w:rsid w:val="00C42EB4"/>
    <w:rsid w:val="00C440B4"/>
    <w:rsid w:val="00C446F9"/>
    <w:rsid w:val="00C462CB"/>
    <w:rsid w:val="00C46F39"/>
    <w:rsid w:val="00C47AFE"/>
    <w:rsid w:val="00C5067F"/>
    <w:rsid w:val="00C50F95"/>
    <w:rsid w:val="00C515C3"/>
    <w:rsid w:val="00C51AA2"/>
    <w:rsid w:val="00C52E43"/>
    <w:rsid w:val="00C5451E"/>
    <w:rsid w:val="00C54587"/>
    <w:rsid w:val="00C54B74"/>
    <w:rsid w:val="00C55DB5"/>
    <w:rsid w:val="00C56423"/>
    <w:rsid w:val="00C56CD4"/>
    <w:rsid w:val="00C57B0D"/>
    <w:rsid w:val="00C60314"/>
    <w:rsid w:val="00C609C3"/>
    <w:rsid w:val="00C60E16"/>
    <w:rsid w:val="00C65E4E"/>
    <w:rsid w:val="00C66610"/>
    <w:rsid w:val="00C66648"/>
    <w:rsid w:val="00C66FEF"/>
    <w:rsid w:val="00C67024"/>
    <w:rsid w:val="00C70CB4"/>
    <w:rsid w:val="00C72164"/>
    <w:rsid w:val="00C727A7"/>
    <w:rsid w:val="00C728D5"/>
    <w:rsid w:val="00C743FE"/>
    <w:rsid w:val="00C75119"/>
    <w:rsid w:val="00C76820"/>
    <w:rsid w:val="00C76DD6"/>
    <w:rsid w:val="00C77DDE"/>
    <w:rsid w:val="00C90B62"/>
    <w:rsid w:val="00C91C08"/>
    <w:rsid w:val="00C91CCA"/>
    <w:rsid w:val="00C92A83"/>
    <w:rsid w:val="00C939C6"/>
    <w:rsid w:val="00C97F0E"/>
    <w:rsid w:val="00CA06AC"/>
    <w:rsid w:val="00CA0B86"/>
    <w:rsid w:val="00CA1D9E"/>
    <w:rsid w:val="00CA242A"/>
    <w:rsid w:val="00CA27BD"/>
    <w:rsid w:val="00CA2AB6"/>
    <w:rsid w:val="00CA36D0"/>
    <w:rsid w:val="00CA4458"/>
    <w:rsid w:val="00CA4BCC"/>
    <w:rsid w:val="00CA5E2F"/>
    <w:rsid w:val="00CA6932"/>
    <w:rsid w:val="00CB01D6"/>
    <w:rsid w:val="00CB057E"/>
    <w:rsid w:val="00CB0F8C"/>
    <w:rsid w:val="00CB311E"/>
    <w:rsid w:val="00CB6436"/>
    <w:rsid w:val="00CB71E1"/>
    <w:rsid w:val="00CC04BD"/>
    <w:rsid w:val="00CC0ED3"/>
    <w:rsid w:val="00CC1894"/>
    <w:rsid w:val="00CC2EE2"/>
    <w:rsid w:val="00CC3D03"/>
    <w:rsid w:val="00CC45DB"/>
    <w:rsid w:val="00CC5A13"/>
    <w:rsid w:val="00CC73FF"/>
    <w:rsid w:val="00CD04E2"/>
    <w:rsid w:val="00CD141E"/>
    <w:rsid w:val="00CD2799"/>
    <w:rsid w:val="00CD2F69"/>
    <w:rsid w:val="00CD45DA"/>
    <w:rsid w:val="00CD517C"/>
    <w:rsid w:val="00CD629A"/>
    <w:rsid w:val="00CE0F7B"/>
    <w:rsid w:val="00CE2EA4"/>
    <w:rsid w:val="00CE3F88"/>
    <w:rsid w:val="00CE5714"/>
    <w:rsid w:val="00CE5EF8"/>
    <w:rsid w:val="00CE6138"/>
    <w:rsid w:val="00CE6F59"/>
    <w:rsid w:val="00CE7AAB"/>
    <w:rsid w:val="00CF2673"/>
    <w:rsid w:val="00CF2DA1"/>
    <w:rsid w:val="00CF43B1"/>
    <w:rsid w:val="00CF5392"/>
    <w:rsid w:val="00CF6B4A"/>
    <w:rsid w:val="00D01C79"/>
    <w:rsid w:val="00D01E9F"/>
    <w:rsid w:val="00D037C1"/>
    <w:rsid w:val="00D04137"/>
    <w:rsid w:val="00D04427"/>
    <w:rsid w:val="00D05546"/>
    <w:rsid w:val="00D0614B"/>
    <w:rsid w:val="00D06AD1"/>
    <w:rsid w:val="00D073A8"/>
    <w:rsid w:val="00D1395F"/>
    <w:rsid w:val="00D14B2D"/>
    <w:rsid w:val="00D15210"/>
    <w:rsid w:val="00D164F1"/>
    <w:rsid w:val="00D17549"/>
    <w:rsid w:val="00D1784B"/>
    <w:rsid w:val="00D20768"/>
    <w:rsid w:val="00D20EDC"/>
    <w:rsid w:val="00D229DA"/>
    <w:rsid w:val="00D23512"/>
    <w:rsid w:val="00D24D97"/>
    <w:rsid w:val="00D252BE"/>
    <w:rsid w:val="00D26501"/>
    <w:rsid w:val="00D275F5"/>
    <w:rsid w:val="00D316F3"/>
    <w:rsid w:val="00D342E4"/>
    <w:rsid w:val="00D376F1"/>
    <w:rsid w:val="00D40F19"/>
    <w:rsid w:val="00D41143"/>
    <w:rsid w:val="00D41B9C"/>
    <w:rsid w:val="00D43CA8"/>
    <w:rsid w:val="00D4523D"/>
    <w:rsid w:val="00D4593F"/>
    <w:rsid w:val="00D45BD4"/>
    <w:rsid w:val="00D47170"/>
    <w:rsid w:val="00D47268"/>
    <w:rsid w:val="00D4775B"/>
    <w:rsid w:val="00D47AB8"/>
    <w:rsid w:val="00D55D94"/>
    <w:rsid w:val="00D5615A"/>
    <w:rsid w:val="00D56299"/>
    <w:rsid w:val="00D56566"/>
    <w:rsid w:val="00D5759E"/>
    <w:rsid w:val="00D577E0"/>
    <w:rsid w:val="00D6052B"/>
    <w:rsid w:val="00D643F6"/>
    <w:rsid w:val="00D647A4"/>
    <w:rsid w:val="00D6487A"/>
    <w:rsid w:val="00D648BB"/>
    <w:rsid w:val="00D64E04"/>
    <w:rsid w:val="00D65A5E"/>
    <w:rsid w:val="00D669D1"/>
    <w:rsid w:val="00D7049A"/>
    <w:rsid w:val="00D704F6"/>
    <w:rsid w:val="00D722B1"/>
    <w:rsid w:val="00D73FC9"/>
    <w:rsid w:val="00D74A82"/>
    <w:rsid w:val="00D753F6"/>
    <w:rsid w:val="00D7561F"/>
    <w:rsid w:val="00D7737D"/>
    <w:rsid w:val="00D77AB9"/>
    <w:rsid w:val="00D80184"/>
    <w:rsid w:val="00D80897"/>
    <w:rsid w:val="00D81375"/>
    <w:rsid w:val="00D8540E"/>
    <w:rsid w:val="00D85C4D"/>
    <w:rsid w:val="00D8730B"/>
    <w:rsid w:val="00D9072A"/>
    <w:rsid w:val="00D90D19"/>
    <w:rsid w:val="00D91074"/>
    <w:rsid w:val="00D94852"/>
    <w:rsid w:val="00D96D10"/>
    <w:rsid w:val="00D97FF2"/>
    <w:rsid w:val="00DA039C"/>
    <w:rsid w:val="00DA10B4"/>
    <w:rsid w:val="00DA6801"/>
    <w:rsid w:val="00DA6EBE"/>
    <w:rsid w:val="00DB27CC"/>
    <w:rsid w:val="00DB2A54"/>
    <w:rsid w:val="00DB4A90"/>
    <w:rsid w:val="00DB4EF9"/>
    <w:rsid w:val="00DB6016"/>
    <w:rsid w:val="00DC29FE"/>
    <w:rsid w:val="00DC430C"/>
    <w:rsid w:val="00DC60FB"/>
    <w:rsid w:val="00DC7151"/>
    <w:rsid w:val="00DC7319"/>
    <w:rsid w:val="00DC742E"/>
    <w:rsid w:val="00DC7767"/>
    <w:rsid w:val="00DD14B3"/>
    <w:rsid w:val="00DD38DC"/>
    <w:rsid w:val="00DD4459"/>
    <w:rsid w:val="00DD4488"/>
    <w:rsid w:val="00DD63FF"/>
    <w:rsid w:val="00DD647F"/>
    <w:rsid w:val="00DD71F7"/>
    <w:rsid w:val="00DD74A6"/>
    <w:rsid w:val="00DE01EC"/>
    <w:rsid w:val="00DE36A3"/>
    <w:rsid w:val="00DE5292"/>
    <w:rsid w:val="00DE5471"/>
    <w:rsid w:val="00DF1BBF"/>
    <w:rsid w:val="00DF20E2"/>
    <w:rsid w:val="00DF3145"/>
    <w:rsid w:val="00DF4B0E"/>
    <w:rsid w:val="00E00E08"/>
    <w:rsid w:val="00E01B8B"/>
    <w:rsid w:val="00E01E4B"/>
    <w:rsid w:val="00E03D46"/>
    <w:rsid w:val="00E040B0"/>
    <w:rsid w:val="00E062B0"/>
    <w:rsid w:val="00E0711E"/>
    <w:rsid w:val="00E0770C"/>
    <w:rsid w:val="00E10329"/>
    <w:rsid w:val="00E11EEF"/>
    <w:rsid w:val="00E12D2E"/>
    <w:rsid w:val="00E13157"/>
    <w:rsid w:val="00E14802"/>
    <w:rsid w:val="00E14DFA"/>
    <w:rsid w:val="00E16C76"/>
    <w:rsid w:val="00E17EA5"/>
    <w:rsid w:val="00E21411"/>
    <w:rsid w:val="00E229DB"/>
    <w:rsid w:val="00E2391B"/>
    <w:rsid w:val="00E24897"/>
    <w:rsid w:val="00E2560E"/>
    <w:rsid w:val="00E2571A"/>
    <w:rsid w:val="00E268CC"/>
    <w:rsid w:val="00E26C9B"/>
    <w:rsid w:val="00E26EDC"/>
    <w:rsid w:val="00E2713C"/>
    <w:rsid w:val="00E27B28"/>
    <w:rsid w:val="00E3039F"/>
    <w:rsid w:val="00E30B42"/>
    <w:rsid w:val="00E31963"/>
    <w:rsid w:val="00E326D3"/>
    <w:rsid w:val="00E342D7"/>
    <w:rsid w:val="00E35463"/>
    <w:rsid w:val="00E35487"/>
    <w:rsid w:val="00E35C26"/>
    <w:rsid w:val="00E40443"/>
    <w:rsid w:val="00E407E6"/>
    <w:rsid w:val="00E410EA"/>
    <w:rsid w:val="00E41428"/>
    <w:rsid w:val="00E41D5C"/>
    <w:rsid w:val="00E436A2"/>
    <w:rsid w:val="00E437F7"/>
    <w:rsid w:val="00E50BFE"/>
    <w:rsid w:val="00E52992"/>
    <w:rsid w:val="00E529F9"/>
    <w:rsid w:val="00E52A89"/>
    <w:rsid w:val="00E52EFF"/>
    <w:rsid w:val="00E55017"/>
    <w:rsid w:val="00E55416"/>
    <w:rsid w:val="00E557D1"/>
    <w:rsid w:val="00E56282"/>
    <w:rsid w:val="00E575D1"/>
    <w:rsid w:val="00E616BF"/>
    <w:rsid w:val="00E62DD1"/>
    <w:rsid w:val="00E63003"/>
    <w:rsid w:val="00E6350A"/>
    <w:rsid w:val="00E6364A"/>
    <w:rsid w:val="00E657C4"/>
    <w:rsid w:val="00E658AA"/>
    <w:rsid w:val="00E6656A"/>
    <w:rsid w:val="00E70D30"/>
    <w:rsid w:val="00E716BA"/>
    <w:rsid w:val="00E717F0"/>
    <w:rsid w:val="00E73EFB"/>
    <w:rsid w:val="00E75977"/>
    <w:rsid w:val="00E75CCD"/>
    <w:rsid w:val="00E76431"/>
    <w:rsid w:val="00E7686D"/>
    <w:rsid w:val="00E813BA"/>
    <w:rsid w:val="00E81CC3"/>
    <w:rsid w:val="00E81DC1"/>
    <w:rsid w:val="00E82484"/>
    <w:rsid w:val="00E8297A"/>
    <w:rsid w:val="00E85091"/>
    <w:rsid w:val="00E851ED"/>
    <w:rsid w:val="00E8590C"/>
    <w:rsid w:val="00E85F76"/>
    <w:rsid w:val="00E86294"/>
    <w:rsid w:val="00E87FE7"/>
    <w:rsid w:val="00E9026D"/>
    <w:rsid w:val="00E93590"/>
    <w:rsid w:val="00E93FD2"/>
    <w:rsid w:val="00E9410B"/>
    <w:rsid w:val="00E94506"/>
    <w:rsid w:val="00E95A7B"/>
    <w:rsid w:val="00E965EC"/>
    <w:rsid w:val="00E969E9"/>
    <w:rsid w:val="00EA01A0"/>
    <w:rsid w:val="00EA0BB5"/>
    <w:rsid w:val="00EA1273"/>
    <w:rsid w:val="00EA155A"/>
    <w:rsid w:val="00EA24D4"/>
    <w:rsid w:val="00EA2851"/>
    <w:rsid w:val="00EA3515"/>
    <w:rsid w:val="00EA4D22"/>
    <w:rsid w:val="00EA55FE"/>
    <w:rsid w:val="00EA7C8E"/>
    <w:rsid w:val="00EB0913"/>
    <w:rsid w:val="00EB0B4F"/>
    <w:rsid w:val="00EB1002"/>
    <w:rsid w:val="00EB1B59"/>
    <w:rsid w:val="00EB2C3A"/>
    <w:rsid w:val="00EB3E19"/>
    <w:rsid w:val="00EB4384"/>
    <w:rsid w:val="00EB459A"/>
    <w:rsid w:val="00EB4F0F"/>
    <w:rsid w:val="00EB6065"/>
    <w:rsid w:val="00EC07E8"/>
    <w:rsid w:val="00EC0826"/>
    <w:rsid w:val="00EC1A61"/>
    <w:rsid w:val="00EC475D"/>
    <w:rsid w:val="00EC4E99"/>
    <w:rsid w:val="00EC59C4"/>
    <w:rsid w:val="00EC69D5"/>
    <w:rsid w:val="00EC7B33"/>
    <w:rsid w:val="00ED3A21"/>
    <w:rsid w:val="00ED54F9"/>
    <w:rsid w:val="00ED67D9"/>
    <w:rsid w:val="00ED6982"/>
    <w:rsid w:val="00EE0218"/>
    <w:rsid w:val="00EE0E54"/>
    <w:rsid w:val="00EE1033"/>
    <w:rsid w:val="00EE12BA"/>
    <w:rsid w:val="00EE2DFB"/>
    <w:rsid w:val="00EE6693"/>
    <w:rsid w:val="00EE7979"/>
    <w:rsid w:val="00EF24BB"/>
    <w:rsid w:val="00EF2B90"/>
    <w:rsid w:val="00EF32F6"/>
    <w:rsid w:val="00EF3A4E"/>
    <w:rsid w:val="00EF4114"/>
    <w:rsid w:val="00EF448F"/>
    <w:rsid w:val="00EF4634"/>
    <w:rsid w:val="00EF472E"/>
    <w:rsid w:val="00EF4766"/>
    <w:rsid w:val="00EF4A5A"/>
    <w:rsid w:val="00EF4EC4"/>
    <w:rsid w:val="00EF66A9"/>
    <w:rsid w:val="00EF74D8"/>
    <w:rsid w:val="00F01898"/>
    <w:rsid w:val="00F01E2D"/>
    <w:rsid w:val="00F0338E"/>
    <w:rsid w:val="00F0416B"/>
    <w:rsid w:val="00F051EF"/>
    <w:rsid w:val="00F05A29"/>
    <w:rsid w:val="00F05EE0"/>
    <w:rsid w:val="00F06985"/>
    <w:rsid w:val="00F06A2B"/>
    <w:rsid w:val="00F07DE8"/>
    <w:rsid w:val="00F10320"/>
    <w:rsid w:val="00F131FE"/>
    <w:rsid w:val="00F156B3"/>
    <w:rsid w:val="00F15FD8"/>
    <w:rsid w:val="00F17681"/>
    <w:rsid w:val="00F21A1A"/>
    <w:rsid w:val="00F22813"/>
    <w:rsid w:val="00F22DD0"/>
    <w:rsid w:val="00F22FC8"/>
    <w:rsid w:val="00F251F7"/>
    <w:rsid w:val="00F25E8E"/>
    <w:rsid w:val="00F27F36"/>
    <w:rsid w:val="00F32B8C"/>
    <w:rsid w:val="00F32BC7"/>
    <w:rsid w:val="00F33383"/>
    <w:rsid w:val="00F33D5B"/>
    <w:rsid w:val="00F4018C"/>
    <w:rsid w:val="00F4030B"/>
    <w:rsid w:val="00F4184E"/>
    <w:rsid w:val="00F42F65"/>
    <w:rsid w:val="00F444F5"/>
    <w:rsid w:val="00F447F8"/>
    <w:rsid w:val="00F4602E"/>
    <w:rsid w:val="00F461A3"/>
    <w:rsid w:val="00F46870"/>
    <w:rsid w:val="00F46BCF"/>
    <w:rsid w:val="00F4769F"/>
    <w:rsid w:val="00F515AF"/>
    <w:rsid w:val="00F518D8"/>
    <w:rsid w:val="00F519E1"/>
    <w:rsid w:val="00F525B9"/>
    <w:rsid w:val="00F53E05"/>
    <w:rsid w:val="00F5550A"/>
    <w:rsid w:val="00F55823"/>
    <w:rsid w:val="00F55A56"/>
    <w:rsid w:val="00F56088"/>
    <w:rsid w:val="00F6031D"/>
    <w:rsid w:val="00F61303"/>
    <w:rsid w:val="00F6277E"/>
    <w:rsid w:val="00F64554"/>
    <w:rsid w:val="00F65606"/>
    <w:rsid w:val="00F66614"/>
    <w:rsid w:val="00F666BE"/>
    <w:rsid w:val="00F67764"/>
    <w:rsid w:val="00F71232"/>
    <w:rsid w:val="00F72E6D"/>
    <w:rsid w:val="00F72FFE"/>
    <w:rsid w:val="00F73681"/>
    <w:rsid w:val="00F73956"/>
    <w:rsid w:val="00F73E57"/>
    <w:rsid w:val="00F74722"/>
    <w:rsid w:val="00F7538D"/>
    <w:rsid w:val="00F75F45"/>
    <w:rsid w:val="00F82957"/>
    <w:rsid w:val="00F83BD2"/>
    <w:rsid w:val="00F83E5F"/>
    <w:rsid w:val="00F857CA"/>
    <w:rsid w:val="00F865FD"/>
    <w:rsid w:val="00F8750E"/>
    <w:rsid w:val="00F92C2B"/>
    <w:rsid w:val="00F93AAA"/>
    <w:rsid w:val="00F94241"/>
    <w:rsid w:val="00F945CD"/>
    <w:rsid w:val="00F94D9F"/>
    <w:rsid w:val="00F95ECF"/>
    <w:rsid w:val="00F9633D"/>
    <w:rsid w:val="00F9792C"/>
    <w:rsid w:val="00F97AAA"/>
    <w:rsid w:val="00FA4AD8"/>
    <w:rsid w:val="00FA5FEF"/>
    <w:rsid w:val="00FA6C7D"/>
    <w:rsid w:val="00FA7884"/>
    <w:rsid w:val="00FB24C0"/>
    <w:rsid w:val="00FB289E"/>
    <w:rsid w:val="00FB3581"/>
    <w:rsid w:val="00FB3597"/>
    <w:rsid w:val="00FB53CA"/>
    <w:rsid w:val="00FB5838"/>
    <w:rsid w:val="00FC0743"/>
    <w:rsid w:val="00FC1A93"/>
    <w:rsid w:val="00FC2265"/>
    <w:rsid w:val="00FC3750"/>
    <w:rsid w:val="00FC487C"/>
    <w:rsid w:val="00FC51A5"/>
    <w:rsid w:val="00FD0B36"/>
    <w:rsid w:val="00FD168A"/>
    <w:rsid w:val="00FD3643"/>
    <w:rsid w:val="00FD553C"/>
    <w:rsid w:val="00FD579B"/>
    <w:rsid w:val="00FD6F5E"/>
    <w:rsid w:val="00FE087D"/>
    <w:rsid w:val="00FE133D"/>
    <w:rsid w:val="00FE19F3"/>
    <w:rsid w:val="00FE2090"/>
    <w:rsid w:val="00FE2A52"/>
    <w:rsid w:val="00FE359D"/>
    <w:rsid w:val="00FE47EA"/>
    <w:rsid w:val="00FE4D5F"/>
    <w:rsid w:val="00FE5837"/>
    <w:rsid w:val="00FE6708"/>
    <w:rsid w:val="00FE6ECE"/>
    <w:rsid w:val="00FE7BC4"/>
    <w:rsid w:val="00FF0110"/>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078EAEE"/>
  <w15:chartTrackingRefBased/>
  <w15:docId w15:val="{EE2E236E-B7DC-4C8C-9D40-0DC79AC2C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320"/>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semiHidden/>
    <w:rsid w:val="00D81375"/>
    <w:rPr>
      <w:rFonts w:ascii="Tahoma" w:hAnsi="Tahoma" w:cs="Tahoma"/>
      <w:sz w:val="16"/>
      <w:szCs w:val="16"/>
    </w:rPr>
  </w:style>
  <w:style w:type="paragraph" w:styleId="Header">
    <w:name w:val="header"/>
    <w:basedOn w:val="Normal"/>
    <w:link w:val="HeaderChar"/>
    <w:rsid w:val="00881456"/>
    <w:pPr>
      <w:tabs>
        <w:tab w:val="center" w:pos="4536"/>
        <w:tab w:val="right" w:pos="9072"/>
      </w:tabs>
    </w:pPr>
    <w:rPr>
      <w:lang w:val="x-none"/>
    </w:rPr>
  </w:style>
  <w:style w:type="paragraph" w:styleId="Footer">
    <w:name w:val="footer"/>
    <w:basedOn w:val="Normal"/>
    <w:link w:val="FooterChar"/>
    <w:uiPriority w:val="99"/>
    <w:rsid w:val="00881456"/>
    <w:pPr>
      <w:tabs>
        <w:tab w:val="center" w:pos="4536"/>
        <w:tab w:val="right" w:pos="9072"/>
      </w:tabs>
    </w:p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004A23"/>
    <w:pPr>
      <w:spacing w:line="480" w:lineRule="auto"/>
    </w:pPr>
    <w:rPr>
      <w:lang w:val="en-US"/>
    </w:rPr>
  </w:style>
  <w:style w:type="paragraph" w:customStyle="1" w:styleId="Head1">
    <w:name w:val="Head 1"/>
    <w:basedOn w:val="Normal"/>
    <w:autoRedefine/>
    <w:rsid w:val="00004A23"/>
    <w:pPr>
      <w:spacing w:line="360" w:lineRule="auto"/>
    </w:pPr>
    <w:rPr>
      <w:b/>
      <w:lang w:val="en-US"/>
    </w:rPr>
  </w:style>
  <w:style w:type="paragraph" w:customStyle="1" w:styleId="Head2">
    <w:name w:val="Head 2"/>
    <w:basedOn w:val="Normal"/>
    <w:autoRedefine/>
    <w:rsid w:val="00004A23"/>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paragraph" w:customStyle="1" w:styleId="Tableofcontents">
    <w:name w:val="Table of contents"/>
    <w:basedOn w:val="Normal"/>
    <w:autoRedefine/>
    <w:rsid w:val="00004A23"/>
    <w:rPr>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2D16A0"/>
    <w:pPr>
      <w:spacing w:line="480" w:lineRule="auto"/>
    </w:pPr>
    <w:rPr>
      <w:lang w:val="en-US"/>
    </w:rPr>
  </w:style>
  <w:style w:type="character" w:customStyle="1" w:styleId="MaintextChar0">
    <w:name w:val="Main text Char"/>
    <w:link w:val="Maintext0"/>
    <w:rsid w:val="002D16A0"/>
    <w:rPr>
      <w:sz w:val="24"/>
      <w:szCs w:val="24"/>
      <w:lang w:val="en-US" w:eastAsia="ja-JP"/>
    </w:rPr>
  </w:style>
  <w:style w:type="paragraph" w:customStyle="1" w:styleId="Biography">
    <w:name w:val="Biography"/>
    <w:basedOn w:val="Normal"/>
    <w:autoRedefine/>
    <w:rsid w:val="00562E2B"/>
    <w:rPr>
      <w:i/>
      <w:lang w:val="en-US"/>
    </w:rPr>
  </w:style>
  <w:style w:type="character" w:customStyle="1" w:styleId="HeaderChar">
    <w:name w:val="Header Char"/>
    <w:link w:val="Header"/>
    <w:rsid w:val="00414465"/>
    <w:rPr>
      <w:sz w:val="24"/>
      <w:szCs w:val="24"/>
      <w:lang w:eastAsia="ja-JP"/>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semiHidden/>
    <w:unhideWhenUsed/>
    <w:rsid w:val="00664F6D"/>
    <w:rPr>
      <w:sz w:val="20"/>
      <w:szCs w:val="20"/>
      <w:lang w:val="x-none"/>
    </w:rPr>
  </w:style>
  <w:style w:type="character" w:customStyle="1" w:styleId="CommentTextChar">
    <w:name w:val="Comment Text Char"/>
    <w:link w:val="CommentText"/>
    <w:uiPriority w:val="99"/>
    <w:semiHidden/>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customStyle="1" w:styleId="FooterChar">
    <w:name w:val="Footer Char"/>
    <w:link w:val="Footer"/>
    <w:uiPriority w:val="99"/>
    <w:rsid w:val="007B7A09"/>
    <w:rPr>
      <w:sz w:val="24"/>
      <w:szCs w:val="24"/>
      <w:lang w:eastAsia="ja-JP"/>
    </w:rPr>
  </w:style>
  <w:style w:type="paragraph" w:styleId="ListParagraph">
    <w:name w:val="List Paragraph"/>
    <w:basedOn w:val="Normal"/>
    <w:uiPriority w:val="34"/>
    <w:qFormat/>
    <w:rsid w:val="005E0230"/>
    <w:pPr>
      <w:ind w:left="720"/>
      <w:contextualSpacing/>
    </w:pPr>
    <w:rPr>
      <w:rFonts w:asciiTheme="minorHAnsi" w:eastAsia="PMingLiU" w:hAnsiTheme="minorHAnsi" w:cstheme="minorBidi"/>
      <w:lang w:val="en-GB" w:eastAsia="zh-TW"/>
    </w:rPr>
  </w:style>
  <w:style w:type="table" w:styleId="TableGridLight">
    <w:name w:val="Grid Table Light"/>
    <w:basedOn w:val="TableNormal"/>
    <w:uiPriority w:val="40"/>
    <w:rsid w:val="00B1732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096406"/>
    <w:rPr>
      <w:color w:val="0563C1" w:themeColor="hyperlink"/>
      <w:u w:val="single"/>
    </w:rPr>
  </w:style>
  <w:style w:type="character" w:styleId="UnresolvedMention">
    <w:name w:val="Unresolved Mention"/>
    <w:basedOn w:val="DefaultParagraphFont"/>
    <w:uiPriority w:val="99"/>
    <w:semiHidden/>
    <w:unhideWhenUsed/>
    <w:rsid w:val="00096406"/>
    <w:rPr>
      <w:color w:val="605E5C"/>
      <w:shd w:val="clear" w:color="auto" w:fill="E1DFDD"/>
    </w:rPr>
  </w:style>
  <w:style w:type="character" w:styleId="PlaceholderText">
    <w:name w:val="Placeholder Text"/>
    <w:basedOn w:val="DefaultParagraphFont"/>
    <w:uiPriority w:val="99"/>
    <w:semiHidden/>
    <w:rsid w:val="001A0CA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2411094">
      <w:bodyDiv w:val="1"/>
      <w:marLeft w:val="0"/>
      <w:marRight w:val="0"/>
      <w:marTop w:val="0"/>
      <w:marBottom w:val="0"/>
      <w:divBdr>
        <w:top w:val="none" w:sz="0" w:space="0" w:color="auto"/>
        <w:left w:val="none" w:sz="0" w:space="0" w:color="auto"/>
        <w:bottom w:val="none" w:sz="0" w:space="0" w:color="auto"/>
        <w:right w:val="none" w:sz="0" w:space="0" w:color="auto"/>
      </w:divBdr>
    </w:div>
    <w:div w:id="1736663073">
      <w:bodyDiv w:val="1"/>
      <w:marLeft w:val="0"/>
      <w:marRight w:val="0"/>
      <w:marTop w:val="0"/>
      <w:marBottom w:val="0"/>
      <w:divBdr>
        <w:top w:val="none" w:sz="0" w:space="0" w:color="auto"/>
        <w:left w:val="none" w:sz="0" w:space="0" w:color="auto"/>
        <w:bottom w:val="none" w:sz="0" w:space="0" w:color="auto"/>
        <w:right w:val="none" w:sz="0" w:space="0" w:color="auto"/>
      </w:divBdr>
    </w:div>
    <w:div w:id="2058045643">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customXml" Target="../customXml/item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LWylie\Lokale%20Einstellungen\Anwendungsdaten\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3.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586CEA-9513-2D4B-AFA5-E871F0FCD208}">
  <ds:schemaRefs>
    <ds:schemaRef ds:uri="http://schemas.openxmlformats.org/officeDocument/2006/bibliography"/>
  </ds:schemaRefs>
</ds:datastoreItem>
</file>

<file path=customXml/itemProps2.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3.xml><?xml version="1.0" encoding="utf-8"?>
<ds:datastoreItem xmlns:ds="http://schemas.openxmlformats.org/officeDocument/2006/customXml" ds:itemID="{1A9B6455-C348-4714-A8BD-306BACBDC24D}"/>
</file>

<file path=customXml/itemProps4.xml><?xml version="1.0" encoding="utf-8"?>
<ds:datastoreItem xmlns:ds="http://schemas.openxmlformats.org/officeDocument/2006/customXml" ds:itemID="{9E64C67A-5A91-49E9-A58F-97F4532E3EC2}"/>
</file>

<file path=customXml/itemProps5.xml><?xml version="1.0" encoding="utf-8"?>
<ds:datastoreItem xmlns:ds="http://schemas.openxmlformats.org/officeDocument/2006/customXml" ds:itemID="{7D18EEA0-F215-4045-87F3-31E8736B8BFE}"/>
</file>

<file path=docProps/app.xml><?xml version="1.0" encoding="utf-8"?>
<Properties xmlns="http://schemas.openxmlformats.org/officeDocument/2006/extended-properties" xmlns:vt="http://schemas.openxmlformats.org/officeDocument/2006/docPropsVTypes">
  <Template>C:\Dokumente und Einstellungen\LWylie\Lokale Einstellungen\Anwendungsdaten\Chemistry Add-in for Word\Chemistry Gallery\Chem4Word.dotx</Template>
  <TotalTime>9</TotalTime>
  <Pages>18</Pages>
  <Words>5110</Words>
  <Characters>202082</Characters>
  <Application>Microsoft Office Word</Application>
  <DocSecurity>0</DocSecurity>
  <Lines>1684</Lines>
  <Paragraphs>413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DOI: 10</vt:lpstr>
      <vt:lpstr>DOI: 10</vt:lpstr>
    </vt:vector>
  </TitlesOfParts>
  <Company>WILEY-VCH Verlag GmbH &amp; Co. KGaA</Company>
  <LinksUpToDate>false</LinksUpToDate>
  <CharactersWithSpaces>206779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 10</dc:title>
  <dc:subject/>
  <dc:creator>ABoeer</dc:creator>
  <cp:keywords/>
  <cp:lastModifiedBy>Philip Chow</cp:lastModifiedBy>
  <cp:revision>14</cp:revision>
  <cp:lastPrinted>2021-03-23T06:54:00Z</cp:lastPrinted>
  <dcterms:created xsi:type="dcterms:W3CDTF">2021-05-18T15:31:00Z</dcterms:created>
  <dcterms:modified xsi:type="dcterms:W3CDTF">2025-11-18T04:29:00Z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http://www.zotero.org/styles/american-physics-society</vt:lpwstr>
  </property>
  <property fmtid="{D5CDD505-2E9C-101B-9397-08002B2CF9AE}" pid="3" name="Mendeley Recent Style Name 0_1">
    <vt:lpwstr>American Physics Society</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http://www.zotero.org/styles/chemical-reviews</vt:lpwstr>
  </property>
  <property fmtid="{D5CDD505-2E9C-101B-9397-08002B2CF9AE}" pid="7" name="Mendeley Recent Style Name 2_1">
    <vt:lpwstr>Chemical Reviews</vt:lpwstr>
  </property>
  <property fmtid="{D5CDD505-2E9C-101B-9397-08002B2CF9AE}" pid="8" name="Mendeley Recent Style Id 3_1">
    <vt:lpwstr>http://www.zotero.org/styles/chicago-fullnote-bibliography</vt:lpwstr>
  </property>
  <property fmtid="{D5CDD505-2E9C-101B-9397-08002B2CF9AE}" pid="9" name="Mendeley Recent Style Name 3_1">
    <vt:lpwstr>Chicago Manual of Style 17th edition (full note)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http://www.zotero.org/styles/nature</vt:lpwstr>
  </property>
  <property fmtid="{D5CDD505-2E9C-101B-9397-08002B2CF9AE}" pid="13" name="Mendeley Recent Style Name 5_1">
    <vt:lpwstr>Nature</vt:lpwstr>
  </property>
  <property fmtid="{D5CDD505-2E9C-101B-9397-08002B2CF9AE}" pid="14" name="Mendeley Recent Style Id 6_1">
    <vt:lpwstr>http://www.zotero.org/styles/physical-review-letters</vt:lpwstr>
  </property>
  <property fmtid="{D5CDD505-2E9C-101B-9397-08002B2CF9AE}" pid="15" name="Mendeley Recent Style Name 6_1">
    <vt:lpwstr>Physical Review Letters</vt:lpwstr>
  </property>
  <property fmtid="{D5CDD505-2E9C-101B-9397-08002B2CF9AE}" pid="16" name="Mendeley Recent Style Id 7_1">
    <vt:lpwstr>http://www.zotero.org/styles/science</vt:lpwstr>
  </property>
  <property fmtid="{D5CDD505-2E9C-101B-9397-08002B2CF9AE}" pid="17" name="Mendeley Recent Style Name 7_1">
    <vt:lpwstr>Science</vt:lpwstr>
  </property>
  <property fmtid="{D5CDD505-2E9C-101B-9397-08002B2CF9AE}" pid="18" name="Mendeley Recent Style Id 8_1">
    <vt:lpwstr>http://www.zotero.org/styles/the-journal-of-physical-chemistry-letters</vt:lpwstr>
  </property>
  <property fmtid="{D5CDD505-2E9C-101B-9397-08002B2CF9AE}" pid="19" name="Mendeley Recent Style Name 8_1">
    <vt:lpwstr>The Journal of Physical Chemistry Letters</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576e8ba4-fee9-3da4-a776-475adef25ae8</vt:lpwstr>
  </property>
  <property fmtid="{D5CDD505-2E9C-101B-9397-08002B2CF9AE}" pid="24" name="Mendeley Citation Style_1">
    <vt:lpwstr>http://www.zotero.org/styles/the-journal-of-physical-chemistry-letters</vt:lpwstr>
  </property>
  <property fmtid="{D5CDD505-2E9C-101B-9397-08002B2CF9AE}" pid="25" name="ContentTypeId">
    <vt:lpwstr>0x0101001A0E3DAEA65ABA4696FB57E9DC05F090</vt:lpwstr>
  </property>
</Properties>
</file>