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51A53" w14:textId="2D7D9CFE" w:rsidR="0054765A" w:rsidRPr="00BD4AFE" w:rsidRDefault="0020749F" w:rsidP="000571EF">
      <w:pPr>
        <w:spacing w:line="360" w:lineRule="auto"/>
        <w:rPr>
          <w:rFonts w:eastAsia="宋体"/>
          <w:b/>
          <w:bCs/>
          <w:lang w:val="en-US"/>
        </w:rPr>
      </w:pPr>
      <w:bookmarkStart w:id="0" w:name="_Hlk102197743"/>
      <w:r w:rsidRPr="0020749F">
        <w:rPr>
          <w:b/>
          <w:bCs/>
        </w:rPr>
        <w:t xml:space="preserve">High-efficiency </w:t>
      </w:r>
      <w:proofErr w:type="spellStart"/>
      <w:r w:rsidRPr="0020749F">
        <w:rPr>
          <w:b/>
          <w:bCs/>
        </w:rPr>
        <w:t>quantum-dot</w:t>
      </w:r>
      <w:proofErr w:type="spellEnd"/>
      <w:r w:rsidRPr="0020749F">
        <w:rPr>
          <w:b/>
          <w:bCs/>
        </w:rPr>
        <w:t xml:space="preserve"> light-</w:t>
      </w:r>
      <w:proofErr w:type="spellStart"/>
      <w:r w:rsidRPr="0020749F">
        <w:rPr>
          <w:b/>
          <w:bCs/>
        </w:rPr>
        <w:t>emitting</w:t>
      </w:r>
      <w:proofErr w:type="spellEnd"/>
      <w:r w:rsidRPr="0020749F">
        <w:rPr>
          <w:b/>
          <w:bCs/>
        </w:rPr>
        <w:t xml:space="preserve"> </w:t>
      </w:r>
      <w:proofErr w:type="spellStart"/>
      <w:r w:rsidRPr="0020749F">
        <w:rPr>
          <w:b/>
          <w:bCs/>
        </w:rPr>
        <w:t>diodes</w:t>
      </w:r>
      <w:proofErr w:type="spellEnd"/>
      <w:r w:rsidRPr="0020749F">
        <w:rPr>
          <w:b/>
          <w:bCs/>
        </w:rPr>
        <w:t xml:space="preserve"> </w:t>
      </w:r>
      <w:proofErr w:type="spellStart"/>
      <w:r w:rsidRPr="0020749F">
        <w:rPr>
          <w:b/>
          <w:bCs/>
        </w:rPr>
        <w:t>enabled</w:t>
      </w:r>
      <w:proofErr w:type="spellEnd"/>
      <w:r w:rsidRPr="0020749F">
        <w:rPr>
          <w:b/>
          <w:bCs/>
        </w:rPr>
        <w:t xml:space="preserve"> </w:t>
      </w:r>
      <w:proofErr w:type="spellStart"/>
      <w:r w:rsidRPr="0020749F">
        <w:rPr>
          <w:b/>
          <w:bCs/>
        </w:rPr>
        <w:t>by</w:t>
      </w:r>
      <w:proofErr w:type="spellEnd"/>
      <w:r w:rsidRPr="0020749F">
        <w:rPr>
          <w:b/>
          <w:bCs/>
        </w:rPr>
        <w:t xml:space="preserve"> </w:t>
      </w:r>
      <w:proofErr w:type="spellStart"/>
      <w:r w:rsidRPr="0020749F">
        <w:rPr>
          <w:b/>
          <w:bCs/>
        </w:rPr>
        <w:t>boosting</w:t>
      </w:r>
      <w:proofErr w:type="spellEnd"/>
      <w:r w:rsidRPr="0020749F">
        <w:rPr>
          <w:b/>
          <w:bCs/>
        </w:rPr>
        <w:t xml:space="preserve"> </w:t>
      </w:r>
      <w:proofErr w:type="spellStart"/>
      <w:r w:rsidRPr="0020749F">
        <w:rPr>
          <w:b/>
          <w:bCs/>
        </w:rPr>
        <w:t>the</w:t>
      </w:r>
      <w:proofErr w:type="spellEnd"/>
      <w:r w:rsidRPr="0020749F">
        <w:rPr>
          <w:b/>
          <w:bCs/>
        </w:rPr>
        <w:t xml:space="preserve"> </w:t>
      </w:r>
      <w:proofErr w:type="spellStart"/>
      <w:r w:rsidRPr="0020749F">
        <w:rPr>
          <w:b/>
          <w:bCs/>
        </w:rPr>
        <w:t>hole</w:t>
      </w:r>
      <w:proofErr w:type="spellEnd"/>
      <w:r w:rsidRPr="0020749F">
        <w:rPr>
          <w:b/>
          <w:bCs/>
        </w:rPr>
        <w:t xml:space="preserve"> </w:t>
      </w:r>
      <w:proofErr w:type="spellStart"/>
      <w:r w:rsidRPr="0020749F">
        <w:rPr>
          <w:b/>
          <w:bCs/>
        </w:rPr>
        <w:t>injection</w:t>
      </w:r>
      <w:proofErr w:type="spellEnd"/>
    </w:p>
    <w:p w14:paraId="621FBB34" w14:textId="77777777" w:rsidR="0054765A" w:rsidRPr="00BD4AFE" w:rsidRDefault="0054765A" w:rsidP="000571EF">
      <w:pPr>
        <w:spacing w:line="360" w:lineRule="auto"/>
        <w:rPr>
          <w:rFonts w:eastAsia="宋体"/>
          <w:b/>
          <w:bCs/>
          <w:lang w:val="en-US"/>
        </w:rPr>
      </w:pPr>
    </w:p>
    <w:p w14:paraId="765DA256" w14:textId="77777777" w:rsidR="0054765A" w:rsidRPr="00BD4AFE" w:rsidRDefault="0054765A" w:rsidP="000571EF">
      <w:pPr>
        <w:spacing w:line="360" w:lineRule="auto"/>
        <w:rPr>
          <w:rFonts w:eastAsia="宋体"/>
          <w:i/>
          <w:iCs/>
          <w:lang w:val="en-US"/>
        </w:rPr>
      </w:pPr>
      <w:proofErr w:type="spellStart"/>
      <w:r w:rsidRPr="00BD4AFE">
        <w:rPr>
          <w:rFonts w:eastAsia="宋体"/>
          <w:i/>
          <w:iCs/>
          <w:lang w:val="en-US"/>
        </w:rPr>
        <w:t>Chunyan</w:t>
      </w:r>
      <w:proofErr w:type="spellEnd"/>
      <w:r w:rsidRPr="00BD4AFE">
        <w:rPr>
          <w:rFonts w:eastAsia="宋体"/>
          <w:i/>
          <w:iCs/>
          <w:lang w:val="en-US"/>
        </w:rPr>
        <w:t xml:space="preserve"> Cheng</w:t>
      </w:r>
      <w:r w:rsidRPr="00BD4AFE">
        <w:rPr>
          <w:rFonts w:eastAsia="宋体"/>
          <w:i/>
          <w:iCs/>
          <w:vertAlign w:val="superscript"/>
          <w:lang w:val="en-US"/>
        </w:rPr>
        <w:t>1</w:t>
      </w:r>
      <w:r w:rsidRPr="00BD4AFE">
        <w:rPr>
          <w:rFonts w:eastAsia="宋体"/>
          <w:i/>
          <w:iCs/>
          <w:lang w:val="en-US"/>
        </w:rPr>
        <w:t xml:space="preserve">, </w:t>
      </w:r>
      <w:proofErr w:type="spellStart"/>
      <w:r w:rsidRPr="00BD4AFE">
        <w:rPr>
          <w:rFonts w:eastAsia="宋体"/>
          <w:i/>
          <w:iCs/>
          <w:lang w:val="en-US"/>
        </w:rPr>
        <w:t>Aqiang</w:t>
      </w:r>
      <w:proofErr w:type="spellEnd"/>
      <w:r w:rsidRPr="00BD4AFE">
        <w:rPr>
          <w:rFonts w:eastAsia="宋体"/>
          <w:i/>
          <w:iCs/>
          <w:lang w:val="en-US"/>
        </w:rPr>
        <w:t xml:space="preserve"> Liu</w:t>
      </w:r>
      <w:r w:rsidRPr="00BD4AFE">
        <w:rPr>
          <w:rFonts w:eastAsia="宋体"/>
          <w:i/>
          <w:iCs/>
          <w:vertAlign w:val="superscript"/>
          <w:lang w:val="en-US"/>
        </w:rPr>
        <w:t>1</w:t>
      </w:r>
      <w:r w:rsidRPr="00BD4AFE">
        <w:rPr>
          <w:rFonts w:eastAsia="宋体"/>
          <w:i/>
          <w:iCs/>
          <w:lang w:val="en-US"/>
        </w:rPr>
        <w:t xml:space="preserve">, </w:t>
      </w:r>
      <w:proofErr w:type="spellStart"/>
      <w:r w:rsidRPr="00BD4AFE">
        <w:rPr>
          <w:rFonts w:eastAsia="宋体"/>
          <w:i/>
          <w:iCs/>
          <w:lang w:val="en-US"/>
        </w:rPr>
        <w:t>Guohang</w:t>
      </w:r>
      <w:proofErr w:type="spellEnd"/>
      <w:r w:rsidRPr="00BD4AFE">
        <w:rPr>
          <w:rFonts w:eastAsia="宋体"/>
          <w:i/>
          <w:iCs/>
          <w:lang w:val="en-US"/>
        </w:rPr>
        <w:t xml:space="preserve"> Ba</w:t>
      </w:r>
      <w:r w:rsidRPr="00BD4AFE">
        <w:rPr>
          <w:rFonts w:eastAsia="宋体"/>
          <w:i/>
          <w:iCs/>
          <w:vertAlign w:val="superscript"/>
          <w:lang w:val="en-US"/>
        </w:rPr>
        <w:t>1</w:t>
      </w:r>
      <w:r w:rsidRPr="00BD4AFE">
        <w:rPr>
          <w:rFonts w:eastAsia="宋体"/>
          <w:i/>
          <w:iCs/>
          <w:lang w:val="en-US"/>
        </w:rPr>
        <w:t xml:space="preserve">, </w:t>
      </w:r>
      <w:r w:rsidRPr="00BD4AFE">
        <w:rPr>
          <w:i/>
          <w:iCs/>
          <w:szCs w:val="28"/>
          <w:lang w:val="en-US"/>
        </w:rPr>
        <w:t>Wallace C. H. Choy</w:t>
      </w:r>
      <w:r w:rsidRPr="00BD4AFE">
        <w:rPr>
          <w:i/>
          <w:iCs/>
          <w:szCs w:val="28"/>
          <w:vertAlign w:val="superscript"/>
          <w:lang w:val="en-US"/>
        </w:rPr>
        <w:t>2</w:t>
      </w:r>
      <w:r w:rsidRPr="00BD4AFE">
        <w:rPr>
          <w:i/>
          <w:iCs/>
          <w:szCs w:val="28"/>
          <w:lang w:val="en-US"/>
        </w:rPr>
        <w:t xml:space="preserve">, </w:t>
      </w:r>
      <w:r w:rsidRPr="00BD4AFE">
        <w:rPr>
          <w:rFonts w:eastAsia="宋体"/>
          <w:i/>
          <w:iCs/>
          <w:lang w:val="en-US"/>
        </w:rPr>
        <w:t xml:space="preserve">and </w:t>
      </w:r>
      <w:proofErr w:type="spellStart"/>
      <w:r w:rsidRPr="00BD4AFE">
        <w:rPr>
          <w:rFonts w:eastAsia="宋体"/>
          <w:i/>
          <w:iCs/>
          <w:lang w:val="en-US"/>
        </w:rPr>
        <w:t>Jianjun</w:t>
      </w:r>
      <w:proofErr w:type="spellEnd"/>
      <w:r w:rsidRPr="00BD4AFE">
        <w:rPr>
          <w:rFonts w:eastAsia="宋体"/>
          <w:i/>
          <w:iCs/>
          <w:lang w:val="en-US"/>
        </w:rPr>
        <w:t xml:space="preserve"> Tian</w:t>
      </w:r>
      <w:r w:rsidRPr="00BD4AFE">
        <w:rPr>
          <w:rFonts w:eastAsia="宋体"/>
          <w:i/>
          <w:iCs/>
          <w:vertAlign w:val="superscript"/>
          <w:lang w:val="en-US"/>
        </w:rPr>
        <w:t>1*</w:t>
      </w:r>
      <w:r w:rsidRPr="00BD4AFE">
        <w:rPr>
          <w:rFonts w:eastAsia="宋体"/>
          <w:i/>
          <w:iCs/>
          <w:lang w:val="en-US"/>
        </w:rPr>
        <w:t>.</w:t>
      </w:r>
    </w:p>
    <w:p w14:paraId="0129C564" w14:textId="77777777" w:rsidR="0054765A" w:rsidRPr="00BD4AFE" w:rsidRDefault="0054765A" w:rsidP="000571EF">
      <w:pPr>
        <w:spacing w:line="360" w:lineRule="auto"/>
        <w:rPr>
          <w:rFonts w:eastAsia="宋体"/>
          <w:lang w:val="en-US"/>
        </w:rPr>
      </w:pPr>
    </w:p>
    <w:p w14:paraId="3A864274" w14:textId="77777777" w:rsidR="0054765A" w:rsidRPr="00BD4AFE" w:rsidRDefault="0054765A" w:rsidP="000571EF">
      <w:pPr>
        <w:spacing w:line="360" w:lineRule="auto"/>
        <w:rPr>
          <w:rFonts w:eastAsia="宋体"/>
          <w:lang w:val="en-US"/>
        </w:rPr>
      </w:pPr>
      <w:proofErr w:type="spellStart"/>
      <w:r w:rsidRPr="00BD4AFE">
        <w:rPr>
          <w:rFonts w:eastAsia="宋体"/>
          <w:lang w:val="en-US"/>
        </w:rPr>
        <w:t>Chunyan</w:t>
      </w:r>
      <w:proofErr w:type="spellEnd"/>
      <w:r w:rsidRPr="00BD4AFE">
        <w:rPr>
          <w:rFonts w:eastAsia="宋体"/>
          <w:lang w:val="en-US"/>
        </w:rPr>
        <w:t xml:space="preserve"> Cheng, </w:t>
      </w:r>
      <w:proofErr w:type="spellStart"/>
      <w:r w:rsidRPr="00BD4AFE">
        <w:rPr>
          <w:rFonts w:eastAsia="宋体"/>
          <w:lang w:val="en-US"/>
        </w:rPr>
        <w:t>Aqiang</w:t>
      </w:r>
      <w:proofErr w:type="spellEnd"/>
      <w:r w:rsidRPr="00BD4AFE">
        <w:rPr>
          <w:rFonts w:eastAsia="宋体"/>
          <w:lang w:val="en-US"/>
        </w:rPr>
        <w:t xml:space="preserve"> Liu, </w:t>
      </w:r>
      <w:proofErr w:type="spellStart"/>
      <w:r w:rsidRPr="00BD4AFE">
        <w:rPr>
          <w:rFonts w:eastAsia="宋体"/>
          <w:lang w:val="en-US"/>
        </w:rPr>
        <w:t>Guohang</w:t>
      </w:r>
      <w:proofErr w:type="spellEnd"/>
      <w:r w:rsidRPr="00BD4AFE">
        <w:rPr>
          <w:rFonts w:eastAsia="宋体"/>
          <w:lang w:val="en-US"/>
        </w:rPr>
        <w:t xml:space="preserve"> Ba,</w:t>
      </w:r>
      <w:r w:rsidRPr="00BD4AFE">
        <w:rPr>
          <w:szCs w:val="28"/>
          <w:lang w:val="en-US"/>
        </w:rPr>
        <w:t xml:space="preserve"> </w:t>
      </w:r>
      <w:r w:rsidRPr="00BD4AFE">
        <w:rPr>
          <w:rFonts w:eastAsia="宋体"/>
          <w:lang w:val="en-US"/>
        </w:rPr>
        <w:t xml:space="preserve">and </w:t>
      </w:r>
      <w:proofErr w:type="spellStart"/>
      <w:r w:rsidRPr="00BD4AFE">
        <w:rPr>
          <w:rFonts w:eastAsia="宋体"/>
          <w:lang w:val="en-US"/>
        </w:rPr>
        <w:t>Jianjun</w:t>
      </w:r>
      <w:proofErr w:type="spellEnd"/>
      <w:r w:rsidRPr="00BD4AFE">
        <w:rPr>
          <w:rFonts w:eastAsia="宋体"/>
          <w:lang w:val="en-US"/>
        </w:rPr>
        <w:t xml:space="preserve"> Tian.</w:t>
      </w:r>
    </w:p>
    <w:p w14:paraId="4BB02DAA" w14:textId="77777777" w:rsidR="0054765A" w:rsidRPr="00BD4AFE" w:rsidRDefault="0054765A" w:rsidP="000571EF">
      <w:pPr>
        <w:spacing w:line="360" w:lineRule="auto"/>
        <w:rPr>
          <w:rFonts w:eastAsia="宋体"/>
          <w:lang w:val="en-US"/>
        </w:rPr>
      </w:pPr>
      <w:r w:rsidRPr="00BD4AFE">
        <w:rPr>
          <w:rFonts w:eastAsia="宋体"/>
          <w:lang w:val="en-US"/>
        </w:rPr>
        <w:t xml:space="preserve">Institute for Advanced Materials and Technology, </w:t>
      </w:r>
    </w:p>
    <w:p w14:paraId="40D4A9AD" w14:textId="77777777" w:rsidR="0054765A" w:rsidRPr="00BD4AFE" w:rsidRDefault="0054765A" w:rsidP="000571EF">
      <w:pPr>
        <w:spacing w:line="360" w:lineRule="auto"/>
        <w:rPr>
          <w:rFonts w:eastAsia="宋体"/>
          <w:lang w:val="en-US"/>
        </w:rPr>
      </w:pPr>
      <w:r w:rsidRPr="00BD4AFE">
        <w:rPr>
          <w:rFonts w:eastAsia="宋体"/>
          <w:lang w:val="en-US"/>
        </w:rPr>
        <w:t>University of Science and Technology Beijing, Beijing 100083, China</w:t>
      </w:r>
    </w:p>
    <w:p w14:paraId="397E204C" w14:textId="77777777" w:rsidR="0054765A" w:rsidRPr="00BD4AFE" w:rsidRDefault="0054765A" w:rsidP="000571EF">
      <w:pPr>
        <w:spacing w:line="360" w:lineRule="auto"/>
        <w:rPr>
          <w:rStyle w:val="af"/>
          <w:rFonts w:eastAsia="宋体"/>
        </w:rPr>
      </w:pPr>
      <w:r w:rsidRPr="00BD4AFE">
        <w:rPr>
          <w:rFonts w:eastAsia="宋体"/>
        </w:rPr>
        <w:t>*E-mail: tianjianjun@mater.ustb.edu.cn</w:t>
      </w:r>
    </w:p>
    <w:p w14:paraId="36A9E445" w14:textId="77777777" w:rsidR="0054765A" w:rsidRPr="00BD4AFE" w:rsidRDefault="0054765A" w:rsidP="000571EF">
      <w:pPr>
        <w:spacing w:line="360" w:lineRule="auto"/>
        <w:rPr>
          <w:rFonts w:eastAsia="宋体"/>
        </w:rPr>
      </w:pPr>
    </w:p>
    <w:p w14:paraId="2EA6EAAF" w14:textId="77777777" w:rsidR="0054765A" w:rsidRPr="00BD4AFE" w:rsidRDefault="0054765A" w:rsidP="000571EF">
      <w:pPr>
        <w:spacing w:line="360" w:lineRule="auto"/>
        <w:rPr>
          <w:rFonts w:eastAsia="宋体"/>
          <w:lang w:val="en-US"/>
        </w:rPr>
      </w:pPr>
      <w:r w:rsidRPr="00BD4AFE">
        <w:rPr>
          <w:szCs w:val="28"/>
          <w:lang w:val="en-US"/>
        </w:rPr>
        <w:t>Wallace C. H. Choy</w:t>
      </w:r>
    </w:p>
    <w:p w14:paraId="5485F737" w14:textId="77777777" w:rsidR="0054765A" w:rsidRPr="00BD4AFE" w:rsidRDefault="0054765A" w:rsidP="000571EF">
      <w:pPr>
        <w:spacing w:line="360" w:lineRule="auto"/>
        <w:rPr>
          <w:rFonts w:eastAsia="宋体"/>
          <w:lang w:val="en-US"/>
        </w:rPr>
      </w:pPr>
      <w:r w:rsidRPr="00BD4AFE">
        <w:rPr>
          <w:rFonts w:eastAsia="宋体"/>
          <w:lang w:val="en-US"/>
        </w:rPr>
        <w:t>Department of Electrical and Electronic Engineering, The University of Hong Kong, Pokfulam Road, Hong Kong, 999077, China</w:t>
      </w:r>
    </w:p>
    <w:bookmarkEnd w:id="0"/>
    <w:p w14:paraId="3269E94D" w14:textId="77777777" w:rsidR="0054765A" w:rsidRPr="00BD4AFE" w:rsidRDefault="0054765A" w:rsidP="000571EF">
      <w:pPr>
        <w:spacing w:line="360" w:lineRule="auto"/>
        <w:rPr>
          <w:b/>
          <w:bCs/>
          <w:lang w:val="en-US"/>
        </w:rPr>
      </w:pPr>
    </w:p>
    <w:p w14:paraId="2427ED2A" w14:textId="77777777" w:rsidR="0054765A" w:rsidRPr="00BD4AFE" w:rsidRDefault="0054765A" w:rsidP="000571EF">
      <w:pPr>
        <w:spacing w:line="360" w:lineRule="auto"/>
        <w:jc w:val="both"/>
        <w:rPr>
          <w:rFonts w:eastAsia="宋体"/>
          <w:lang w:val="en-US"/>
        </w:rPr>
      </w:pPr>
      <w:r w:rsidRPr="00BD4AFE">
        <w:rPr>
          <w:b/>
          <w:bCs/>
          <w:lang w:val="en-US"/>
        </w:rPr>
        <w:t>Keywords:</w:t>
      </w:r>
      <w:r w:rsidRPr="00BD4AFE">
        <w:rPr>
          <w:lang w:val="en-US"/>
        </w:rPr>
        <w:t xml:space="preserve"> </w:t>
      </w:r>
      <w:r w:rsidRPr="00BD4AFE">
        <w:rPr>
          <w:rFonts w:eastAsia="宋体"/>
          <w:lang w:val="en-US"/>
        </w:rPr>
        <w:t>quantum-dot light-emitting diode, hole transport layer, carrier mobility, doping, charge balance</w:t>
      </w:r>
    </w:p>
    <w:p w14:paraId="2AC234F5" w14:textId="77777777" w:rsidR="0054765A" w:rsidRPr="00BD4AFE" w:rsidRDefault="0054765A" w:rsidP="000571EF">
      <w:pPr>
        <w:spacing w:line="360" w:lineRule="auto"/>
        <w:rPr>
          <w:b/>
          <w:bCs/>
          <w:lang w:val="en-US"/>
        </w:rPr>
      </w:pPr>
    </w:p>
    <w:p w14:paraId="77766687" w14:textId="4F8453A9" w:rsidR="0054765A" w:rsidRPr="00BD4AFE" w:rsidRDefault="0054765A" w:rsidP="006C6780">
      <w:pPr>
        <w:spacing w:line="360" w:lineRule="auto"/>
        <w:jc w:val="both"/>
        <w:rPr>
          <w:rFonts w:eastAsia="宋体"/>
          <w:lang w:val="en-US"/>
        </w:rPr>
      </w:pPr>
      <w:r w:rsidRPr="00BD4AFE">
        <w:rPr>
          <w:b/>
          <w:bCs/>
          <w:lang w:val="en-US"/>
        </w:rPr>
        <w:t>Abstract:</w:t>
      </w:r>
      <w:r w:rsidRPr="00BD4AFE">
        <w:rPr>
          <w:lang w:val="en-US"/>
        </w:rPr>
        <w:t xml:space="preserve"> </w:t>
      </w:r>
      <w:r w:rsidRPr="00BD4AFE">
        <w:rPr>
          <w:rFonts w:eastAsia="宋体"/>
          <w:lang w:val="en-US"/>
        </w:rPr>
        <w:t>Solution-processed quantum-dot light</w:t>
      </w:r>
      <w:r w:rsidR="009E0FEC" w:rsidRPr="00BD4AFE">
        <w:rPr>
          <w:rFonts w:eastAsia="宋体"/>
          <w:lang w:val="en-US"/>
        </w:rPr>
        <w:t>-</w:t>
      </w:r>
      <w:r w:rsidRPr="00BD4AFE">
        <w:rPr>
          <w:rFonts w:eastAsia="宋体"/>
          <w:lang w:val="en-US"/>
        </w:rPr>
        <w:t>emitting diodes (QLEDs) are attractive owing to high color purity and low-cost fabrication for large</w:t>
      </w:r>
      <w:r w:rsidR="009E0FEC" w:rsidRPr="00BD4AFE">
        <w:rPr>
          <w:rFonts w:eastAsia="宋体"/>
          <w:lang w:val="en-US"/>
        </w:rPr>
        <w:t>-</w:t>
      </w:r>
      <w:r w:rsidRPr="00BD4AFE">
        <w:rPr>
          <w:rFonts w:eastAsia="宋体"/>
          <w:lang w:val="en-US"/>
        </w:rPr>
        <w:t xml:space="preserve">area display panels, but the inferior carrier mobility of the organic polymer hole transport layer (HTL) seriously suppresses the improvement in their efficiency. Here, we devise a high carrier mobility HTL, which is achieved by doping </w:t>
      </w:r>
      <w:bookmarkStart w:id="1" w:name="_Hlk102738753"/>
      <w:r w:rsidRPr="00BD4AFE">
        <w:rPr>
          <w:rFonts w:eastAsia="宋体"/>
          <w:lang w:val="en-US"/>
        </w:rPr>
        <w:t>poly(9-vinylcarbazole) (PVK) into poly[(9,9-dioctylfluorenyl-2,7-dily)-alt-(4,4</w:t>
      </w:r>
      <w:r w:rsidRPr="00BD4AFE">
        <w:rPr>
          <w:rFonts w:eastAsia="MS Gothic"/>
          <w:lang w:val="en-US"/>
        </w:rPr>
        <w:t>ˈ</w:t>
      </w:r>
      <w:r w:rsidRPr="00BD4AFE">
        <w:rPr>
          <w:rFonts w:eastAsia="宋体"/>
          <w:lang w:val="en-US"/>
        </w:rPr>
        <w:t>-(N-(4-butylphenyl)] (TFB)</w:t>
      </w:r>
      <w:bookmarkEnd w:id="1"/>
      <w:r w:rsidRPr="00BD4AFE">
        <w:rPr>
          <w:rFonts w:eastAsia="宋体"/>
          <w:lang w:val="en-US"/>
        </w:rPr>
        <w:t>. The hole mobility is increased from 1.08×10</w:t>
      </w:r>
      <w:r w:rsidRPr="00BD4AFE">
        <w:rPr>
          <w:rFonts w:eastAsia="宋体"/>
          <w:vertAlign w:val="superscript"/>
          <w:lang w:val="en-US"/>
        </w:rPr>
        <w:t>-3</w:t>
      </w:r>
      <w:r w:rsidRPr="00BD4AFE">
        <w:rPr>
          <w:rFonts w:eastAsia="宋体"/>
          <w:lang w:val="en-US"/>
        </w:rPr>
        <w:t xml:space="preserve"> to 2.09×10</w:t>
      </w:r>
      <w:r w:rsidRPr="00BD4AFE">
        <w:rPr>
          <w:rFonts w:eastAsia="宋体"/>
          <w:vertAlign w:val="superscript"/>
          <w:lang w:val="en-US"/>
        </w:rPr>
        <w:t>-3</w:t>
      </w:r>
      <w:r w:rsidRPr="00BD4AFE">
        <w:rPr>
          <w:rFonts w:eastAsia="宋体"/>
          <w:lang w:val="en-US"/>
        </w:rPr>
        <w:t>cm</w:t>
      </w:r>
      <w:r w:rsidRPr="00BD4AFE">
        <w:rPr>
          <w:rFonts w:eastAsia="宋体"/>
          <w:vertAlign w:val="superscript"/>
          <w:lang w:val="en-US"/>
        </w:rPr>
        <w:t>2</w:t>
      </w:r>
      <w:r w:rsidRPr="00BD4AFE">
        <w:rPr>
          <w:rFonts w:eastAsia="宋体"/>
          <w:lang w:val="en-US"/>
        </w:rPr>
        <w:t>·V</w:t>
      </w:r>
      <w:r w:rsidRPr="00BD4AFE">
        <w:rPr>
          <w:rFonts w:eastAsia="宋体"/>
          <w:vertAlign w:val="superscript"/>
          <w:lang w:val="en-US"/>
        </w:rPr>
        <w:t>-1</w:t>
      </w:r>
      <w:r w:rsidRPr="00BD4AFE">
        <w:rPr>
          <w:rFonts w:eastAsia="宋体"/>
          <w:lang w:val="en-US"/>
        </w:rPr>
        <w:t>·S</w:t>
      </w:r>
      <w:r w:rsidRPr="00BD4AFE">
        <w:rPr>
          <w:rFonts w:eastAsia="宋体"/>
          <w:vertAlign w:val="superscript"/>
          <w:lang w:val="en-US"/>
        </w:rPr>
        <w:t>-1</w:t>
      </w:r>
      <w:r w:rsidRPr="00BD4AFE">
        <w:rPr>
          <w:rFonts w:eastAsia="宋体"/>
          <w:lang w:val="en-US"/>
        </w:rPr>
        <w:t xml:space="preserve"> due to the increased </w:t>
      </w:r>
      <w:r w:rsidRPr="00BD4AFE">
        <w:rPr>
          <w:lang w:val="en-US"/>
        </w:rPr>
        <w:t>π-π stacking intensity</w:t>
      </w:r>
      <w:r w:rsidRPr="00BD4AFE">
        <w:rPr>
          <w:rFonts w:eastAsia="宋体"/>
          <w:lang w:val="en-US"/>
        </w:rPr>
        <w:t xml:space="preserve">. The highest occupied molecular orbital energy level is also downshifted to achieve well energy matching between the HTL and QDs, thus accelerating </w:t>
      </w:r>
      <w:r w:rsidR="004D4ADD" w:rsidRPr="00BD4AFE">
        <w:rPr>
          <w:rFonts w:eastAsia="宋体"/>
          <w:lang w:val="en-US"/>
        </w:rPr>
        <w:t xml:space="preserve">the </w:t>
      </w:r>
      <w:r w:rsidRPr="00BD4AFE">
        <w:rPr>
          <w:rFonts w:eastAsia="宋体"/>
          <w:lang w:val="en-US"/>
        </w:rPr>
        <w:t xml:space="preserve">hole transfer capability </w:t>
      </w:r>
      <w:r w:rsidR="004D4ADD" w:rsidRPr="00BD4AFE">
        <w:rPr>
          <w:rFonts w:eastAsia="宋体"/>
          <w:lang w:val="en-US"/>
        </w:rPr>
        <w:t xml:space="preserve">and </w:t>
      </w:r>
      <w:r w:rsidRPr="00BD4AFE">
        <w:rPr>
          <w:rFonts w:eastAsia="宋体"/>
          <w:lang w:val="en-US"/>
        </w:rPr>
        <w:t>balanc</w:t>
      </w:r>
      <w:r w:rsidR="004D4ADD" w:rsidRPr="00BD4AFE">
        <w:rPr>
          <w:rFonts w:eastAsia="宋体"/>
          <w:lang w:val="en-US"/>
        </w:rPr>
        <w:t>ing</w:t>
      </w:r>
      <w:r w:rsidRPr="00BD4AFE">
        <w:rPr>
          <w:rFonts w:eastAsia="宋体"/>
          <w:lang w:val="en-US"/>
        </w:rPr>
        <w:t xml:space="preserve"> the electron injection within the QLED. </w:t>
      </w:r>
      <w:bookmarkStart w:id="2" w:name="_Hlk101202644"/>
      <w:r w:rsidRPr="00BD4AFE">
        <w:rPr>
          <w:rFonts w:eastAsia="宋体"/>
          <w:lang w:val="en-US"/>
        </w:rPr>
        <w:t>In addition, the doped HTL shows a non-planar structure, which</w:t>
      </w:r>
      <w:bookmarkEnd w:id="2"/>
      <w:r w:rsidR="00D4725B" w:rsidRPr="00BD4AFE">
        <w:rPr>
          <w:rFonts w:eastAsia="宋体"/>
          <w:lang w:val="en-US"/>
        </w:rPr>
        <w:t xml:space="preserve"> reduces the</w:t>
      </w:r>
      <w:r w:rsidR="0057708D" w:rsidRPr="00BD4AFE">
        <w:rPr>
          <w:rFonts w:eastAsia="宋体"/>
          <w:lang w:val="en-US"/>
        </w:rPr>
        <w:t xml:space="preserve"> </w:t>
      </w:r>
      <w:r w:rsidR="00D4725B" w:rsidRPr="00BD4AFE">
        <w:rPr>
          <w:rFonts w:eastAsia="宋体"/>
          <w:lang w:val="en-US"/>
        </w:rPr>
        <w:t>total internal reflection in the device</w:t>
      </w:r>
      <w:r w:rsidRPr="00BD4AFE">
        <w:rPr>
          <w:rFonts w:eastAsia="宋体"/>
          <w:lang w:val="en-US"/>
        </w:rPr>
        <w:t xml:space="preserve">. </w:t>
      </w:r>
      <w:r w:rsidR="004D4ADD" w:rsidRPr="00BD4AFE">
        <w:rPr>
          <w:rFonts w:eastAsia="宋体"/>
          <w:lang w:val="en-US"/>
        </w:rPr>
        <w:t>Consequently</w:t>
      </w:r>
      <w:r w:rsidRPr="00BD4AFE">
        <w:rPr>
          <w:rFonts w:eastAsia="宋体"/>
          <w:lang w:val="en-US"/>
        </w:rPr>
        <w:t xml:space="preserve">, the QLEDs present </w:t>
      </w:r>
      <w:r w:rsidR="00556FFB" w:rsidRPr="00BD4AFE">
        <w:rPr>
          <w:rFonts w:eastAsia="宋体"/>
          <w:lang w:val="en-US"/>
        </w:rPr>
        <w:t xml:space="preserve">a </w:t>
      </w:r>
      <w:r w:rsidRPr="00BD4AFE">
        <w:rPr>
          <w:rFonts w:eastAsia="宋体"/>
          <w:lang w:val="en-US"/>
        </w:rPr>
        <w:t>high external quantum efficiency of 22.7%, luminance efficiency of 35.8 lm·W</w:t>
      </w:r>
      <w:r w:rsidRPr="00BD4AFE">
        <w:rPr>
          <w:rFonts w:eastAsia="宋体"/>
          <w:vertAlign w:val="superscript"/>
          <w:lang w:val="en-US"/>
        </w:rPr>
        <w:t>-1</w:t>
      </w:r>
      <w:r w:rsidRPr="00BD4AFE">
        <w:rPr>
          <w:rFonts w:eastAsia="宋体"/>
          <w:lang w:val="en-US"/>
        </w:rPr>
        <w:t>, and long-term continuous operation stability T</w:t>
      </w:r>
      <w:r w:rsidRPr="00BD4AFE">
        <w:rPr>
          <w:rFonts w:eastAsia="宋体"/>
          <w:vertAlign w:val="subscript"/>
          <w:lang w:val="en-US"/>
        </w:rPr>
        <w:t>95</w:t>
      </w:r>
      <w:r w:rsidRPr="00BD4AFE">
        <w:rPr>
          <w:rFonts w:eastAsia="宋体"/>
          <w:lang w:val="en-US"/>
        </w:rPr>
        <w:t xml:space="preserve"> &gt;2,400 h at 1000 cd m</w:t>
      </w:r>
      <w:r w:rsidRPr="00BD4AFE">
        <w:rPr>
          <w:rFonts w:eastAsia="宋体"/>
          <w:vertAlign w:val="superscript"/>
          <w:lang w:val="en-US"/>
        </w:rPr>
        <w:t>-2</w:t>
      </w:r>
      <w:r w:rsidRPr="00BD4AFE">
        <w:rPr>
          <w:rFonts w:eastAsia="宋体"/>
          <w:lang w:val="en-US"/>
        </w:rPr>
        <w:t>.</w:t>
      </w:r>
      <w:r w:rsidRPr="00BD4AFE">
        <w:rPr>
          <w:rFonts w:eastAsia="宋体"/>
          <w:lang w:val="en-US"/>
        </w:rPr>
        <w:br w:type="page"/>
      </w:r>
    </w:p>
    <w:p w14:paraId="14484CD8" w14:textId="77777777" w:rsidR="0054765A" w:rsidRPr="00BD4AFE" w:rsidRDefault="0054765A" w:rsidP="006E04FD">
      <w:pPr>
        <w:spacing w:line="360" w:lineRule="auto"/>
        <w:rPr>
          <w:b/>
          <w:bCs/>
          <w:lang w:val="en-US"/>
        </w:rPr>
      </w:pPr>
      <w:r w:rsidRPr="00BD4AFE">
        <w:rPr>
          <w:b/>
          <w:bCs/>
          <w:lang w:val="en-US"/>
        </w:rPr>
        <w:lastRenderedPageBreak/>
        <w:t>Introduction</w:t>
      </w:r>
    </w:p>
    <w:p w14:paraId="34B8C16D" w14:textId="3EA7BC74" w:rsidR="0054765A" w:rsidRPr="00BD4AFE" w:rsidRDefault="0054765A" w:rsidP="00010E9E">
      <w:pPr>
        <w:spacing w:line="360" w:lineRule="auto"/>
        <w:ind w:firstLineChars="100" w:firstLine="240"/>
        <w:jc w:val="both"/>
        <w:rPr>
          <w:rFonts w:eastAsia="宋体"/>
          <w:lang w:val="en-US"/>
        </w:rPr>
      </w:pPr>
      <w:r w:rsidRPr="00BD4AFE">
        <w:rPr>
          <w:rFonts w:eastAsia="宋体"/>
          <w:lang w:val="en-US"/>
        </w:rPr>
        <w:t xml:space="preserve">Solution-processed quantum dot light-emitting diodes (QLEDs) have shown great promising for the large area display panels owing to high purity emission color, low turn-on voltages, and low-cost solution-fabrication [1-7]. Since the QLEDs were first reported in 1994 [8], fast progress and significant achievements have been made in this field owing to the strategies of QDs modification and device structure optimization [9-12]. To date, the external quantum efficiencies (EQEs) </w:t>
      </w:r>
      <w:r w:rsidR="00D10918" w:rsidRPr="00BD4AFE">
        <w:rPr>
          <w:rFonts w:eastAsia="宋体"/>
          <w:lang w:val="en-US"/>
        </w:rPr>
        <w:t xml:space="preserve">of </w:t>
      </w:r>
      <w:r w:rsidRPr="00BD4AFE">
        <w:rPr>
          <w:rFonts w:eastAsia="宋体"/>
          <w:lang w:val="en-US"/>
        </w:rPr>
        <w:t>the state-of-the-art QLEDs are more than 20%, approaching to the conventional LEDs prepared by metal organic chemical vapor deposition (MOCVD) [13-15].</w:t>
      </w:r>
    </w:p>
    <w:p w14:paraId="2EE14CF6" w14:textId="09FC3A27" w:rsidR="0054765A" w:rsidRPr="00BD4AFE" w:rsidRDefault="0054765A" w:rsidP="00010E9E">
      <w:pPr>
        <w:spacing w:line="360" w:lineRule="auto"/>
        <w:ind w:firstLineChars="100" w:firstLine="240"/>
        <w:jc w:val="both"/>
        <w:rPr>
          <w:rFonts w:eastAsia="宋体"/>
          <w:lang w:val="en-US"/>
        </w:rPr>
      </w:pPr>
      <w:r w:rsidRPr="00BD4AFE">
        <w:rPr>
          <w:rFonts w:eastAsia="宋体"/>
          <w:lang w:val="en-US"/>
        </w:rPr>
        <w:t xml:space="preserve">In spite of this, the unbalanced carriers (electrons and holes) injection still is a severe issue that suppresses the efficiency improvement of the QLEDs, because the carrier mobility of the </w:t>
      </w:r>
      <w:r w:rsidR="001D3016" w:rsidRPr="00BD4AFE">
        <w:rPr>
          <w:rFonts w:eastAsia="宋体"/>
          <w:lang w:val="en-US"/>
        </w:rPr>
        <w:t xml:space="preserve">typical organic-based </w:t>
      </w:r>
      <w:r w:rsidRPr="00BD4AFE">
        <w:rPr>
          <w:rFonts w:eastAsia="宋体"/>
          <w:lang w:val="en-US"/>
        </w:rPr>
        <w:t xml:space="preserve">hole transport layer (HTL) is much lower than that of the ZnO inorganic electron transport layer (ETL). To address this problem, some metal elements are doped into ZnO to regulate its bandgap and work function for suppressing electrons injection rate, thus improving the carrier injection balance within the devices [16-18]. The other strategy is to slow down electron injection rate by inserting an insulator layer between the ETL and the QDs layer [13, 19]. Suppressing electrons injection rate will sacrifice the current efficiency of the devices, because the </w:t>
      </w:r>
      <w:r w:rsidR="00CE2E1B" w:rsidRPr="00BD4AFE">
        <w:rPr>
          <w:rFonts w:eastAsia="宋体"/>
          <w:lang w:val="en-US"/>
        </w:rPr>
        <w:t xml:space="preserve">electrons </w:t>
      </w:r>
      <w:r w:rsidRPr="00BD4AFE">
        <w:rPr>
          <w:rFonts w:eastAsia="宋体"/>
          <w:lang w:val="en-US"/>
        </w:rPr>
        <w:t xml:space="preserve">cannot be fully converted to excitons or photons. </w:t>
      </w:r>
      <w:r w:rsidR="00CE2E1B" w:rsidRPr="00BD4AFE">
        <w:rPr>
          <w:rFonts w:eastAsia="宋体"/>
          <w:lang w:val="en-US"/>
        </w:rPr>
        <w:t>Differently</w:t>
      </w:r>
      <w:r w:rsidRPr="00BD4AFE">
        <w:rPr>
          <w:rFonts w:eastAsia="宋体"/>
          <w:lang w:val="en-US"/>
        </w:rPr>
        <w:t xml:space="preserve">, boosting </w:t>
      </w:r>
      <w:r w:rsidR="00CE2E1B" w:rsidRPr="00BD4AFE">
        <w:rPr>
          <w:rFonts w:eastAsia="宋体"/>
          <w:lang w:val="en-US"/>
        </w:rPr>
        <w:t xml:space="preserve">the </w:t>
      </w:r>
      <w:r w:rsidRPr="00BD4AFE">
        <w:rPr>
          <w:rFonts w:eastAsia="宋体"/>
          <w:lang w:val="en-US"/>
        </w:rPr>
        <w:t>hole mobility and transfer rate of HTL is an ideal way to construct high efficiency QLEDs.</w:t>
      </w:r>
    </w:p>
    <w:p w14:paraId="14525575" w14:textId="784F4714" w:rsidR="0054765A" w:rsidRPr="00BD4AFE" w:rsidRDefault="0054765A" w:rsidP="00010E9E">
      <w:pPr>
        <w:spacing w:line="360" w:lineRule="auto"/>
        <w:ind w:firstLineChars="100" w:firstLine="240"/>
        <w:jc w:val="both"/>
        <w:rPr>
          <w:rFonts w:eastAsia="宋体"/>
          <w:lang w:val="en-US"/>
        </w:rPr>
      </w:pPr>
      <w:r w:rsidRPr="00BD4AFE">
        <w:rPr>
          <w:rFonts w:eastAsia="宋体"/>
          <w:lang w:val="en-US"/>
        </w:rPr>
        <w:t xml:space="preserve">Herein, we devise a fast carrier mobility HTL by doping poly(9-vinylcarbazole) (PVK) into poly[(9,9-dioctylfluorenyl-2,7-dily)-alt-(4,4ˈ-(N-(4-butylphenyl)] (TFB). The hole mobility of doped TFB (P-TFB) HTL was increased </w:t>
      </w:r>
      <w:r w:rsidRPr="00BD4AFE">
        <w:rPr>
          <w:lang w:val="en-US"/>
        </w:rPr>
        <w:t xml:space="preserve">from </w:t>
      </w:r>
      <w:r w:rsidRPr="00BD4AFE">
        <w:rPr>
          <w:rFonts w:eastAsia="宋体"/>
          <w:lang w:val="en-US"/>
        </w:rPr>
        <w:t>1.08×10</w:t>
      </w:r>
      <w:r w:rsidRPr="00BD4AFE">
        <w:rPr>
          <w:rFonts w:eastAsia="宋体"/>
          <w:vertAlign w:val="superscript"/>
          <w:lang w:val="en-US"/>
        </w:rPr>
        <w:t>-3</w:t>
      </w:r>
      <w:r w:rsidRPr="00BD4AFE">
        <w:rPr>
          <w:rFonts w:eastAsia="宋体"/>
          <w:lang w:val="en-US"/>
        </w:rPr>
        <w:t xml:space="preserve"> to 2.09×10</w:t>
      </w:r>
      <w:r w:rsidRPr="00BD4AFE">
        <w:rPr>
          <w:rFonts w:eastAsia="宋体"/>
          <w:vertAlign w:val="superscript"/>
          <w:lang w:val="en-US"/>
        </w:rPr>
        <w:t>-3</w:t>
      </w:r>
      <w:r w:rsidRPr="00BD4AFE">
        <w:rPr>
          <w:rFonts w:eastAsia="宋体"/>
          <w:lang w:val="en-US"/>
        </w:rPr>
        <w:t>cm</w:t>
      </w:r>
      <w:r w:rsidRPr="00BD4AFE">
        <w:rPr>
          <w:rFonts w:eastAsia="宋体"/>
          <w:vertAlign w:val="superscript"/>
          <w:lang w:val="en-US"/>
        </w:rPr>
        <w:t>2</w:t>
      </w:r>
      <w:r w:rsidRPr="00BD4AFE">
        <w:rPr>
          <w:rFonts w:eastAsia="宋体"/>
          <w:lang w:val="en-US"/>
        </w:rPr>
        <w:t>·V</w:t>
      </w:r>
      <w:r w:rsidRPr="00BD4AFE">
        <w:rPr>
          <w:rFonts w:eastAsia="宋体"/>
          <w:vertAlign w:val="superscript"/>
          <w:lang w:val="en-US"/>
        </w:rPr>
        <w:t>-1</w:t>
      </w:r>
      <w:r w:rsidRPr="00BD4AFE">
        <w:rPr>
          <w:rFonts w:eastAsia="宋体"/>
          <w:lang w:val="en-US"/>
        </w:rPr>
        <w:t>·S</w:t>
      </w:r>
      <w:r w:rsidRPr="00BD4AFE">
        <w:rPr>
          <w:rFonts w:eastAsia="宋体"/>
          <w:vertAlign w:val="superscript"/>
          <w:lang w:val="en-US"/>
        </w:rPr>
        <w:t>-1</w:t>
      </w:r>
      <w:r w:rsidRPr="00BD4AFE">
        <w:rPr>
          <w:rFonts w:eastAsia="宋体"/>
          <w:lang w:val="en-US"/>
        </w:rPr>
        <w:t xml:space="preserve">, which is attributed to the increased </w:t>
      </w:r>
      <w:r w:rsidRPr="00BD4AFE">
        <w:rPr>
          <w:lang w:val="en-US"/>
        </w:rPr>
        <w:t>π-π stacking intensity.</w:t>
      </w:r>
      <w:r w:rsidRPr="00BD4AFE">
        <w:rPr>
          <w:rFonts w:eastAsia="宋体"/>
          <w:lang w:val="en-US"/>
        </w:rPr>
        <w:t xml:space="preserve"> Meanwhile, the highest occupied molecular orbital (HOMO) energy level of the P-TFB </w:t>
      </w:r>
      <w:r w:rsidR="002D3C02" w:rsidRPr="00BD4AFE">
        <w:rPr>
          <w:rFonts w:eastAsia="宋体"/>
          <w:lang w:val="en-US"/>
        </w:rPr>
        <w:t xml:space="preserve">is </w:t>
      </w:r>
      <w:r w:rsidRPr="00BD4AFE">
        <w:rPr>
          <w:rFonts w:eastAsia="宋体"/>
          <w:lang w:val="en-US"/>
        </w:rPr>
        <w:t xml:space="preserve">reduced to achieve well energy matching between the HTL and QDs. The increased hole mobility and downshifted HOMO of the P-TFB </w:t>
      </w:r>
      <w:r w:rsidR="002D3C02" w:rsidRPr="00BD4AFE">
        <w:rPr>
          <w:rFonts w:eastAsia="宋体"/>
          <w:lang w:val="en-US"/>
        </w:rPr>
        <w:t xml:space="preserve">enhance </w:t>
      </w:r>
      <w:r w:rsidRPr="00BD4AFE">
        <w:rPr>
          <w:rFonts w:eastAsia="宋体"/>
          <w:lang w:val="en-US"/>
        </w:rPr>
        <w:t xml:space="preserve">the hole transfer capability </w:t>
      </w:r>
      <w:r w:rsidR="002D3C02" w:rsidRPr="00BD4AFE">
        <w:rPr>
          <w:rFonts w:eastAsia="宋体"/>
          <w:lang w:val="en-US"/>
        </w:rPr>
        <w:t xml:space="preserve">and </w:t>
      </w:r>
      <w:r w:rsidRPr="00BD4AFE">
        <w:rPr>
          <w:rFonts w:eastAsia="宋体"/>
          <w:lang w:val="en-US"/>
        </w:rPr>
        <w:t>balance with the electron injection within the QLED. In addition, the non-planar structure of the P-TFB HTL</w:t>
      </w:r>
      <w:r w:rsidR="00BD4AFE" w:rsidRPr="00BD4AFE">
        <w:rPr>
          <w:rFonts w:eastAsia="宋体"/>
          <w:lang w:val="en-US"/>
        </w:rPr>
        <w:t xml:space="preserve"> decreases the total internal reflection in the device</w:t>
      </w:r>
      <w:r w:rsidRPr="00BD4AFE">
        <w:rPr>
          <w:rFonts w:eastAsia="宋体"/>
          <w:lang w:val="en-US"/>
        </w:rPr>
        <w:t xml:space="preserve"> . As a result, the QLEDs present </w:t>
      </w:r>
      <w:r w:rsidR="00AE700B" w:rsidRPr="00BD4AFE">
        <w:rPr>
          <w:rFonts w:eastAsia="宋体"/>
          <w:lang w:val="en-US"/>
        </w:rPr>
        <w:t xml:space="preserve">a </w:t>
      </w:r>
      <w:r w:rsidRPr="00BD4AFE">
        <w:rPr>
          <w:rFonts w:eastAsia="宋体"/>
          <w:lang w:val="en-US"/>
        </w:rPr>
        <w:t>high external quantum efficiency of 22.7% and luminance efficiency of 35.8 lm·W</w:t>
      </w:r>
      <w:r w:rsidRPr="00BD4AFE">
        <w:rPr>
          <w:rFonts w:eastAsia="宋体"/>
          <w:vertAlign w:val="superscript"/>
          <w:lang w:val="en-US"/>
        </w:rPr>
        <w:t>-1</w:t>
      </w:r>
      <w:r w:rsidRPr="00BD4AFE">
        <w:rPr>
          <w:rFonts w:eastAsia="宋体"/>
          <w:lang w:val="en-US"/>
        </w:rPr>
        <w:t>. The device also showed excellent operation stability, the T</w:t>
      </w:r>
      <w:r w:rsidRPr="00BD4AFE">
        <w:rPr>
          <w:rFonts w:eastAsia="宋体"/>
          <w:vertAlign w:val="subscript"/>
          <w:lang w:val="en-US"/>
        </w:rPr>
        <w:t>95</w:t>
      </w:r>
      <w:r w:rsidRPr="00BD4AFE">
        <w:rPr>
          <w:rFonts w:eastAsia="宋体"/>
          <w:lang w:val="en-US"/>
        </w:rPr>
        <w:t xml:space="preserve"> (the time required for the luminance decrease to 95% of the initial value) </w:t>
      </w:r>
      <w:r w:rsidR="00440EC0" w:rsidRPr="00BD4AFE">
        <w:rPr>
          <w:rFonts w:eastAsia="宋体"/>
          <w:lang w:val="en-US"/>
        </w:rPr>
        <w:t xml:space="preserve">is </w:t>
      </w:r>
      <w:r w:rsidRPr="00BD4AFE">
        <w:rPr>
          <w:rFonts w:eastAsia="宋体"/>
          <w:lang w:val="en-US"/>
        </w:rPr>
        <w:t>up to 2438 h at 1000 cd m</w:t>
      </w:r>
      <w:r w:rsidRPr="00BD4AFE">
        <w:rPr>
          <w:rFonts w:eastAsia="宋体"/>
          <w:vertAlign w:val="superscript"/>
          <w:lang w:val="en-US"/>
        </w:rPr>
        <w:t>-2</w:t>
      </w:r>
      <w:r w:rsidRPr="00BD4AFE">
        <w:rPr>
          <w:rFonts w:eastAsia="宋体"/>
          <w:lang w:val="en-US"/>
        </w:rPr>
        <w:t>.</w:t>
      </w:r>
    </w:p>
    <w:p w14:paraId="118FFD34" w14:textId="77777777" w:rsidR="00FA188E" w:rsidRPr="00BD4AFE" w:rsidRDefault="00FA188E" w:rsidP="00010E9E">
      <w:pPr>
        <w:spacing w:line="360" w:lineRule="auto"/>
        <w:ind w:firstLineChars="100" w:firstLine="240"/>
        <w:jc w:val="both"/>
        <w:rPr>
          <w:rFonts w:eastAsia="宋体"/>
          <w:lang w:val="en-US"/>
        </w:rPr>
      </w:pPr>
    </w:p>
    <w:p w14:paraId="35A5260C" w14:textId="77777777" w:rsidR="0054765A" w:rsidRPr="00BD4AFE" w:rsidRDefault="0054765A" w:rsidP="006E04FD">
      <w:pPr>
        <w:spacing w:line="360" w:lineRule="auto"/>
        <w:rPr>
          <w:b/>
          <w:bCs/>
          <w:lang w:val="en-US"/>
        </w:rPr>
      </w:pPr>
      <w:r w:rsidRPr="00BD4AFE">
        <w:rPr>
          <w:b/>
          <w:bCs/>
          <w:lang w:val="en-US"/>
        </w:rPr>
        <w:t>Results and discussion</w:t>
      </w:r>
    </w:p>
    <w:p w14:paraId="1BB16B36" w14:textId="078E14DB" w:rsidR="0054765A" w:rsidRPr="00BD4AFE" w:rsidRDefault="0054765A" w:rsidP="0054765A">
      <w:pPr>
        <w:spacing w:line="480" w:lineRule="auto"/>
        <w:rPr>
          <w:lang w:val="en-US"/>
        </w:rPr>
      </w:pPr>
      <w:r w:rsidRPr="00BD4AFE">
        <w:rPr>
          <w:noProof/>
          <w:lang w:val="en-US"/>
        </w:rPr>
        <w:lastRenderedPageBreak/>
        <w:drawing>
          <wp:inline distT="0" distB="0" distL="0" distR="0" wp14:anchorId="0654742B" wp14:editId="70C2CD4D">
            <wp:extent cx="5759141" cy="335914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141" cy="3359149"/>
                    </a:xfrm>
                    <a:prstGeom prst="rect">
                      <a:avLst/>
                    </a:prstGeom>
                  </pic:spPr>
                </pic:pic>
              </a:graphicData>
            </a:graphic>
          </wp:inline>
        </w:drawing>
      </w:r>
    </w:p>
    <w:p w14:paraId="006AA9B9" w14:textId="77777777" w:rsidR="0054765A" w:rsidRPr="00BD4AFE" w:rsidRDefault="0054765A" w:rsidP="009A41B1">
      <w:pPr>
        <w:spacing w:line="360" w:lineRule="auto"/>
        <w:rPr>
          <w:lang w:val="en-US"/>
        </w:rPr>
      </w:pPr>
    </w:p>
    <w:p w14:paraId="16FDCD0A" w14:textId="7AFF3156" w:rsidR="0054765A" w:rsidRPr="00BD4AFE" w:rsidRDefault="0054765A" w:rsidP="00B83DA4">
      <w:pPr>
        <w:spacing w:line="360" w:lineRule="auto"/>
        <w:jc w:val="both"/>
        <w:rPr>
          <w:lang w:val="en-US"/>
        </w:rPr>
      </w:pPr>
      <w:r w:rsidRPr="00BD4AFE">
        <w:rPr>
          <w:b/>
          <w:bCs/>
          <w:lang w:val="en-US"/>
        </w:rPr>
        <w:t xml:space="preserve">Figure 1 </w:t>
      </w:r>
      <w:r w:rsidR="00440EC0" w:rsidRPr="00BD4AFE">
        <w:rPr>
          <w:b/>
          <w:bCs/>
          <w:lang w:val="en-US"/>
        </w:rPr>
        <w:t xml:space="preserve">Formation </w:t>
      </w:r>
      <w:r w:rsidRPr="00BD4AFE">
        <w:rPr>
          <w:b/>
          <w:bCs/>
          <w:lang w:val="en-US"/>
        </w:rPr>
        <w:t>and characteristics of the P-TFB.</w:t>
      </w:r>
      <w:r w:rsidRPr="00BD4AFE">
        <w:rPr>
          <w:lang w:val="en-US"/>
        </w:rPr>
        <w:t xml:space="preserve"> </w:t>
      </w:r>
      <w:r w:rsidRPr="00BD4AFE">
        <w:rPr>
          <w:b/>
          <w:bCs/>
          <w:lang w:val="en-US"/>
        </w:rPr>
        <w:t>(a)</w:t>
      </w:r>
      <w:r w:rsidRPr="00BD4AFE">
        <w:rPr>
          <w:lang w:val="en-US"/>
        </w:rPr>
        <w:t xml:space="preserve"> </w:t>
      </w:r>
      <w:r w:rsidRPr="00BD4AFE">
        <w:rPr>
          <w:rFonts w:eastAsia="宋体"/>
          <w:lang w:val="en-US"/>
        </w:rPr>
        <w:t xml:space="preserve">Chemical structures of the polymer TFB and PVK. </w:t>
      </w:r>
      <w:r w:rsidRPr="00BD4AFE">
        <w:rPr>
          <w:rFonts w:eastAsia="宋体"/>
          <w:b/>
          <w:bCs/>
          <w:lang w:val="en-US"/>
        </w:rPr>
        <w:t>(b)</w:t>
      </w:r>
      <w:r w:rsidRPr="00BD4AFE">
        <w:rPr>
          <w:rFonts w:eastAsia="宋体"/>
          <w:lang w:val="en-US"/>
        </w:rPr>
        <w:t xml:space="preserve"> </w:t>
      </w:r>
      <w:r w:rsidRPr="00BD4AFE">
        <w:rPr>
          <w:lang w:val="en-US"/>
        </w:rPr>
        <w:t>Schematic diagram of the preparation process of the P-TFB.</w:t>
      </w:r>
      <w:r w:rsidRPr="00BD4AFE">
        <w:rPr>
          <w:rFonts w:eastAsia="宋体"/>
          <w:lang w:val="en-US"/>
        </w:rPr>
        <w:t xml:space="preserve"> </w:t>
      </w:r>
      <w:r w:rsidRPr="00BD4AFE">
        <w:rPr>
          <w:rFonts w:eastAsia="宋体"/>
          <w:b/>
          <w:bCs/>
          <w:lang w:val="en-US"/>
        </w:rPr>
        <w:t>(c)</w:t>
      </w:r>
      <w:r w:rsidRPr="00BD4AFE">
        <w:rPr>
          <w:rFonts w:eastAsia="宋体"/>
          <w:lang w:val="en-US"/>
        </w:rPr>
        <w:t xml:space="preserve"> The absorption spectra, </w:t>
      </w:r>
      <w:r w:rsidRPr="00BD4AFE">
        <w:rPr>
          <w:rFonts w:eastAsia="宋体"/>
          <w:b/>
          <w:bCs/>
          <w:lang w:val="en-US"/>
        </w:rPr>
        <w:t xml:space="preserve">(d) </w:t>
      </w:r>
      <w:r w:rsidRPr="00BD4AFE">
        <w:rPr>
          <w:rFonts w:eastAsia="宋体"/>
          <w:lang w:val="en-US"/>
        </w:rPr>
        <w:t xml:space="preserve">FTIR spectroscopy spectra and </w:t>
      </w:r>
      <w:r w:rsidRPr="00BD4AFE">
        <w:rPr>
          <w:rFonts w:eastAsia="宋体"/>
          <w:b/>
          <w:bCs/>
          <w:lang w:val="en-US"/>
        </w:rPr>
        <w:t>(e)</w:t>
      </w:r>
      <w:r w:rsidRPr="00BD4AFE">
        <w:rPr>
          <w:rFonts w:eastAsia="宋体"/>
          <w:lang w:val="en-US"/>
        </w:rPr>
        <w:t xml:space="preserve"> GIXRD spectra of the TFB and P-TFB films, the incidence angle is 0.15°. </w:t>
      </w:r>
      <w:r w:rsidRPr="00BD4AFE">
        <w:rPr>
          <w:rFonts w:eastAsia="宋体"/>
          <w:b/>
          <w:bCs/>
          <w:lang w:val="en-US"/>
        </w:rPr>
        <w:t>(f)</w:t>
      </w:r>
      <w:r w:rsidRPr="00BD4AFE">
        <w:rPr>
          <w:rFonts w:eastAsia="宋体"/>
          <w:lang w:val="en-US"/>
        </w:rPr>
        <w:t xml:space="preserve"> </w:t>
      </w:r>
      <w:r w:rsidRPr="00BD4AFE">
        <w:rPr>
          <w:lang w:val="en-US"/>
        </w:rPr>
        <w:t>I-V characteristics of ITO/HTLs/Ag.</w:t>
      </w:r>
    </w:p>
    <w:p w14:paraId="10D5DA6F" w14:textId="77777777" w:rsidR="00B83DA4" w:rsidRPr="00BD4AFE" w:rsidRDefault="00B83DA4" w:rsidP="00B83DA4">
      <w:pPr>
        <w:spacing w:line="360" w:lineRule="auto"/>
        <w:jc w:val="both"/>
        <w:rPr>
          <w:lang w:val="en-US"/>
        </w:rPr>
      </w:pPr>
    </w:p>
    <w:p w14:paraId="21AFC045" w14:textId="5F4715EE" w:rsidR="0054765A" w:rsidRPr="00BD4AFE" w:rsidRDefault="0054765A" w:rsidP="002C4539">
      <w:pPr>
        <w:spacing w:line="360" w:lineRule="auto"/>
        <w:ind w:firstLineChars="100" w:firstLine="241"/>
        <w:jc w:val="both"/>
        <w:rPr>
          <w:rFonts w:eastAsia="宋体"/>
          <w:lang w:val="en-US"/>
        </w:rPr>
      </w:pPr>
      <w:r w:rsidRPr="00BD4AFE">
        <w:rPr>
          <w:b/>
          <w:bCs/>
          <w:lang w:val="en-US"/>
        </w:rPr>
        <w:t>Figure 1a</w:t>
      </w:r>
      <w:r w:rsidRPr="00BD4AFE">
        <w:rPr>
          <w:lang w:val="en-US"/>
        </w:rPr>
        <w:t xml:space="preserve"> shows the chemical structure of the polymer TFB and PVK. The P-TFB was obtained by mixing the two polymers chlorobenzene solution (</w:t>
      </w:r>
      <w:r w:rsidRPr="00BD4AFE">
        <w:rPr>
          <w:b/>
          <w:bCs/>
          <w:lang w:val="en-US"/>
        </w:rPr>
        <w:t>Figure 1b</w:t>
      </w:r>
      <w:r w:rsidRPr="00BD4AFE">
        <w:rPr>
          <w:lang w:val="en-US"/>
        </w:rPr>
        <w:t xml:space="preserve">, and </w:t>
      </w:r>
      <w:r w:rsidRPr="00BD4AFE">
        <w:rPr>
          <w:b/>
          <w:bCs/>
          <w:lang w:val="en-US"/>
        </w:rPr>
        <w:t>Figure S1a, b</w:t>
      </w:r>
      <w:r w:rsidRPr="00BD4AFE">
        <w:rPr>
          <w:lang w:val="en-US"/>
        </w:rPr>
        <w:t xml:space="preserve">). As shown in </w:t>
      </w:r>
      <w:r w:rsidRPr="00BD4AFE">
        <w:rPr>
          <w:b/>
          <w:bCs/>
          <w:lang w:val="en-US"/>
        </w:rPr>
        <w:t>Figure 1c</w:t>
      </w:r>
      <w:r w:rsidRPr="00BD4AFE">
        <w:rPr>
          <w:lang w:val="en-US"/>
        </w:rPr>
        <w:t xml:space="preserve">, the absorption peaks at 394 nm and 345 nm wavelengths of the </w:t>
      </w:r>
      <w:r w:rsidRPr="00BD4AFE">
        <w:rPr>
          <w:rFonts w:eastAsia="宋体"/>
          <w:lang w:val="en-US"/>
        </w:rPr>
        <w:t>P-TFB</w:t>
      </w:r>
      <w:r w:rsidRPr="00BD4AFE">
        <w:rPr>
          <w:lang w:val="en-US"/>
        </w:rPr>
        <w:t xml:space="preserve"> film correspond to the characteristic absorption of TFB and PVK, respectively [20-23]. As shown in </w:t>
      </w:r>
      <w:r w:rsidRPr="00BD4AFE">
        <w:rPr>
          <w:b/>
          <w:bCs/>
          <w:lang w:val="en-US"/>
        </w:rPr>
        <w:t>Figure S1c</w:t>
      </w:r>
      <w:r w:rsidRPr="00BD4AFE">
        <w:rPr>
          <w:lang w:val="en-US"/>
        </w:rPr>
        <w:t xml:space="preserve">, as the doping amount of PVK in the </w:t>
      </w:r>
      <w:r w:rsidRPr="00BD4AFE">
        <w:rPr>
          <w:rFonts w:eastAsia="宋体"/>
          <w:lang w:val="en-US"/>
        </w:rPr>
        <w:t>P-TFB solution increases</w:t>
      </w:r>
      <w:r w:rsidRPr="00BD4AFE">
        <w:rPr>
          <w:lang w:val="en-US"/>
        </w:rPr>
        <w:t>, the intensity of the absorption peak at 345 nm wavelength increases, further demonstrating the absorption peak at 345 nm wavelength is from PVK. The same variation trend is found in the P-TFB films prepared by spin-coating the P-TFB solution on the substrates (</w:t>
      </w:r>
      <w:r w:rsidRPr="00BD4AFE">
        <w:rPr>
          <w:b/>
          <w:bCs/>
          <w:lang w:val="en-US"/>
        </w:rPr>
        <w:t>Figure S1d</w:t>
      </w:r>
      <w:r w:rsidRPr="00BD4AFE">
        <w:rPr>
          <w:lang w:val="en-US"/>
        </w:rPr>
        <w:t xml:space="preserve">). The Fourier transform infrared (FTIR) spectra were performed to analyze the components of the P-TFB. As shown in </w:t>
      </w:r>
      <w:r w:rsidRPr="00BD4AFE">
        <w:rPr>
          <w:b/>
          <w:bCs/>
          <w:lang w:val="en-US"/>
        </w:rPr>
        <w:t>Figure 1d and Figure S1e</w:t>
      </w:r>
      <w:r w:rsidRPr="00BD4AFE">
        <w:rPr>
          <w:lang w:val="en-US"/>
        </w:rPr>
        <w:t>, the band between 3,000-2,800 cm</w:t>
      </w:r>
      <w:r w:rsidRPr="00BD4AFE">
        <w:rPr>
          <w:vertAlign w:val="superscript"/>
          <w:lang w:val="en-US"/>
        </w:rPr>
        <w:t>-1</w:t>
      </w:r>
      <w:r w:rsidRPr="00BD4AFE">
        <w:rPr>
          <w:lang w:val="en-US"/>
        </w:rPr>
        <w:t xml:space="preserve"> can be assigned to the stretching vibrations of the C-H bonds from the saturated hydrocarbon chains of TFB and PVK [24]. The bands centered at 1,600, 1,509, and 1,460 cm</w:t>
      </w:r>
      <w:r w:rsidRPr="00BD4AFE">
        <w:rPr>
          <w:vertAlign w:val="superscript"/>
          <w:lang w:val="en-US"/>
        </w:rPr>
        <w:t>-1</w:t>
      </w:r>
      <w:r w:rsidRPr="00BD4AFE">
        <w:rPr>
          <w:lang w:val="en-US"/>
        </w:rPr>
        <w:t xml:space="preserve"> can be assigned to the C</w:t>
      </w:r>
      <w:r w:rsidRPr="00BD4AFE">
        <w:rPr>
          <w:lang w:val="en-US"/>
        </w:rPr>
        <w:softHyphen/>
      </w:r>
      <w:r w:rsidRPr="00BD4AFE">
        <w:rPr>
          <w:lang w:val="en-US"/>
        </w:rPr>
        <w:t>＝</w:t>
      </w:r>
      <w:r w:rsidRPr="00BD4AFE">
        <w:rPr>
          <w:lang w:val="en-US"/>
        </w:rPr>
        <w:t>C ring stretching of the triphenylamine moieties. The band centered at 1,260 cm</w:t>
      </w:r>
      <w:r w:rsidRPr="00BD4AFE">
        <w:rPr>
          <w:vertAlign w:val="superscript"/>
          <w:lang w:val="en-US"/>
        </w:rPr>
        <w:t>-1</w:t>
      </w:r>
      <w:r w:rsidRPr="00BD4AFE">
        <w:rPr>
          <w:lang w:val="en-US"/>
        </w:rPr>
        <w:t xml:space="preserve"> represents the CN stretching from tertiary amine. The band at 815 cm</w:t>
      </w:r>
      <w:r w:rsidRPr="00BD4AFE">
        <w:rPr>
          <w:vertAlign w:val="superscript"/>
          <w:lang w:val="en-US"/>
        </w:rPr>
        <w:t>-1</w:t>
      </w:r>
      <w:r w:rsidRPr="00BD4AFE">
        <w:rPr>
          <w:lang w:val="en-US"/>
        </w:rPr>
        <w:t xml:space="preserve"> is assigned to the C-H </w:t>
      </w:r>
      <w:r w:rsidRPr="00BD4AFE">
        <w:rPr>
          <w:lang w:val="en-US"/>
        </w:rPr>
        <w:lastRenderedPageBreak/>
        <w:t xml:space="preserve">out-of-plane vibration from 1,4-disubstituted benzene rings [25]. This indicates that the main functional groups in the TFB and the PVK have been kept in the </w:t>
      </w:r>
      <w:r w:rsidRPr="00BD4AFE">
        <w:rPr>
          <w:rFonts w:eastAsia="宋体"/>
          <w:lang w:val="en-US"/>
        </w:rPr>
        <w:t>P-TFB</w:t>
      </w:r>
      <w:r w:rsidRPr="00BD4AFE">
        <w:rPr>
          <w:lang w:val="en-US"/>
        </w:rPr>
        <w:t>, without the breaking and recombining of the chemical bonds. To further understand the</w:t>
      </w:r>
      <w:r w:rsidR="00C17A8F" w:rsidRPr="00BD4AFE">
        <w:rPr>
          <w:lang w:val="en-US"/>
        </w:rPr>
        <w:t xml:space="preserve"> </w:t>
      </w:r>
      <w:r w:rsidR="00BC3B17" w:rsidRPr="00BD4AFE">
        <w:rPr>
          <w:lang w:val="en-US"/>
        </w:rPr>
        <w:t>crystallinity</w:t>
      </w:r>
      <w:r w:rsidRPr="00BD4AFE">
        <w:rPr>
          <w:lang w:val="en-US"/>
        </w:rPr>
        <w:t xml:space="preserve"> changes that occur after doping of PVK, grazing incidence </w:t>
      </w:r>
      <w:r w:rsidRPr="00BD4AFE">
        <w:rPr>
          <w:rFonts w:eastAsia="宋体"/>
          <w:lang w:val="en-US"/>
        </w:rPr>
        <w:t>X-Ray diffraction</w:t>
      </w:r>
      <w:r w:rsidRPr="00BD4AFE">
        <w:rPr>
          <w:lang w:val="en-US"/>
        </w:rPr>
        <w:t xml:space="preserve"> (GIXRD) </w:t>
      </w:r>
      <w:r w:rsidR="00EE69ED" w:rsidRPr="00BD4AFE">
        <w:rPr>
          <w:lang w:val="en-US"/>
        </w:rPr>
        <w:t>measurement was</w:t>
      </w:r>
      <w:r w:rsidRPr="00BD4AFE">
        <w:rPr>
          <w:lang w:val="en-US"/>
        </w:rPr>
        <w:t xml:space="preserve"> performed on the films. As shown in </w:t>
      </w:r>
      <w:r w:rsidRPr="00BD4AFE">
        <w:rPr>
          <w:b/>
          <w:bCs/>
          <w:lang w:val="en-US"/>
        </w:rPr>
        <w:t>Figure 1e</w:t>
      </w:r>
      <w:r w:rsidRPr="00BD4AFE">
        <w:rPr>
          <w:lang w:val="en-US"/>
        </w:rPr>
        <w:t>, the TFB and P-TFB show obvious broad, diffused, and strong amorphous peaks at about 25°</w:t>
      </w:r>
      <w:r w:rsidR="00AA703E" w:rsidRPr="00BD4AFE">
        <w:rPr>
          <w:lang w:val="en-US"/>
        </w:rPr>
        <w:t>.</w:t>
      </w:r>
      <w:r w:rsidR="00D34814" w:rsidRPr="00BD4AFE">
        <w:rPr>
          <w:lang w:val="en-US"/>
        </w:rPr>
        <w:t xml:space="preserve"> </w:t>
      </w:r>
      <w:r w:rsidR="00AA703E" w:rsidRPr="00BD4AFE">
        <w:rPr>
          <w:lang w:val="en-US"/>
        </w:rPr>
        <w:t>T</w:t>
      </w:r>
      <w:r w:rsidR="002B7052" w:rsidRPr="00BD4AFE">
        <w:rPr>
          <w:lang w:val="en-US"/>
        </w:rPr>
        <w:t>he peak intensity of</w:t>
      </w:r>
      <w:r w:rsidR="00AA703E" w:rsidRPr="00BD4AFE">
        <w:rPr>
          <w:lang w:val="en-US"/>
        </w:rPr>
        <w:t xml:space="preserve"> the</w:t>
      </w:r>
      <w:r w:rsidR="002B7052" w:rsidRPr="00BD4AFE">
        <w:rPr>
          <w:lang w:val="en-US"/>
        </w:rPr>
        <w:t xml:space="preserve"> P-TFB shows </w:t>
      </w:r>
      <w:r w:rsidR="001244E8" w:rsidRPr="00BD4AFE">
        <w:rPr>
          <w:lang w:val="en-US"/>
        </w:rPr>
        <w:t xml:space="preserve">a significant </w:t>
      </w:r>
      <w:r w:rsidR="006F6ADF" w:rsidRPr="00BD4AFE">
        <w:rPr>
          <w:lang w:val="en-US"/>
        </w:rPr>
        <w:t xml:space="preserve">increase </w:t>
      </w:r>
      <w:r w:rsidR="00D34814" w:rsidRPr="00BD4AFE">
        <w:rPr>
          <w:lang w:val="en-US"/>
        </w:rPr>
        <w:t xml:space="preserve">compared with </w:t>
      </w:r>
      <w:r w:rsidR="00AA703E" w:rsidRPr="00BD4AFE">
        <w:rPr>
          <w:lang w:val="en-US"/>
        </w:rPr>
        <w:t xml:space="preserve">the </w:t>
      </w:r>
      <w:r w:rsidR="00D34814" w:rsidRPr="00BD4AFE">
        <w:rPr>
          <w:lang w:val="en-US"/>
        </w:rPr>
        <w:t>TFB.</w:t>
      </w:r>
      <w:r w:rsidR="002648E0" w:rsidRPr="00BD4AFE">
        <w:rPr>
          <w:rFonts w:eastAsia="微软雅黑"/>
          <w:lang w:val="en-US" w:eastAsia="zh-CN"/>
        </w:rPr>
        <w:t xml:space="preserve"> </w:t>
      </w:r>
      <w:r w:rsidRPr="00BD4AFE">
        <w:rPr>
          <w:lang w:val="en-US"/>
        </w:rPr>
        <w:t xml:space="preserve">The calculation of the integral peak area shows that the peak area of the P-TFB at about 25° (40, 165) is larger than that of </w:t>
      </w:r>
      <w:r w:rsidR="00AA703E" w:rsidRPr="00BD4AFE">
        <w:rPr>
          <w:lang w:val="en-US"/>
        </w:rPr>
        <w:t xml:space="preserve">the </w:t>
      </w:r>
      <w:r w:rsidRPr="00BD4AFE">
        <w:rPr>
          <w:lang w:val="en-US"/>
        </w:rPr>
        <w:t xml:space="preserve">TFB (35, 805). The signal peak at around </w:t>
      </w:r>
      <w:r w:rsidRPr="00BD4AFE">
        <w:rPr>
          <w:i/>
          <w:iCs/>
          <w:lang w:val="en-US"/>
        </w:rPr>
        <w:t>d</w:t>
      </w:r>
      <w:r w:rsidRPr="00BD4AFE">
        <w:rPr>
          <w:lang w:val="en-US"/>
        </w:rPr>
        <w:t xml:space="preserve"> = 3.59 Å (25°) corresponds to the π-π stacking peak. The increased peak </w:t>
      </w:r>
      <w:r w:rsidR="0079501A" w:rsidRPr="00BD4AFE">
        <w:rPr>
          <w:lang w:val="en-US"/>
        </w:rPr>
        <w:t xml:space="preserve">intensity and peak </w:t>
      </w:r>
      <w:r w:rsidRPr="00BD4AFE">
        <w:rPr>
          <w:lang w:val="en-US"/>
        </w:rPr>
        <w:t>area for the P-TFB indicates the enhanced π-π stacking intensity</w:t>
      </w:r>
      <w:r w:rsidR="000E45C0" w:rsidRPr="00BD4AFE">
        <w:rPr>
          <w:lang w:val="en-US"/>
        </w:rPr>
        <w:t xml:space="preserve">, which </w:t>
      </w:r>
      <w:r w:rsidR="007F06F1" w:rsidRPr="00BD4AFE">
        <w:rPr>
          <w:lang w:val="en-US"/>
        </w:rPr>
        <w:t xml:space="preserve">would </w:t>
      </w:r>
      <w:r w:rsidR="000E45C0" w:rsidRPr="00BD4AFE">
        <w:rPr>
          <w:lang w:val="en-US"/>
        </w:rPr>
        <w:t>boost the carrier mobility</w:t>
      </w:r>
      <w:r w:rsidRPr="00BD4AFE">
        <w:rPr>
          <w:lang w:val="en-US"/>
        </w:rPr>
        <w:t xml:space="preserve"> [26-28]. </w:t>
      </w:r>
      <w:r w:rsidR="00185BA9" w:rsidRPr="00BD4AFE">
        <w:rPr>
          <w:lang w:val="en-US"/>
        </w:rPr>
        <w:t xml:space="preserve">We </w:t>
      </w:r>
      <w:r w:rsidR="008408C0" w:rsidRPr="00BD4AFE">
        <w:rPr>
          <w:lang w:val="en-US"/>
        </w:rPr>
        <w:t>speculate</w:t>
      </w:r>
      <w:r w:rsidR="003C7A09" w:rsidRPr="00BD4AFE">
        <w:rPr>
          <w:lang w:val="en-US"/>
        </w:rPr>
        <w:t xml:space="preserve"> </w:t>
      </w:r>
      <w:r w:rsidR="00445906" w:rsidRPr="00BD4AFE">
        <w:rPr>
          <w:lang w:val="en-US"/>
        </w:rPr>
        <w:t xml:space="preserve">that there exists coherent charge transport in the </w:t>
      </w:r>
      <w:r w:rsidR="005F12B1" w:rsidRPr="00BD4AFE">
        <w:rPr>
          <w:lang w:val="en-US"/>
        </w:rPr>
        <w:t>P</w:t>
      </w:r>
      <w:r w:rsidR="007D749B" w:rsidRPr="00BD4AFE">
        <w:rPr>
          <w:lang w:val="en-US"/>
        </w:rPr>
        <w:t>-TFB</w:t>
      </w:r>
      <w:r w:rsidR="00445906" w:rsidRPr="00BD4AFE">
        <w:rPr>
          <w:lang w:val="en-US"/>
        </w:rPr>
        <w:t xml:space="preserve"> due to the </w:t>
      </w:r>
      <w:r w:rsidR="0096102A" w:rsidRPr="00BD4AFE">
        <w:rPr>
          <w:lang w:val="en-US"/>
        </w:rPr>
        <w:t xml:space="preserve">improved </w:t>
      </w:r>
      <w:r w:rsidR="0096102A" w:rsidRPr="00BD4AFE">
        <w:rPr>
          <w:rFonts w:eastAsiaTheme="minorEastAsia"/>
          <w:lang w:val="en-US" w:eastAsia="zh-CN"/>
        </w:rPr>
        <w:t>π-π stacking</w:t>
      </w:r>
      <w:r w:rsidR="00445906" w:rsidRPr="00BD4AFE">
        <w:rPr>
          <w:lang w:val="en-US"/>
        </w:rPr>
        <w:t>, namely band-like transport, which is different from the hopping transport in conductive polymers. Band-like carriers exhibit superior charge transport characteristics due to their extended wave function</w:t>
      </w:r>
      <w:r w:rsidR="002140CE" w:rsidRPr="00BD4AFE">
        <w:rPr>
          <w:lang w:val="en-US"/>
        </w:rPr>
        <w:t xml:space="preserve"> [</w:t>
      </w:r>
      <w:r w:rsidR="009F7EDD" w:rsidRPr="00BD4AFE">
        <w:rPr>
          <w:lang w:val="en-US"/>
        </w:rPr>
        <w:t>29, 30</w:t>
      </w:r>
      <w:r w:rsidR="002140CE" w:rsidRPr="00BD4AFE">
        <w:rPr>
          <w:lang w:val="en-US"/>
        </w:rPr>
        <w:t>]</w:t>
      </w:r>
      <w:r w:rsidR="00445906" w:rsidRPr="00BD4AFE">
        <w:rPr>
          <w:lang w:val="en-US"/>
        </w:rPr>
        <w:t>.</w:t>
      </w:r>
      <w:r w:rsidR="003C7A09" w:rsidRPr="00BD4AFE">
        <w:rPr>
          <w:lang w:val="en-US"/>
        </w:rPr>
        <w:t xml:space="preserve"> </w:t>
      </w:r>
      <w:r w:rsidRPr="00BD4AFE">
        <w:rPr>
          <w:lang w:val="en-US"/>
        </w:rPr>
        <w:t xml:space="preserve">To verify this, </w:t>
      </w:r>
      <w:r w:rsidRPr="00BD4AFE">
        <w:rPr>
          <w:rFonts w:eastAsia="宋体"/>
          <w:lang w:val="en-US"/>
        </w:rPr>
        <w:t xml:space="preserve">the I-V characterizations of the device based on different HTLs with a structure of ITO/HTL/Ag were measured as shown in </w:t>
      </w:r>
      <w:r w:rsidRPr="00BD4AFE">
        <w:rPr>
          <w:rFonts w:eastAsia="宋体"/>
          <w:b/>
          <w:bCs/>
          <w:lang w:val="en-US"/>
        </w:rPr>
        <w:t>Figure 1f and Figure S1f</w:t>
      </w:r>
      <w:r w:rsidRPr="00BD4AFE">
        <w:rPr>
          <w:rFonts w:eastAsia="宋体"/>
          <w:lang w:val="en-US"/>
        </w:rPr>
        <w:t>. The slope of the P-TFB first increases and then decreases with the increase of the doping amount of PVK in the P-TFB. When the doping content is 10 %, the slope reaches the maximum value (</w:t>
      </w:r>
      <w:r w:rsidRPr="00BD4AFE">
        <w:rPr>
          <w:rFonts w:eastAsia="宋体"/>
          <w:b/>
          <w:bCs/>
          <w:lang w:val="en-US"/>
        </w:rPr>
        <w:t>Figure S1f</w:t>
      </w:r>
      <w:r w:rsidRPr="00BD4AFE">
        <w:rPr>
          <w:rFonts w:eastAsia="宋体"/>
          <w:lang w:val="en-US"/>
        </w:rPr>
        <w:t xml:space="preserve">), demonstrating the highest conductivity. The conductivity of the TFB and P-TFB (with doping content of 10%) </w:t>
      </w:r>
      <w:bookmarkStart w:id="3" w:name="OLE_LINK8"/>
      <w:r w:rsidRPr="00BD4AFE">
        <w:rPr>
          <w:rFonts w:eastAsia="宋体"/>
          <w:lang w:val="en-US"/>
        </w:rPr>
        <w:t>are 3.27×10</w:t>
      </w:r>
      <w:r w:rsidRPr="00BD4AFE">
        <w:rPr>
          <w:rFonts w:eastAsia="宋体"/>
          <w:vertAlign w:val="superscript"/>
          <w:lang w:val="en-US"/>
        </w:rPr>
        <w:t>-6</w:t>
      </w:r>
      <w:r w:rsidRPr="00BD4AFE">
        <w:rPr>
          <w:rFonts w:eastAsia="宋体"/>
          <w:lang w:val="en-US"/>
        </w:rPr>
        <w:t xml:space="preserve"> S·cm</w:t>
      </w:r>
      <w:r w:rsidRPr="00BD4AFE">
        <w:rPr>
          <w:rFonts w:eastAsia="宋体"/>
          <w:vertAlign w:val="superscript"/>
          <w:lang w:val="en-US"/>
        </w:rPr>
        <w:t>-1</w:t>
      </w:r>
      <w:bookmarkEnd w:id="3"/>
      <w:r w:rsidRPr="00BD4AFE">
        <w:rPr>
          <w:rFonts w:eastAsia="宋体"/>
          <w:lang w:val="en-US"/>
        </w:rPr>
        <w:t xml:space="preserve"> and 4.79×10</w:t>
      </w:r>
      <w:r w:rsidRPr="00BD4AFE">
        <w:rPr>
          <w:rFonts w:eastAsia="宋体"/>
          <w:vertAlign w:val="superscript"/>
          <w:lang w:val="en-US"/>
        </w:rPr>
        <w:t>-6</w:t>
      </w:r>
      <w:r w:rsidRPr="00BD4AFE">
        <w:rPr>
          <w:rFonts w:eastAsia="宋体"/>
          <w:lang w:val="en-US"/>
        </w:rPr>
        <w:t xml:space="preserve"> S·cm</w:t>
      </w:r>
      <w:r w:rsidRPr="00BD4AFE">
        <w:rPr>
          <w:rFonts w:eastAsia="宋体"/>
          <w:vertAlign w:val="superscript"/>
          <w:lang w:val="en-US"/>
        </w:rPr>
        <w:t>-1</w:t>
      </w:r>
      <w:r w:rsidRPr="00BD4AFE">
        <w:rPr>
          <w:rFonts w:eastAsia="宋体"/>
          <w:lang w:val="en-US"/>
        </w:rPr>
        <w:t xml:space="preserve">, respectively, as calculated from the conductivity calculation formula. This indicates the carrier mobility of the P-TFB is enhanced by doping PVK, which is attributed to the </w:t>
      </w:r>
      <w:r w:rsidRPr="00BD4AFE">
        <w:rPr>
          <w:lang w:val="en-US"/>
        </w:rPr>
        <w:t>enhanced π-π stacking intensity.</w:t>
      </w:r>
    </w:p>
    <w:p w14:paraId="6E6FC88E" w14:textId="77777777" w:rsidR="0054765A" w:rsidRPr="00BD4AFE" w:rsidRDefault="0054765A" w:rsidP="0054765A">
      <w:pPr>
        <w:spacing w:line="480" w:lineRule="auto"/>
        <w:ind w:firstLineChars="200" w:firstLine="480"/>
        <w:rPr>
          <w:lang w:val="en-US"/>
        </w:rPr>
      </w:pPr>
    </w:p>
    <w:p w14:paraId="516DDB98" w14:textId="123B1B2D" w:rsidR="0054765A" w:rsidRPr="00BD4AFE" w:rsidRDefault="0054765A" w:rsidP="0054765A">
      <w:pPr>
        <w:spacing w:line="480" w:lineRule="auto"/>
        <w:rPr>
          <w:lang w:val="en-US"/>
        </w:rPr>
      </w:pPr>
      <w:r w:rsidRPr="00BD4AFE">
        <w:rPr>
          <w:noProof/>
          <w:lang w:val="en-US"/>
        </w:rPr>
        <w:lastRenderedPageBreak/>
        <w:drawing>
          <wp:inline distT="0" distB="0" distL="0" distR="0" wp14:anchorId="25A71F11" wp14:editId="175F9E87">
            <wp:extent cx="5759450" cy="28905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890520"/>
                    </a:xfrm>
                    <a:prstGeom prst="rect">
                      <a:avLst/>
                    </a:prstGeom>
                  </pic:spPr>
                </pic:pic>
              </a:graphicData>
            </a:graphic>
          </wp:inline>
        </w:drawing>
      </w:r>
    </w:p>
    <w:p w14:paraId="008E4E9D" w14:textId="77777777" w:rsidR="006C710B" w:rsidRPr="00BD4AFE" w:rsidRDefault="006C710B" w:rsidP="006C710B">
      <w:pPr>
        <w:spacing w:line="360" w:lineRule="auto"/>
        <w:rPr>
          <w:lang w:val="en-US"/>
        </w:rPr>
      </w:pPr>
    </w:p>
    <w:p w14:paraId="7E8E3CF1" w14:textId="1383B1A2" w:rsidR="0054765A" w:rsidRPr="00BD4AFE" w:rsidRDefault="0054765A" w:rsidP="00943BF4">
      <w:pPr>
        <w:spacing w:line="360" w:lineRule="auto"/>
        <w:jc w:val="both"/>
        <w:rPr>
          <w:rFonts w:eastAsia="宋体"/>
          <w:lang w:val="en-US"/>
        </w:rPr>
      </w:pPr>
      <w:r w:rsidRPr="00BD4AFE">
        <w:rPr>
          <w:b/>
          <w:bCs/>
          <w:lang w:val="en-US"/>
        </w:rPr>
        <w:t xml:space="preserve">Figure 2 Electronic </w:t>
      </w:r>
      <w:r w:rsidR="000D4544" w:rsidRPr="00BD4AFE">
        <w:rPr>
          <w:b/>
          <w:bCs/>
          <w:lang w:val="en-US"/>
        </w:rPr>
        <w:t xml:space="preserve">properties </w:t>
      </w:r>
      <w:r w:rsidRPr="00BD4AFE">
        <w:rPr>
          <w:b/>
          <w:bCs/>
          <w:lang w:val="en-US"/>
        </w:rPr>
        <w:t>of the TFB and P-TFB.</w:t>
      </w:r>
      <w:r w:rsidRPr="00BD4AFE">
        <w:rPr>
          <w:rFonts w:eastAsia="宋体"/>
          <w:lang w:val="en-US"/>
        </w:rPr>
        <w:t xml:space="preserve"> UPS spectra of </w:t>
      </w:r>
      <w:r w:rsidRPr="00BD4AFE">
        <w:rPr>
          <w:rFonts w:eastAsia="宋体"/>
          <w:b/>
          <w:bCs/>
          <w:lang w:val="en-US"/>
        </w:rPr>
        <w:t>(a)</w:t>
      </w:r>
      <w:r w:rsidRPr="00BD4AFE">
        <w:rPr>
          <w:rFonts w:eastAsia="宋体"/>
          <w:lang w:val="en-US"/>
        </w:rPr>
        <w:t xml:space="preserve"> the secondary-electron cutoff (</w:t>
      </w:r>
      <w:proofErr w:type="spellStart"/>
      <w:r w:rsidRPr="00BD4AFE">
        <w:rPr>
          <w:rFonts w:eastAsia="宋体"/>
          <w:i/>
          <w:iCs/>
          <w:lang w:val="en-US"/>
        </w:rPr>
        <w:t>E</w:t>
      </w:r>
      <w:r w:rsidRPr="00BD4AFE">
        <w:rPr>
          <w:rFonts w:eastAsia="宋体"/>
          <w:vertAlign w:val="subscript"/>
          <w:lang w:val="en-US"/>
        </w:rPr>
        <w:t>cutoff</w:t>
      </w:r>
      <w:proofErr w:type="spellEnd"/>
      <w:r w:rsidRPr="00BD4AFE">
        <w:rPr>
          <w:rFonts w:eastAsia="宋体"/>
          <w:lang w:val="en-US"/>
        </w:rPr>
        <w:t xml:space="preserve">), </w:t>
      </w:r>
      <w:r w:rsidRPr="00BD4AFE">
        <w:rPr>
          <w:rFonts w:eastAsia="宋体"/>
          <w:b/>
          <w:bCs/>
          <w:lang w:val="en-US"/>
        </w:rPr>
        <w:t>(b)</w:t>
      </w:r>
      <w:r w:rsidRPr="00BD4AFE">
        <w:rPr>
          <w:rFonts w:eastAsia="宋体"/>
          <w:lang w:val="en-US"/>
        </w:rPr>
        <w:t xml:space="preserve"> valence-band edge regions (</w:t>
      </w:r>
      <w:proofErr w:type="spellStart"/>
      <w:r w:rsidRPr="00BD4AFE">
        <w:rPr>
          <w:rFonts w:eastAsia="宋体"/>
          <w:i/>
          <w:iCs/>
          <w:lang w:val="en-US"/>
        </w:rPr>
        <w:t>E</w:t>
      </w:r>
      <w:r w:rsidRPr="00BD4AFE">
        <w:rPr>
          <w:rFonts w:eastAsia="宋体"/>
          <w:vertAlign w:val="subscript"/>
          <w:lang w:val="en-US"/>
        </w:rPr>
        <w:t>onset</w:t>
      </w:r>
      <w:proofErr w:type="spellEnd"/>
      <w:r w:rsidRPr="00BD4AFE">
        <w:rPr>
          <w:rFonts w:eastAsia="宋体"/>
          <w:lang w:val="en-US"/>
        </w:rPr>
        <w:t xml:space="preserve">) and </w:t>
      </w:r>
      <w:r w:rsidRPr="00BD4AFE">
        <w:rPr>
          <w:rFonts w:eastAsia="宋体"/>
          <w:b/>
          <w:bCs/>
          <w:lang w:val="en-US"/>
        </w:rPr>
        <w:t>(c)</w:t>
      </w:r>
      <w:r w:rsidRPr="00BD4AFE">
        <w:rPr>
          <w:rFonts w:eastAsia="宋体"/>
          <w:lang w:val="en-US"/>
        </w:rPr>
        <w:t xml:space="preserve"> energy band alignments. </w:t>
      </w:r>
      <w:r w:rsidRPr="00BD4AFE">
        <w:rPr>
          <w:rFonts w:eastAsia="宋体"/>
          <w:b/>
          <w:bCs/>
          <w:lang w:val="en-US"/>
        </w:rPr>
        <w:t>(d)</w:t>
      </w:r>
      <w:r w:rsidRPr="00BD4AFE">
        <w:rPr>
          <w:rFonts w:eastAsia="宋体"/>
          <w:lang w:val="en-US"/>
        </w:rPr>
        <w:t xml:space="preserve"> The structure of the HOD. The electrical transportation is demonstrated by the current density versus voltage curves of the HOD based on </w:t>
      </w:r>
      <w:r w:rsidRPr="00BD4AFE">
        <w:rPr>
          <w:rFonts w:eastAsia="宋体"/>
          <w:b/>
          <w:bCs/>
          <w:lang w:val="en-US"/>
        </w:rPr>
        <w:t>(e)</w:t>
      </w:r>
      <w:r w:rsidRPr="00BD4AFE">
        <w:rPr>
          <w:rFonts w:eastAsia="宋体"/>
          <w:lang w:val="en-US"/>
        </w:rPr>
        <w:t xml:space="preserve"> the TFB and </w:t>
      </w:r>
      <w:r w:rsidRPr="00BD4AFE">
        <w:rPr>
          <w:rFonts w:eastAsia="宋体"/>
          <w:b/>
          <w:bCs/>
          <w:lang w:val="en-US"/>
        </w:rPr>
        <w:t>(f)</w:t>
      </w:r>
      <w:r w:rsidRPr="00BD4AFE">
        <w:rPr>
          <w:rFonts w:eastAsia="宋体"/>
          <w:lang w:val="en-US"/>
        </w:rPr>
        <w:t xml:space="preserve"> the P-TFB.</w:t>
      </w:r>
    </w:p>
    <w:p w14:paraId="31C4EAE1" w14:textId="77777777" w:rsidR="0054765A" w:rsidRPr="00BD4AFE" w:rsidRDefault="0054765A" w:rsidP="00943BF4">
      <w:pPr>
        <w:spacing w:line="360" w:lineRule="auto"/>
        <w:rPr>
          <w:rFonts w:eastAsia="宋体"/>
          <w:lang w:val="en-US"/>
        </w:rPr>
      </w:pPr>
    </w:p>
    <w:p w14:paraId="6A7380FE" w14:textId="3B4D3964" w:rsidR="0054765A" w:rsidRPr="00BD4AFE" w:rsidRDefault="0054765A" w:rsidP="00943BF4">
      <w:pPr>
        <w:spacing w:line="360" w:lineRule="auto"/>
        <w:ind w:firstLineChars="100" w:firstLine="240"/>
        <w:jc w:val="both"/>
        <w:rPr>
          <w:lang w:val="en-US"/>
        </w:rPr>
      </w:pPr>
      <w:r w:rsidRPr="00BD4AFE">
        <w:rPr>
          <w:rFonts w:eastAsia="宋体"/>
          <w:lang w:val="en-US"/>
        </w:rPr>
        <w:t xml:space="preserve">To demonstrate the holes </w:t>
      </w:r>
      <w:r w:rsidR="000D4544" w:rsidRPr="00BD4AFE">
        <w:rPr>
          <w:rFonts w:eastAsia="宋体"/>
          <w:lang w:val="en-US"/>
        </w:rPr>
        <w:t xml:space="preserve">transportation </w:t>
      </w:r>
      <w:r w:rsidRPr="00BD4AFE">
        <w:rPr>
          <w:rFonts w:eastAsia="宋体"/>
          <w:lang w:val="en-US"/>
        </w:rPr>
        <w:t>ability, the electronic structures of the TFB and P-TFB HTLs were characterized by ultraviolet photoelectron spectroscopic (UPS).</w:t>
      </w:r>
      <w:r w:rsidRPr="00BD4AFE">
        <w:rPr>
          <w:lang w:val="en-US"/>
        </w:rPr>
        <w:t xml:space="preserve"> </w:t>
      </w:r>
      <w:r w:rsidRPr="00BD4AFE">
        <w:rPr>
          <w:b/>
          <w:bCs/>
          <w:lang w:val="en-US"/>
        </w:rPr>
        <w:t>Figure S2a</w:t>
      </w:r>
      <w:r w:rsidRPr="00BD4AFE">
        <w:rPr>
          <w:lang w:val="en-US"/>
        </w:rPr>
        <w:t xml:space="preserve"> exhibits the absorption spectra of the TFB and P-TFB films. The optical bandgaps are extracted to be 2.87 eV for the TFB and 2.89 eV for the </w:t>
      </w:r>
      <w:r w:rsidRPr="00BD4AFE">
        <w:rPr>
          <w:rFonts w:eastAsia="宋体"/>
          <w:lang w:val="en-US"/>
        </w:rPr>
        <w:t>P-TFB</w:t>
      </w:r>
      <w:r w:rsidRPr="00BD4AFE">
        <w:rPr>
          <w:lang w:val="en-US"/>
        </w:rPr>
        <w:t xml:space="preserve">. </w:t>
      </w:r>
      <w:r w:rsidRPr="00BD4AFE">
        <w:rPr>
          <w:b/>
          <w:bCs/>
          <w:lang w:val="en-US"/>
        </w:rPr>
        <w:t>Figure 2a, b</w:t>
      </w:r>
      <w:r w:rsidRPr="00BD4AFE">
        <w:rPr>
          <w:lang w:val="en-US"/>
        </w:rPr>
        <w:t xml:space="preserve"> exhibit the secondary electron cutoff (</w:t>
      </w:r>
      <w:proofErr w:type="spellStart"/>
      <w:r w:rsidRPr="00BD4AFE">
        <w:rPr>
          <w:i/>
          <w:iCs/>
          <w:lang w:val="en-US"/>
        </w:rPr>
        <w:t>E</w:t>
      </w:r>
      <w:r w:rsidRPr="00BD4AFE">
        <w:rPr>
          <w:vertAlign w:val="subscript"/>
          <w:lang w:val="en-US"/>
        </w:rPr>
        <w:t>cutoff</w:t>
      </w:r>
      <w:proofErr w:type="spellEnd"/>
      <w:r w:rsidRPr="00BD4AFE">
        <w:rPr>
          <w:lang w:val="en-US"/>
        </w:rPr>
        <w:t>) regions and the valance band onset (</w:t>
      </w:r>
      <w:proofErr w:type="spellStart"/>
      <w:r w:rsidRPr="00BD4AFE">
        <w:rPr>
          <w:i/>
          <w:iCs/>
          <w:lang w:val="en-US"/>
        </w:rPr>
        <w:t>E</w:t>
      </w:r>
      <w:r w:rsidRPr="00BD4AFE">
        <w:rPr>
          <w:vertAlign w:val="subscript"/>
          <w:lang w:val="en-US"/>
        </w:rPr>
        <w:t>onset</w:t>
      </w:r>
      <w:proofErr w:type="spellEnd"/>
      <w:r w:rsidRPr="00BD4AFE">
        <w:rPr>
          <w:lang w:val="en-US"/>
        </w:rPr>
        <w:t xml:space="preserve">) regions for the TFB and P-TFB films (the blue line and the red line, respectively). The work function (WF) value was calculated from the difference between the incident light energy of 21.2 eV and </w:t>
      </w:r>
      <w:proofErr w:type="spellStart"/>
      <w:r w:rsidRPr="00BD4AFE">
        <w:rPr>
          <w:i/>
          <w:iCs/>
          <w:lang w:val="en-US"/>
        </w:rPr>
        <w:t>E</w:t>
      </w:r>
      <w:r w:rsidRPr="00BD4AFE">
        <w:rPr>
          <w:vertAlign w:val="subscript"/>
          <w:lang w:val="en-US"/>
        </w:rPr>
        <w:t>cutoff</w:t>
      </w:r>
      <w:proofErr w:type="spellEnd"/>
      <w:r w:rsidRPr="00BD4AFE">
        <w:rPr>
          <w:lang w:val="en-US"/>
        </w:rPr>
        <w:t xml:space="preserve"> value. The WF values are 4.20 eV for the TFB HTL and 4.33 eV for the </w:t>
      </w:r>
      <w:r w:rsidRPr="00BD4AFE">
        <w:rPr>
          <w:rFonts w:eastAsia="宋体"/>
          <w:lang w:val="en-US"/>
        </w:rPr>
        <w:t xml:space="preserve">P-TFB HTL. </w:t>
      </w:r>
      <w:r w:rsidRPr="00BD4AFE">
        <w:rPr>
          <w:lang w:val="en-US"/>
        </w:rPr>
        <w:t>The HOMO is calculated from the equation (1) [17]:</w:t>
      </w:r>
    </w:p>
    <w:p w14:paraId="6C288682" w14:textId="4908BFBB" w:rsidR="0054765A" w:rsidRPr="00BD4AFE" w:rsidRDefault="0054765A" w:rsidP="000168BB">
      <w:pPr>
        <w:spacing w:line="360" w:lineRule="auto"/>
        <w:jc w:val="right"/>
        <w:rPr>
          <w:rFonts w:eastAsia="宋体"/>
          <w:lang w:val="en-US"/>
        </w:rPr>
      </w:pPr>
      <w:r w:rsidRPr="00BD4AFE">
        <w:rPr>
          <w:rFonts w:eastAsia="宋体"/>
          <w:lang w:val="en-US"/>
        </w:rPr>
        <w:t xml:space="preserve">HOMO = 21.2 </w:t>
      </w:r>
      <w:r w:rsidRPr="00BD4AFE">
        <w:rPr>
          <w:rFonts w:eastAsia="宋体"/>
          <w:lang w:val="en-US"/>
        </w:rPr>
        <w:t>－</w:t>
      </w:r>
      <w:r w:rsidRPr="00BD4AFE">
        <w:rPr>
          <w:rFonts w:eastAsia="宋体"/>
          <w:lang w:val="en-US"/>
        </w:rPr>
        <w:t xml:space="preserve"> (</w:t>
      </w:r>
      <w:proofErr w:type="spellStart"/>
      <w:r w:rsidRPr="00BD4AFE">
        <w:rPr>
          <w:i/>
          <w:iCs/>
          <w:lang w:val="en-US"/>
        </w:rPr>
        <w:t>E</w:t>
      </w:r>
      <w:r w:rsidRPr="00BD4AFE">
        <w:rPr>
          <w:vertAlign w:val="subscript"/>
          <w:lang w:val="en-US"/>
        </w:rPr>
        <w:t>cutoff</w:t>
      </w:r>
      <w:proofErr w:type="spellEnd"/>
      <w:r w:rsidRPr="00BD4AFE">
        <w:rPr>
          <w:lang w:val="en-US"/>
        </w:rPr>
        <w:t xml:space="preserve"> </w:t>
      </w:r>
      <w:r w:rsidRPr="00BD4AFE">
        <w:rPr>
          <w:rFonts w:eastAsia="宋体"/>
          <w:lang w:val="en-US"/>
        </w:rPr>
        <w:t>－</w:t>
      </w:r>
      <w:r w:rsidRPr="00BD4AFE">
        <w:rPr>
          <w:rFonts w:eastAsia="宋体"/>
          <w:lang w:val="en-US"/>
        </w:rPr>
        <w:t xml:space="preserve"> </w:t>
      </w:r>
      <w:proofErr w:type="spellStart"/>
      <w:r w:rsidRPr="00BD4AFE">
        <w:rPr>
          <w:i/>
          <w:iCs/>
          <w:lang w:val="en-US"/>
        </w:rPr>
        <w:t>E</w:t>
      </w:r>
      <w:r w:rsidRPr="00BD4AFE">
        <w:rPr>
          <w:vertAlign w:val="subscript"/>
          <w:lang w:val="en-US"/>
        </w:rPr>
        <w:t>onset</w:t>
      </w:r>
      <w:proofErr w:type="spellEnd"/>
      <w:r w:rsidRPr="00BD4AFE">
        <w:rPr>
          <w:rFonts w:eastAsia="宋体"/>
          <w:lang w:val="en-US"/>
        </w:rPr>
        <w:t xml:space="preserve">)          </w:t>
      </w:r>
      <w:r w:rsidR="000168BB" w:rsidRPr="00BD4AFE">
        <w:rPr>
          <w:rFonts w:eastAsia="宋体"/>
          <w:lang w:val="en-US"/>
        </w:rPr>
        <w:t xml:space="preserve">                        </w:t>
      </w:r>
      <w:r w:rsidRPr="00BD4AFE">
        <w:rPr>
          <w:rFonts w:eastAsia="宋体"/>
          <w:lang w:val="en-US"/>
        </w:rPr>
        <w:t xml:space="preserve">     (1)</w:t>
      </w:r>
    </w:p>
    <w:p w14:paraId="69BD1B31" w14:textId="3BE4219C" w:rsidR="0054765A" w:rsidRPr="00BD4AFE" w:rsidRDefault="0054765A" w:rsidP="002C4539">
      <w:pPr>
        <w:spacing w:line="360" w:lineRule="auto"/>
        <w:jc w:val="both"/>
        <w:rPr>
          <w:rFonts w:eastAsia="宋体"/>
          <w:lang w:val="en-US"/>
        </w:rPr>
      </w:pPr>
      <w:r w:rsidRPr="00BD4AFE">
        <w:rPr>
          <w:rFonts w:eastAsia="宋体"/>
          <w:lang w:val="en-US"/>
        </w:rPr>
        <w:t xml:space="preserve">The HOMO values are 5.29 eV for the TFB HTL and 5.36 eV for the P-TFB HTL as displayed in </w:t>
      </w:r>
      <w:r w:rsidRPr="00BD4AFE">
        <w:rPr>
          <w:rFonts w:eastAsia="宋体"/>
          <w:b/>
          <w:bCs/>
          <w:lang w:val="en-US"/>
        </w:rPr>
        <w:t>Table S1</w:t>
      </w:r>
      <w:r w:rsidRPr="00BD4AFE">
        <w:rPr>
          <w:rFonts w:eastAsia="宋体"/>
          <w:lang w:val="en-US"/>
        </w:rPr>
        <w:t xml:space="preserve">. A 0.07 eV decrease of the HOMO for the P-TFB can be found. The energy band alignments of the TFB and P-TFB HTLs drawn from the absorption and UPS results are shown in </w:t>
      </w:r>
      <w:r w:rsidRPr="00BD4AFE">
        <w:rPr>
          <w:rFonts w:eastAsia="宋体"/>
          <w:b/>
          <w:bCs/>
          <w:lang w:val="en-US"/>
        </w:rPr>
        <w:t>Figure 2c</w:t>
      </w:r>
      <w:r w:rsidRPr="00BD4AFE">
        <w:rPr>
          <w:rFonts w:eastAsia="宋体"/>
          <w:lang w:val="en-US"/>
        </w:rPr>
        <w:t xml:space="preserve">. According to the diagram, the P-TFB exhibits a deeper lowest unoccupied molecular orbital (LUMO) and HOMO compared with the TFB. The HOMO of the P-TFB HTL is much closer to the valance band maximum (VBM) of the QDs layer, indicating a smaller </w:t>
      </w:r>
      <w:r w:rsidRPr="00BD4AFE">
        <w:rPr>
          <w:rFonts w:eastAsia="宋体"/>
          <w:lang w:val="en-US"/>
        </w:rPr>
        <w:lastRenderedPageBreak/>
        <w:t>energy barrier during the hole transfer from the HTL layer to the QDs layer. Meanwhile, a narrower difference between LUMO and Fermi-level (</w:t>
      </w:r>
      <w:bookmarkStart w:id="4" w:name="OLE_LINK4"/>
      <w:r w:rsidRPr="00BD4AFE">
        <w:rPr>
          <w:rFonts w:eastAsia="宋体"/>
          <w:i/>
          <w:iCs/>
          <w:lang w:val="en-US"/>
        </w:rPr>
        <w:t>E</w:t>
      </w:r>
      <w:r w:rsidRPr="00BD4AFE">
        <w:rPr>
          <w:rFonts w:eastAsia="宋体"/>
          <w:vertAlign w:val="subscript"/>
          <w:lang w:val="en-US"/>
        </w:rPr>
        <w:t>F</w:t>
      </w:r>
      <w:bookmarkEnd w:id="4"/>
      <w:r w:rsidRPr="00BD4AFE">
        <w:rPr>
          <w:rFonts w:eastAsia="宋体"/>
          <w:lang w:val="en-US"/>
        </w:rPr>
        <w:t>) for the P-TFB than for the PVK indicates the increased hole concentration [17]. The hole-only devices (HODs) were prepared as shown in</w:t>
      </w:r>
      <w:r w:rsidRPr="00BD4AFE">
        <w:rPr>
          <w:rFonts w:eastAsia="宋体"/>
          <w:b/>
          <w:bCs/>
          <w:lang w:val="en-US"/>
        </w:rPr>
        <w:t xml:space="preserve"> Figure 2d.</w:t>
      </w:r>
      <w:r w:rsidRPr="00BD4AFE">
        <w:rPr>
          <w:rFonts w:eastAsia="宋体"/>
          <w:lang w:val="en-US"/>
        </w:rPr>
        <w:t xml:space="preserve"> The electrical properties of the HTLs were analyzed using HOD as displayed in </w:t>
      </w:r>
      <w:r w:rsidRPr="00BD4AFE">
        <w:rPr>
          <w:rFonts w:eastAsia="宋体"/>
          <w:b/>
          <w:bCs/>
          <w:lang w:val="en-US"/>
        </w:rPr>
        <w:t>Figure 2e, f</w:t>
      </w:r>
      <w:r w:rsidRPr="00BD4AFE">
        <w:rPr>
          <w:rFonts w:eastAsia="宋体"/>
          <w:lang w:val="en-US"/>
        </w:rPr>
        <w:t>. For the two HODs, the hole current increases as the voltage increases, indicating the increased hole injection and transfer efficiency with increase of voltage. The hole mobility of the HTLs can be obtained by fitting the space-charge-limited-current region with the child’s law (2) [</w:t>
      </w:r>
      <w:r w:rsidR="008B3AB1" w:rsidRPr="00BD4AFE">
        <w:rPr>
          <w:rFonts w:eastAsia="宋体"/>
          <w:lang w:val="en-US"/>
        </w:rPr>
        <w:t>31</w:t>
      </w:r>
      <w:r w:rsidRPr="00BD4AFE">
        <w:rPr>
          <w:rFonts w:eastAsia="宋体"/>
          <w:lang w:val="en-US"/>
        </w:rPr>
        <w:t>]:</w:t>
      </w:r>
    </w:p>
    <w:p w14:paraId="16C90B48" w14:textId="33C85AC0" w:rsidR="0054765A" w:rsidRPr="00BD4AFE" w:rsidRDefault="0054765A" w:rsidP="002C4539">
      <w:pPr>
        <w:spacing w:line="360" w:lineRule="auto"/>
        <w:jc w:val="right"/>
        <w:rPr>
          <w:rFonts w:eastAsia="宋体"/>
          <w:lang w:val="en-US"/>
        </w:rPr>
      </w:pPr>
      <w:r w:rsidRPr="00BD4AFE">
        <w:rPr>
          <w:rFonts w:eastAsia="宋体"/>
          <w:lang w:val="en-US"/>
        </w:rPr>
        <w:t xml:space="preserve">J = </w:t>
      </w:r>
      <m:oMath>
        <m:f>
          <m:fPr>
            <m:ctrlPr>
              <w:rPr>
                <w:rFonts w:ascii="Cambria Math" w:eastAsia="宋体" w:hAnsi="Cambria Math"/>
                <w:i/>
                <w:lang w:val="en-US"/>
              </w:rPr>
            </m:ctrlPr>
          </m:fPr>
          <m:num>
            <m:r>
              <w:rPr>
                <w:rFonts w:ascii="Cambria Math" w:eastAsia="宋体" w:hAnsi="Cambria Math"/>
                <w:lang w:val="en-US"/>
              </w:rPr>
              <m:t>9</m:t>
            </m:r>
          </m:num>
          <m:den>
            <m:r>
              <w:rPr>
                <w:rFonts w:ascii="Cambria Math" w:eastAsia="宋体" w:hAnsi="Cambria Math"/>
                <w:lang w:val="en-US"/>
              </w:rPr>
              <m:t>8</m:t>
            </m:r>
          </m:den>
        </m:f>
        <m:r>
          <w:rPr>
            <w:rFonts w:ascii="Cambria Math" w:eastAsia="宋体" w:hAnsi="Cambria Math"/>
            <w:lang w:val="en-US"/>
          </w:rPr>
          <m:t>×</m:t>
        </m:r>
        <m:f>
          <m:fPr>
            <m:ctrlPr>
              <w:rPr>
                <w:rFonts w:ascii="Cambria Math" w:eastAsia="宋体" w:hAnsi="Cambria Math"/>
                <w:i/>
                <w:lang w:val="en-US"/>
              </w:rPr>
            </m:ctrlPr>
          </m:fPr>
          <m:num>
            <m:sSub>
              <m:sSubPr>
                <m:ctrlPr>
                  <w:rPr>
                    <w:rFonts w:ascii="Cambria Math" w:eastAsia="宋体" w:hAnsi="Cambria Math"/>
                    <w:i/>
                    <w:lang w:val="en-US"/>
                  </w:rPr>
                </m:ctrlPr>
              </m:sSubPr>
              <m:e>
                <m:r>
                  <w:rPr>
                    <w:rFonts w:ascii="Cambria Math" w:eastAsia="宋体" w:hAnsi="Cambria Math"/>
                    <w:lang w:val="en-US"/>
                  </w:rPr>
                  <m:t>ε</m:t>
                </m:r>
              </m:e>
              <m:sub>
                <m:r>
                  <w:rPr>
                    <w:rFonts w:ascii="Cambria Math" w:eastAsia="宋体" w:hAnsi="Cambria Math"/>
                    <w:lang w:val="en-US"/>
                  </w:rPr>
                  <m:t>r</m:t>
                </m:r>
              </m:sub>
            </m:sSub>
            <m:sSub>
              <m:sSubPr>
                <m:ctrlPr>
                  <w:rPr>
                    <w:rFonts w:ascii="Cambria Math" w:eastAsia="宋体" w:hAnsi="Cambria Math"/>
                    <w:i/>
                    <w:lang w:val="en-US"/>
                  </w:rPr>
                </m:ctrlPr>
              </m:sSubPr>
              <m:e>
                <m:r>
                  <w:rPr>
                    <w:rFonts w:ascii="Cambria Math" w:eastAsia="宋体" w:hAnsi="Cambria Math"/>
                    <w:lang w:val="en-US"/>
                  </w:rPr>
                  <m:t>ε</m:t>
                </m:r>
              </m:e>
              <m:sub>
                <m:r>
                  <w:rPr>
                    <w:rFonts w:ascii="Cambria Math" w:eastAsia="宋体" w:hAnsi="Cambria Math"/>
                    <w:lang w:val="en-US"/>
                  </w:rPr>
                  <m:t>0</m:t>
                </m:r>
              </m:sub>
            </m:sSub>
            <m:sSub>
              <m:sSubPr>
                <m:ctrlPr>
                  <w:rPr>
                    <w:rFonts w:ascii="Cambria Math" w:eastAsia="宋体" w:hAnsi="Cambria Math"/>
                    <w:i/>
                    <w:lang w:val="en-US"/>
                  </w:rPr>
                </m:ctrlPr>
              </m:sSubPr>
              <m:e>
                <m:r>
                  <w:rPr>
                    <w:rFonts w:ascii="Cambria Math" w:eastAsia="宋体" w:hAnsi="Cambria Math"/>
                    <w:lang w:val="en-US"/>
                  </w:rPr>
                  <m:t>μ</m:t>
                </m:r>
              </m:e>
              <m:sub>
                <m:r>
                  <w:rPr>
                    <w:rFonts w:ascii="Cambria Math" w:eastAsia="宋体" w:hAnsi="Cambria Math"/>
                    <w:lang w:val="en-US"/>
                  </w:rPr>
                  <m:t>h</m:t>
                </m:r>
              </m:sub>
            </m:sSub>
            <m:sSup>
              <m:sSupPr>
                <m:ctrlPr>
                  <w:rPr>
                    <w:rFonts w:ascii="Cambria Math" w:eastAsia="宋体" w:hAnsi="Cambria Math"/>
                    <w:i/>
                    <w:lang w:val="en-US"/>
                  </w:rPr>
                </m:ctrlPr>
              </m:sSupPr>
              <m:e>
                <m:r>
                  <w:rPr>
                    <w:rFonts w:ascii="Cambria Math" w:eastAsia="宋体" w:hAnsi="Cambria Math"/>
                    <w:lang w:val="en-US"/>
                  </w:rPr>
                  <m:t>V</m:t>
                </m:r>
              </m:e>
              <m:sup>
                <m:r>
                  <w:rPr>
                    <w:rFonts w:ascii="Cambria Math" w:eastAsia="宋体" w:hAnsi="Cambria Math"/>
                    <w:lang w:val="en-US"/>
                  </w:rPr>
                  <m:t>2</m:t>
                </m:r>
              </m:sup>
            </m:sSup>
          </m:num>
          <m:den>
            <m:sSup>
              <m:sSupPr>
                <m:ctrlPr>
                  <w:rPr>
                    <w:rFonts w:ascii="Cambria Math" w:eastAsia="宋体" w:hAnsi="Cambria Math"/>
                    <w:i/>
                    <w:lang w:val="en-US"/>
                  </w:rPr>
                </m:ctrlPr>
              </m:sSupPr>
              <m:e>
                <m:r>
                  <w:rPr>
                    <w:rFonts w:ascii="Cambria Math" w:eastAsia="宋体" w:hAnsi="Cambria Math"/>
                    <w:lang w:val="en-US"/>
                  </w:rPr>
                  <m:t>d</m:t>
                </m:r>
              </m:e>
              <m:sup>
                <m:r>
                  <w:rPr>
                    <w:rFonts w:ascii="Cambria Math" w:eastAsia="宋体" w:hAnsi="Cambria Math"/>
                    <w:lang w:val="en-US"/>
                  </w:rPr>
                  <m:t>3</m:t>
                </m:r>
              </m:sup>
            </m:sSup>
          </m:den>
        </m:f>
      </m:oMath>
      <w:r w:rsidRPr="00BD4AFE">
        <w:rPr>
          <w:rFonts w:eastAsia="宋体"/>
          <w:lang w:val="en-US"/>
        </w:rPr>
        <w:t xml:space="preserve">        </w:t>
      </w:r>
      <w:r w:rsidR="002C4539" w:rsidRPr="00BD4AFE">
        <w:rPr>
          <w:rFonts w:eastAsia="宋体"/>
          <w:lang w:val="en-US"/>
        </w:rPr>
        <w:t xml:space="preserve">                            </w:t>
      </w:r>
      <w:r w:rsidRPr="00BD4AFE">
        <w:rPr>
          <w:rFonts w:eastAsia="宋体"/>
          <w:lang w:val="en-US"/>
        </w:rPr>
        <w:t xml:space="preserve">                     (2)</w:t>
      </w:r>
    </w:p>
    <w:p w14:paraId="39C292E3" w14:textId="19441721" w:rsidR="0054765A" w:rsidRPr="00BD4AFE" w:rsidRDefault="0054765A" w:rsidP="002C4539">
      <w:pPr>
        <w:spacing w:line="360" w:lineRule="auto"/>
        <w:jc w:val="both"/>
        <w:rPr>
          <w:rFonts w:eastAsia="宋体"/>
          <w:lang w:val="en-US"/>
        </w:rPr>
      </w:pPr>
      <w:r w:rsidRPr="00BD4AFE">
        <w:rPr>
          <w:rFonts w:eastAsia="宋体"/>
          <w:lang w:val="en-US"/>
        </w:rPr>
        <w:t>where</w:t>
      </w:r>
      <w:r w:rsidR="00C60488" w:rsidRPr="00BD4AFE">
        <w:rPr>
          <w:rFonts w:eastAsia="宋体"/>
          <w:lang w:val="en-US"/>
        </w:rPr>
        <w:t xml:space="preserve"> J</w:t>
      </w:r>
      <w:r w:rsidR="0057517A" w:rsidRPr="00BD4AFE">
        <w:rPr>
          <w:rFonts w:eastAsia="宋体"/>
          <w:lang w:val="en-US"/>
        </w:rPr>
        <w:t xml:space="preserve"> </w:t>
      </w:r>
      <w:r w:rsidR="00E71722" w:rsidRPr="00BD4AFE">
        <w:rPr>
          <w:rFonts w:eastAsia="宋体"/>
          <w:lang w:val="en-US"/>
        </w:rPr>
        <w:t>is the current density</w:t>
      </w:r>
      <w:r w:rsidR="00C60488" w:rsidRPr="00BD4AFE">
        <w:rPr>
          <w:rFonts w:eastAsia="宋体"/>
          <w:lang w:val="en-US"/>
        </w:rPr>
        <w:t xml:space="preserve">, </w:t>
      </w:r>
      <w:proofErr w:type="spellStart"/>
      <w:r w:rsidRPr="00BD4AFE">
        <w:rPr>
          <w:rFonts w:eastAsia="宋体"/>
          <w:i/>
          <w:iCs/>
          <w:lang w:val="en-US"/>
        </w:rPr>
        <w:t>ε</w:t>
      </w:r>
      <w:r w:rsidRPr="00BD4AFE">
        <w:rPr>
          <w:rFonts w:eastAsia="宋体"/>
          <w:vertAlign w:val="subscript"/>
          <w:lang w:val="en-US"/>
        </w:rPr>
        <w:t>r</w:t>
      </w:r>
      <w:proofErr w:type="spellEnd"/>
      <w:r w:rsidRPr="00BD4AFE">
        <w:rPr>
          <w:rFonts w:eastAsia="宋体"/>
          <w:lang w:val="en-US"/>
        </w:rPr>
        <w:t xml:space="preserve"> is the relative permittivity, </w:t>
      </w:r>
      <w:r w:rsidRPr="00BD4AFE">
        <w:rPr>
          <w:rFonts w:eastAsia="宋体"/>
          <w:i/>
          <w:iCs/>
          <w:lang w:val="en-US"/>
        </w:rPr>
        <w:t>ε</w:t>
      </w:r>
      <w:r w:rsidRPr="00BD4AFE">
        <w:rPr>
          <w:rFonts w:eastAsia="宋体"/>
          <w:vertAlign w:val="subscript"/>
          <w:lang w:val="en-US"/>
        </w:rPr>
        <w:t>0</w:t>
      </w:r>
      <w:r w:rsidRPr="00BD4AFE">
        <w:rPr>
          <w:rFonts w:eastAsia="宋体"/>
          <w:lang w:val="en-US"/>
        </w:rPr>
        <w:t xml:space="preserve"> is the vacuum permittivity, </w:t>
      </w:r>
      <w:proofErr w:type="spellStart"/>
      <w:r w:rsidRPr="00BD4AFE">
        <w:rPr>
          <w:rFonts w:eastAsia="宋体"/>
          <w:i/>
          <w:iCs/>
          <w:lang w:val="en-US"/>
        </w:rPr>
        <w:t>μ</w:t>
      </w:r>
      <w:r w:rsidRPr="00BD4AFE">
        <w:rPr>
          <w:rFonts w:eastAsia="宋体"/>
          <w:vertAlign w:val="subscript"/>
          <w:lang w:val="en-US"/>
        </w:rPr>
        <w:t>h</w:t>
      </w:r>
      <w:proofErr w:type="spellEnd"/>
      <w:r w:rsidRPr="00BD4AFE">
        <w:rPr>
          <w:rFonts w:eastAsia="宋体"/>
          <w:lang w:val="en-US"/>
        </w:rPr>
        <w:t xml:space="preserve"> is the hole mobility, and d is the film thickness. The </w:t>
      </w:r>
      <w:proofErr w:type="spellStart"/>
      <w:r w:rsidRPr="00BD4AFE">
        <w:rPr>
          <w:rFonts w:eastAsia="宋体"/>
          <w:i/>
          <w:iCs/>
          <w:lang w:val="en-US"/>
        </w:rPr>
        <w:t>ε</w:t>
      </w:r>
      <w:r w:rsidRPr="00BD4AFE">
        <w:rPr>
          <w:rFonts w:eastAsia="宋体"/>
          <w:vertAlign w:val="subscript"/>
          <w:lang w:val="en-US"/>
        </w:rPr>
        <w:t>r</w:t>
      </w:r>
      <w:proofErr w:type="spellEnd"/>
      <w:r w:rsidRPr="00BD4AFE">
        <w:rPr>
          <w:rFonts w:eastAsia="宋体"/>
          <w:lang w:val="en-US"/>
        </w:rPr>
        <w:t xml:space="preserve"> for the HTLs is estimated to be 3.5 [3</w:t>
      </w:r>
      <w:r w:rsidR="00E04026" w:rsidRPr="00BD4AFE">
        <w:rPr>
          <w:rFonts w:eastAsia="宋体"/>
          <w:lang w:val="en-US"/>
        </w:rPr>
        <w:t>2</w:t>
      </w:r>
      <w:r w:rsidRPr="00BD4AFE">
        <w:rPr>
          <w:rFonts w:eastAsia="宋体"/>
          <w:lang w:val="en-US"/>
        </w:rPr>
        <w:t xml:space="preserve">]. </w:t>
      </w:r>
      <w:proofErr w:type="spellStart"/>
      <w:r w:rsidRPr="00BD4AFE">
        <w:rPr>
          <w:rFonts w:eastAsia="宋体"/>
          <w:i/>
          <w:iCs/>
          <w:lang w:val="en-US"/>
        </w:rPr>
        <w:t>μ</w:t>
      </w:r>
      <w:r w:rsidRPr="00BD4AFE">
        <w:rPr>
          <w:rFonts w:eastAsia="宋体"/>
          <w:vertAlign w:val="subscript"/>
          <w:lang w:val="en-US"/>
        </w:rPr>
        <w:t>h</w:t>
      </w:r>
      <w:proofErr w:type="spellEnd"/>
      <w:r w:rsidRPr="00BD4AFE">
        <w:rPr>
          <w:rFonts w:eastAsia="宋体"/>
          <w:vertAlign w:val="subscript"/>
          <w:lang w:val="en-US"/>
        </w:rPr>
        <w:t xml:space="preserve"> </w:t>
      </w:r>
      <w:r w:rsidRPr="00BD4AFE">
        <w:rPr>
          <w:rFonts w:eastAsia="宋体"/>
          <w:lang w:val="en-US"/>
        </w:rPr>
        <w:t>for the TFB and P-TFB are calculated to be 1.08×10</w:t>
      </w:r>
      <w:r w:rsidRPr="00BD4AFE">
        <w:rPr>
          <w:rFonts w:eastAsia="宋体"/>
          <w:vertAlign w:val="superscript"/>
          <w:lang w:val="en-US"/>
        </w:rPr>
        <w:t>-3</w:t>
      </w:r>
      <w:r w:rsidRPr="00BD4AFE">
        <w:rPr>
          <w:rFonts w:eastAsia="宋体"/>
          <w:lang w:val="en-US"/>
        </w:rPr>
        <w:t xml:space="preserve"> and 2.09×10</w:t>
      </w:r>
      <w:r w:rsidRPr="00BD4AFE">
        <w:rPr>
          <w:rFonts w:eastAsia="宋体"/>
          <w:vertAlign w:val="superscript"/>
          <w:lang w:val="en-US"/>
        </w:rPr>
        <w:t>-3</w:t>
      </w:r>
      <w:r w:rsidRPr="00BD4AFE">
        <w:rPr>
          <w:rFonts w:eastAsia="宋体"/>
          <w:lang w:val="en-US"/>
        </w:rPr>
        <w:t>cm</w:t>
      </w:r>
      <w:r w:rsidRPr="00BD4AFE">
        <w:rPr>
          <w:rFonts w:eastAsia="宋体"/>
          <w:vertAlign w:val="superscript"/>
          <w:lang w:val="en-US"/>
        </w:rPr>
        <w:t>2</w:t>
      </w:r>
      <w:r w:rsidRPr="00BD4AFE">
        <w:rPr>
          <w:rFonts w:eastAsia="宋体"/>
          <w:lang w:val="en-US"/>
        </w:rPr>
        <w:t>·V</w:t>
      </w:r>
      <w:r w:rsidRPr="00BD4AFE">
        <w:rPr>
          <w:rFonts w:eastAsia="宋体"/>
          <w:vertAlign w:val="superscript"/>
          <w:lang w:val="en-US"/>
        </w:rPr>
        <w:t>-1</w:t>
      </w:r>
      <w:r w:rsidRPr="00BD4AFE">
        <w:rPr>
          <w:rFonts w:eastAsia="宋体"/>
          <w:lang w:val="en-US"/>
        </w:rPr>
        <w:t>·S</w:t>
      </w:r>
      <w:r w:rsidRPr="00BD4AFE">
        <w:rPr>
          <w:rFonts w:eastAsia="宋体"/>
          <w:vertAlign w:val="superscript"/>
          <w:lang w:val="en-US"/>
        </w:rPr>
        <w:t>-1</w:t>
      </w:r>
      <w:r w:rsidRPr="00BD4AFE">
        <w:rPr>
          <w:rFonts w:eastAsia="宋体"/>
          <w:lang w:val="en-US"/>
        </w:rPr>
        <w:t>, respectively (</w:t>
      </w:r>
      <w:r w:rsidRPr="00BD4AFE">
        <w:rPr>
          <w:rFonts w:eastAsia="宋体"/>
          <w:b/>
          <w:bCs/>
          <w:lang w:val="en-US"/>
        </w:rPr>
        <w:t>Table</w:t>
      </w:r>
      <w:r w:rsidRPr="00BD4AFE">
        <w:rPr>
          <w:rFonts w:eastAsia="宋体"/>
          <w:lang w:val="en-US"/>
        </w:rPr>
        <w:t xml:space="preserve"> </w:t>
      </w:r>
      <w:r w:rsidRPr="00BD4AFE">
        <w:rPr>
          <w:rFonts w:eastAsia="宋体"/>
          <w:b/>
          <w:bCs/>
          <w:lang w:val="en-US"/>
        </w:rPr>
        <w:t>S2</w:t>
      </w:r>
      <w:r w:rsidRPr="00BD4AFE">
        <w:rPr>
          <w:rFonts w:eastAsia="宋体"/>
          <w:lang w:val="en-US"/>
        </w:rPr>
        <w:t xml:space="preserve">), indicating that the higher hole mobility of the P-TFB HTL is than that of the TFB HTL. This is in accord with the results of </w:t>
      </w:r>
      <w:r w:rsidRPr="00BD4AFE">
        <w:rPr>
          <w:rFonts w:eastAsia="宋体"/>
          <w:b/>
          <w:bCs/>
          <w:lang w:val="en-US"/>
        </w:rPr>
        <w:t>Figure 1f</w:t>
      </w:r>
      <w:r w:rsidRPr="00BD4AFE">
        <w:rPr>
          <w:rFonts w:eastAsia="宋体"/>
          <w:lang w:val="en-US"/>
        </w:rPr>
        <w:t>. The increased hole mobility and decreased barrier energy would accelerate holes transfer from HTL to QDs, and promote holes transport in the QLEDs, thus matching with electrons mobility of the QLEDs [3</w:t>
      </w:r>
      <w:r w:rsidR="00E04026" w:rsidRPr="00BD4AFE">
        <w:rPr>
          <w:rFonts w:eastAsia="宋体"/>
          <w:lang w:val="en-US"/>
        </w:rPr>
        <w:t>3</w:t>
      </w:r>
      <w:r w:rsidRPr="00BD4AFE">
        <w:rPr>
          <w:rFonts w:eastAsia="宋体"/>
          <w:lang w:val="en-US"/>
        </w:rPr>
        <w:t>-3</w:t>
      </w:r>
      <w:r w:rsidR="00E04026" w:rsidRPr="00BD4AFE">
        <w:rPr>
          <w:rFonts w:eastAsia="宋体"/>
          <w:lang w:val="en-US"/>
        </w:rPr>
        <w:t>5</w:t>
      </w:r>
      <w:r w:rsidRPr="00BD4AFE">
        <w:rPr>
          <w:rFonts w:eastAsia="宋体"/>
          <w:lang w:val="en-US"/>
        </w:rPr>
        <w:t>].</w:t>
      </w:r>
    </w:p>
    <w:p w14:paraId="6A6B93F6" w14:textId="53378537" w:rsidR="00D95008" w:rsidRPr="00BD4AFE" w:rsidRDefault="0054765A" w:rsidP="00943BF4">
      <w:pPr>
        <w:spacing w:line="360" w:lineRule="auto"/>
        <w:ind w:firstLineChars="100" w:firstLine="241"/>
        <w:jc w:val="both"/>
        <w:rPr>
          <w:rFonts w:eastAsia="宋体"/>
          <w:lang w:val="en-US"/>
        </w:rPr>
      </w:pPr>
      <w:r w:rsidRPr="00BD4AFE">
        <w:rPr>
          <w:rFonts w:eastAsia="宋体"/>
          <w:b/>
          <w:bCs/>
          <w:lang w:val="en-US"/>
        </w:rPr>
        <w:t>Figure 3a</w:t>
      </w:r>
      <w:r w:rsidRPr="00BD4AFE">
        <w:rPr>
          <w:rFonts w:eastAsia="宋体"/>
          <w:lang w:val="en-US"/>
        </w:rPr>
        <w:t xml:space="preserve"> shows the energy level of the layers in the QLEDs, including layers of the indium-tin-oxide (ITO), HTL, </w:t>
      </w:r>
      <w:proofErr w:type="spellStart"/>
      <w:r w:rsidRPr="00BD4AFE">
        <w:rPr>
          <w:rFonts w:eastAsia="宋体"/>
          <w:lang w:val="en-US"/>
        </w:rPr>
        <w:t>CdSe@ZnS</w:t>
      </w:r>
      <w:proofErr w:type="spellEnd"/>
      <w:r w:rsidRPr="00BD4AFE">
        <w:rPr>
          <w:rFonts w:eastAsia="宋体"/>
          <w:lang w:val="en-US"/>
        </w:rPr>
        <w:t xml:space="preserve"> QDs, </w:t>
      </w:r>
      <w:proofErr w:type="spellStart"/>
      <w:r w:rsidRPr="00BD4AFE">
        <w:rPr>
          <w:rFonts w:eastAsia="宋体"/>
          <w:lang w:val="en-US"/>
        </w:rPr>
        <w:t>ZnMgO</w:t>
      </w:r>
      <w:proofErr w:type="spellEnd"/>
      <w:r w:rsidRPr="00BD4AFE">
        <w:rPr>
          <w:rFonts w:eastAsia="宋体"/>
          <w:lang w:val="en-US"/>
        </w:rPr>
        <w:t xml:space="preserve"> (MZO) ETL, and metal cathode of Ag. As shown in the diagram, the P-TFB has deeper LUMO and HOMO than the TFB, which is benefit for the hole</w:t>
      </w:r>
      <w:r w:rsidR="00C25D14" w:rsidRPr="00BD4AFE">
        <w:rPr>
          <w:rFonts w:eastAsia="宋体"/>
          <w:lang w:val="en-US"/>
        </w:rPr>
        <w:t xml:space="preserve"> transportation</w:t>
      </w:r>
      <w:r w:rsidRPr="00BD4AFE">
        <w:rPr>
          <w:rFonts w:eastAsia="宋体"/>
          <w:lang w:val="en-US"/>
        </w:rPr>
        <w:t xml:space="preserve">. The </w:t>
      </w:r>
      <w:r w:rsidR="006E70AF" w:rsidRPr="00BD4AFE">
        <w:rPr>
          <w:rFonts w:eastAsia="宋体"/>
          <w:lang w:val="en-US"/>
        </w:rPr>
        <w:t xml:space="preserve">solutions of </w:t>
      </w:r>
      <w:proofErr w:type="spellStart"/>
      <w:r w:rsidRPr="00BD4AFE">
        <w:rPr>
          <w:rFonts w:eastAsia="宋体"/>
          <w:lang w:val="en-US"/>
        </w:rPr>
        <w:t>CdSe@ZnS</w:t>
      </w:r>
      <w:proofErr w:type="spellEnd"/>
      <w:r w:rsidRPr="00BD4AFE">
        <w:rPr>
          <w:rFonts w:eastAsia="宋体"/>
          <w:lang w:val="en-US"/>
        </w:rPr>
        <w:t xml:space="preserve"> QDs with photoluminescence quantum yield (PLQY) of ~ 90 % were used as the emitting layer in the device. The corresponding cross-sectional scanning </w:t>
      </w:r>
      <w:r w:rsidRPr="00BD4AFE">
        <w:rPr>
          <w:lang w:val="en-US"/>
        </w:rPr>
        <w:t>transmission electron microscopy</w:t>
      </w:r>
      <w:r w:rsidRPr="00BD4AFE">
        <w:rPr>
          <w:rFonts w:eastAsia="宋体"/>
          <w:lang w:val="en-US"/>
        </w:rPr>
        <w:t xml:space="preserve"> (STEM) image of the device shows clear boundaries between each layer as shown in </w:t>
      </w:r>
      <w:r w:rsidRPr="00BD4AFE">
        <w:rPr>
          <w:rFonts w:eastAsia="宋体"/>
          <w:b/>
          <w:bCs/>
          <w:lang w:val="en-US"/>
        </w:rPr>
        <w:t>Figure 3b</w:t>
      </w:r>
      <w:r w:rsidRPr="00BD4AFE">
        <w:rPr>
          <w:rFonts w:eastAsia="宋体"/>
          <w:lang w:val="en-US"/>
        </w:rPr>
        <w:t>. The corresponding energy-dispersive X-ray spectroscopy (EDS) elemental analysis shows uniform distributions of Ag, Zn, Cd, Se, S, and Sn elements in the different layers and clear boundaries between each layer (</w:t>
      </w:r>
      <w:r w:rsidRPr="00BD4AFE">
        <w:rPr>
          <w:rFonts w:eastAsia="宋体"/>
          <w:b/>
          <w:bCs/>
          <w:lang w:val="en-US"/>
        </w:rPr>
        <w:t>Figure S3</w:t>
      </w:r>
      <w:r w:rsidRPr="00BD4AFE">
        <w:rPr>
          <w:rFonts w:eastAsia="宋体"/>
          <w:lang w:val="en-US"/>
        </w:rPr>
        <w:t xml:space="preserve">). The device performance of the QLEDs based on two different HTLs are shown in </w:t>
      </w:r>
      <w:r w:rsidRPr="00BD4AFE">
        <w:rPr>
          <w:rFonts w:eastAsia="宋体"/>
          <w:b/>
          <w:bCs/>
          <w:lang w:val="en-US"/>
        </w:rPr>
        <w:t>Figure 3c, d</w:t>
      </w:r>
      <w:r w:rsidRPr="00BD4AFE">
        <w:rPr>
          <w:rFonts w:eastAsia="宋体"/>
          <w:lang w:val="en-US"/>
        </w:rPr>
        <w:t>. It can be seen that at low voltage below 2.6 V, the current density of the P-TFB based device is lower than that of the TFB based device, which represents a much lower leakage current density in the P-TFB based device because of its high shunt resistance. The current density and luminance of the P-TFB based device are higher than those of the TFB based device when the voltage &gt; 2.6 V, indicating the higher electro-optic conversion efficiency in the P-TFB based device [3</w:t>
      </w:r>
      <w:r w:rsidR="00E04026" w:rsidRPr="00BD4AFE">
        <w:rPr>
          <w:rFonts w:eastAsia="宋体"/>
          <w:lang w:val="en-US"/>
        </w:rPr>
        <w:t>6</w:t>
      </w:r>
      <w:r w:rsidRPr="00BD4AFE">
        <w:rPr>
          <w:rFonts w:eastAsia="宋体"/>
          <w:lang w:val="en-US"/>
        </w:rPr>
        <w:t>]. At the luminance of 10,000 cd cm</w:t>
      </w:r>
      <w:r w:rsidRPr="00BD4AFE">
        <w:rPr>
          <w:rFonts w:eastAsia="宋体"/>
          <w:vertAlign w:val="superscript"/>
          <w:lang w:val="en-US"/>
        </w:rPr>
        <w:t>-2</w:t>
      </w:r>
      <w:r w:rsidRPr="00BD4AFE">
        <w:rPr>
          <w:rFonts w:eastAsia="宋体"/>
          <w:lang w:val="en-US"/>
        </w:rPr>
        <w:t>, the voltage for the QLEDs based on P-TFB HTL is 3.3 V, less than that for the QLEDs based on TFB HTL (3.6 V), indicating the reduction of the hole injection barrier in the P-TFB based device [3</w:t>
      </w:r>
      <w:r w:rsidR="00E04026" w:rsidRPr="00BD4AFE">
        <w:rPr>
          <w:rFonts w:eastAsia="宋体"/>
          <w:lang w:val="en-US"/>
        </w:rPr>
        <w:t>7</w:t>
      </w:r>
      <w:r w:rsidRPr="00BD4AFE">
        <w:rPr>
          <w:rFonts w:eastAsia="宋体"/>
          <w:lang w:val="en-US"/>
        </w:rPr>
        <w:t xml:space="preserve">]. Accordingly, the device based on </w:t>
      </w:r>
      <w:r w:rsidRPr="00BD4AFE">
        <w:rPr>
          <w:rFonts w:eastAsia="宋体"/>
          <w:lang w:val="en-US"/>
        </w:rPr>
        <w:lastRenderedPageBreak/>
        <w:t>P-TFB HTL displays a high EQE of 22.7 %, higher than that of the device based on the TFB HTL (17.6%) (</w:t>
      </w:r>
      <w:r w:rsidRPr="00BD4AFE">
        <w:rPr>
          <w:rFonts w:eastAsia="宋体"/>
          <w:b/>
          <w:bCs/>
          <w:lang w:val="en-US"/>
        </w:rPr>
        <w:t>Figure 3d</w:t>
      </w:r>
      <w:r w:rsidRPr="00BD4AFE">
        <w:rPr>
          <w:rFonts w:eastAsia="宋体"/>
          <w:lang w:val="en-US"/>
        </w:rPr>
        <w:t>). The current density as a function of the electric field (</w:t>
      </w:r>
      <w:r w:rsidRPr="00BD4AFE">
        <w:rPr>
          <w:rFonts w:eastAsia="宋体"/>
          <w:b/>
          <w:bCs/>
          <w:lang w:val="en-US"/>
        </w:rPr>
        <w:t>Figure 3e</w:t>
      </w:r>
      <w:r w:rsidRPr="00BD4AFE">
        <w:rPr>
          <w:rFonts w:eastAsia="宋体"/>
          <w:lang w:val="en-US"/>
        </w:rPr>
        <w:t>) shows that the highest current efficiency of the device based on P-TFB HTL is 29.3 cd A</w:t>
      </w:r>
      <w:r w:rsidRPr="00BD4AFE">
        <w:rPr>
          <w:rFonts w:eastAsia="宋体"/>
          <w:vertAlign w:val="superscript"/>
          <w:lang w:val="en-US"/>
        </w:rPr>
        <w:t>-1</w:t>
      </w:r>
      <w:r w:rsidRPr="00BD4AFE">
        <w:rPr>
          <w:rFonts w:eastAsia="宋体"/>
          <w:lang w:val="en-US"/>
        </w:rPr>
        <w:t>, which is much higher than that of the TFB based device (23.2 cd A</w:t>
      </w:r>
      <w:r w:rsidRPr="00BD4AFE">
        <w:rPr>
          <w:rFonts w:eastAsia="宋体"/>
          <w:vertAlign w:val="superscript"/>
          <w:lang w:val="en-US"/>
        </w:rPr>
        <w:t>-1</w:t>
      </w:r>
      <w:r w:rsidRPr="00BD4AFE">
        <w:rPr>
          <w:rFonts w:eastAsia="宋体"/>
          <w:lang w:val="en-US"/>
        </w:rPr>
        <w:t>), further demonstrating the higher electro-optic conversion efficiency in the P-TFB based device. The enhanced current efficiency would be attributed to the improved charge balance in the device, due to the energy level matching well between the P-TFB HTL and QDs (</w:t>
      </w:r>
      <w:r w:rsidRPr="00BD4AFE">
        <w:rPr>
          <w:rFonts w:eastAsia="宋体"/>
          <w:b/>
          <w:bCs/>
          <w:lang w:val="en-US"/>
        </w:rPr>
        <w:t>Figure 3a</w:t>
      </w:r>
      <w:r w:rsidRPr="00BD4AFE">
        <w:rPr>
          <w:rFonts w:eastAsia="宋体"/>
          <w:lang w:val="en-US"/>
        </w:rPr>
        <w:t>), and the increased hole mobility (</w:t>
      </w:r>
      <w:r w:rsidRPr="00BD4AFE">
        <w:rPr>
          <w:rFonts w:eastAsia="宋体"/>
          <w:b/>
          <w:bCs/>
          <w:lang w:val="en-US"/>
        </w:rPr>
        <w:t>Figure 2e and Figure 2f</w:t>
      </w:r>
      <w:r w:rsidRPr="00BD4AFE">
        <w:rPr>
          <w:rFonts w:eastAsia="宋体"/>
          <w:lang w:val="en-US"/>
        </w:rPr>
        <w:t xml:space="preserve">) of the P-TFB HTL. </w:t>
      </w:r>
    </w:p>
    <w:p w14:paraId="13FE6D2B" w14:textId="77777777" w:rsidR="00D95008" w:rsidRPr="00BD4AFE" w:rsidRDefault="00D95008" w:rsidP="00943BF4">
      <w:pPr>
        <w:spacing w:line="360" w:lineRule="auto"/>
        <w:ind w:firstLineChars="100" w:firstLine="240"/>
        <w:jc w:val="both"/>
        <w:rPr>
          <w:rFonts w:eastAsia="宋体"/>
          <w:lang w:val="en-US"/>
        </w:rPr>
      </w:pPr>
    </w:p>
    <w:p w14:paraId="13E8063E" w14:textId="3FD757EE" w:rsidR="00D95008" w:rsidRPr="00BD4AFE" w:rsidRDefault="005B1829" w:rsidP="00D95008">
      <w:pPr>
        <w:spacing w:line="480" w:lineRule="auto"/>
        <w:jc w:val="center"/>
        <w:rPr>
          <w:lang w:val="en-US"/>
        </w:rPr>
      </w:pPr>
      <w:r w:rsidRPr="00BD4AFE">
        <w:rPr>
          <w:noProof/>
        </w:rPr>
        <w:drawing>
          <wp:inline distT="0" distB="0" distL="0" distR="0" wp14:anchorId="43552DFC" wp14:editId="2527974C">
            <wp:extent cx="5902531" cy="42024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3824" cy="4203351"/>
                    </a:xfrm>
                    <a:prstGeom prst="rect">
                      <a:avLst/>
                    </a:prstGeom>
                  </pic:spPr>
                </pic:pic>
              </a:graphicData>
            </a:graphic>
          </wp:inline>
        </w:drawing>
      </w:r>
    </w:p>
    <w:p w14:paraId="2149C048" w14:textId="77777777" w:rsidR="00D95008" w:rsidRPr="00BD4AFE" w:rsidRDefault="00D95008" w:rsidP="00D95008">
      <w:pPr>
        <w:spacing w:line="360" w:lineRule="auto"/>
        <w:jc w:val="both"/>
        <w:rPr>
          <w:rFonts w:eastAsia="宋体"/>
          <w:lang w:val="en-US"/>
        </w:rPr>
      </w:pPr>
      <w:r w:rsidRPr="00BD4AFE">
        <w:rPr>
          <w:b/>
          <w:bCs/>
          <w:lang w:val="en-US"/>
        </w:rPr>
        <w:t xml:space="preserve">Figure 3. Performances of QLEDs. (a) </w:t>
      </w:r>
      <w:r w:rsidRPr="00BD4AFE">
        <w:rPr>
          <w:rFonts w:eastAsia="宋体"/>
          <w:lang w:val="en-US"/>
        </w:rPr>
        <w:t xml:space="preserve">Band structure of the QLEDs. </w:t>
      </w:r>
      <w:r w:rsidRPr="00BD4AFE">
        <w:rPr>
          <w:rFonts w:eastAsia="宋体"/>
          <w:b/>
          <w:bCs/>
          <w:lang w:val="en-US"/>
        </w:rPr>
        <w:t>(b)</w:t>
      </w:r>
      <w:r w:rsidRPr="00BD4AFE">
        <w:rPr>
          <w:rFonts w:eastAsia="宋体"/>
          <w:lang w:val="en-US"/>
        </w:rPr>
        <w:t xml:space="preserve"> Cross-sectional STEM image of the device. </w:t>
      </w:r>
      <w:r w:rsidRPr="00BD4AFE">
        <w:rPr>
          <w:rFonts w:eastAsia="宋体"/>
          <w:b/>
          <w:bCs/>
          <w:lang w:val="en-US"/>
        </w:rPr>
        <w:t>(c)</w:t>
      </w:r>
      <w:r w:rsidRPr="00BD4AFE">
        <w:rPr>
          <w:rFonts w:eastAsia="宋体"/>
          <w:lang w:val="en-US"/>
        </w:rPr>
        <w:t xml:space="preserve"> Current density and luminance as a function of voltage. </w:t>
      </w:r>
      <w:r w:rsidRPr="00BD4AFE">
        <w:rPr>
          <w:rFonts w:eastAsia="宋体"/>
          <w:b/>
          <w:bCs/>
          <w:lang w:val="en-US"/>
        </w:rPr>
        <w:t>(d)</w:t>
      </w:r>
      <w:r w:rsidRPr="00BD4AFE">
        <w:rPr>
          <w:rFonts w:eastAsia="宋体"/>
          <w:lang w:val="en-US"/>
        </w:rPr>
        <w:t xml:space="preserve"> EQE as a function of luminance. </w:t>
      </w:r>
      <w:r w:rsidRPr="00BD4AFE">
        <w:rPr>
          <w:rFonts w:eastAsia="宋体"/>
          <w:b/>
          <w:bCs/>
          <w:lang w:val="en-US"/>
        </w:rPr>
        <w:t xml:space="preserve">(e) </w:t>
      </w:r>
      <w:r w:rsidRPr="00BD4AFE">
        <w:rPr>
          <w:lang w:val="en-US"/>
        </w:rPr>
        <w:t>Current efficiency as a function of the electric field for the QLEDs.</w:t>
      </w:r>
      <w:r w:rsidRPr="00BD4AFE">
        <w:rPr>
          <w:rFonts w:eastAsia="宋体"/>
          <w:b/>
          <w:bCs/>
          <w:lang w:val="en-US"/>
        </w:rPr>
        <w:t xml:space="preserve"> (f) </w:t>
      </w:r>
      <w:bookmarkStart w:id="5" w:name="OLE_LINK1"/>
      <w:r w:rsidRPr="00BD4AFE">
        <w:rPr>
          <w:rFonts w:eastAsia="宋体"/>
          <w:lang w:val="en-US"/>
        </w:rPr>
        <w:t>EL spectra</w:t>
      </w:r>
      <w:bookmarkEnd w:id="5"/>
      <w:r w:rsidRPr="00BD4AFE">
        <w:rPr>
          <w:rFonts w:eastAsia="宋体"/>
          <w:lang w:val="en-US"/>
        </w:rPr>
        <w:t xml:space="preserve"> as a function of the voltage at 5V and the corresponding </w:t>
      </w:r>
      <w:r w:rsidRPr="00BD4AFE">
        <w:rPr>
          <w:rFonts w:eastAsia="宋体"/>
          <w:b/>
          <w:bCs/>
          <w:lang w:val="en-US"/>
        </w:rPr>
        <w:t>(g)</w:t>
      </w:r>
      <w:r w:rsidRPr="00BD4AFE">
        <w:rPr>
          <w:rFonts w:eastAsia="宋体"/>
          <w:lang w:val="en-US"/>
        </w:rPr>
        <w:t xml:space="preserve"> CIE coordinates. </w:t>
      </w:r>
      <w:r w:rsidRPr="00BD4AFE">
        <w:rPr>
          <w:rFonts w:eastAsia="宋体"/>
          <w:b/>
          <w:bCs/>
          <w:lang w:val="en-US"/>
        </w:rPr>
        <w:t>(h)</w:t>
      </w:r>
      <w:r w:rsidRPr="00BD4AFE">
        <w:rPr>
          <w:rFonts w:eastAsia="宋体"/>
          <w:lang w:val="en-US"/>
        </w:rPr>
        <w:t xml:space="preserve"> EQEs measured from 35 devices for QLEDs based on TFB and P-TFB HTLs. </w:t>
      </w:r>
      <w:r w:rsidRPr="00BD4AFE">
        <w:rPr>
          <w:rFonts w:eastAsia="宋体"/>
          <w:b/>
          <w:bCs/>
          <w:lang w:val="en-US"/>
        </w:rPr>
        <w:t>(</w:t>
      </w:r>
      <w:proofErr w:type="spellStart"/>
      <w:r w:rsidRPr="00BD4AFE">
        <w:rPr>
          <w:rFonts w:eastAsia="宋体"/>
          <w:b/>
          <w:bCs/>
          <w:lang w:val="en-US"/>
        </w:rPr>
        <w:t>i</w:t>
      </w:r>
      <w:proofErr w:type="spellEnd"/>
      <w:r w:rsidRPr="00BD4AFE">
        <w:rPr>
          <w:rFonts w:eastAsia="宋体"/>
          <w:b/>
          <w:bCs/>
          <w:lang w:val="en-US"/>
        </w:rPr>
        <w:t>)</w:t>
      </w:r>
      <w:r w:rsidRPr="00BD4AFE">
        <w:rPr>
          <w:rFonts w:eastAsia="宋体"/>
          <w:lang w:val="en-US"/>
        </w:rPr>
        <w:t xml:space="preserve"> Stability data for the QLED devices.</w:t>
      </w:r>
    </w:p>
    <w:p w14:paraId="26187909" w14:textId="77777777" w:rsidR="00D95008" w:rsidRPr="00BD4AFE" w:rsidRDefault="00D95008" w:rsidP="00943BF4">
      <w:pPr>
        <w:spacing w:line="360" w:lineRule="auto"/>
        <w:ind w:firstLineChars="100" w:firstLine="240"/>
        <w:jc w:val="both"/>
        <w:rPr>
          <w:rFonts w:eastAsia="宋体"/>
          <w:lang w:val="en-US"/>
        </w:rPr>
      </w:pPr>
    </w:p>
    <w:p w14:paraId="5D3CC1F9" w14:textId="25896FFD" w:rsidR="0054765A" w:rsidRPr="00BD4AFE" w:rsidRDefault="0054765A" w:rsidP="00943BF4">
      <w:pPr>
        <w:spacing w:line="360" w:lineRule="auto"/>
        <w:ind w:firstLineChars="100" w:firstLine="241"/>
        <w:jc w:val="both"/>
        <w:rPr>
          <w:rFonts w:eastAsia="宋体"/>
          <w:lang w:val="en-US"/>
        </w:rPr>
      </w:pPr>
      <w:r w:rsidRPr="00BD4AFE">
        <w:rPr>
          <w:rFonts w:eastAsia="宋体"/>
          <w:b/>
          <w:bCs/>
          <w:lang w:val="en-US"/>
        </w:rPr>
        <w:lastRenderedPageBreak/>
        <w:t>Figure 3f</w:t>
      </w:r>
      <w:r w:rsidRPr="00BD4AFE">
        <w:rPr>
          <w:rFonts w:eastAsia="宋体"/>
          <w:lang w:val="en-US"/>
        </w:rPr>
        <w:t xml:space="preserve"> shows electroluminescence (EL) spectra of the QLEDs under a voltage of 5 V. As shown in the spectra, the emission intensity of the P-TFB based device is higher than that of the TFB based device at the same voltage, further demonstrating the improved current efficiency. </w:t>
      </w:r>
      <w:r w:rsidRPr="00BD4AFE">
        <w:rPr>
          <w:rFonts w:eastAsia="宋体"/>
          <w:b/>
          <w:bCs/>
          <w:lang w:val="en-US"/>
        </w:rPr>
        <w:t>Figure 3g</w:t>
      </w:r>
      <w:r w:rsidRPr="00BD4AFE">
        <w:rPr>
          <w:rFonts w:eastAsia="宋体"/>
          <w:lang w:val="en-US"/>
        </w:rPr>
        <w:t xml:space="preserve"> displays the Commission </w:t>
      </w:r>
      <w:proofErr w:type="spellStart"/>
      <w:r w:rsidRPr="00BD4AFE">
        <w:rPr>
          <w:rFonts w:eastAsia="宋体"/>
          <w:lang w:val="en-US"/>
        </w:rPr>
        <w:t>Internationale</w:t>
      </w:r>
      <w:proofErr w:type="spellEnd"/>
      <w:r w:rsidRPr="00BD4AFE">
        <w:rPr>
          <w:rFonts w:eastAsia="宋体"/>
          <w:lang w:val="en-US"/>
        </w:rPr>
        <w:t xml:space="preserve"> de </w:t>
      </w:r>
      <w:proofErr w:type="spellStart"/>
      <w:r w:rsidRPr="00BD4AFE">
        <w:rPr>
          <w:rFonts w:eastAsia="宋体"/>
          <w:lang w:val="en-US"/>
        </w:rPr>
        <w:t>I’Eclairage</w:t>
      </w:r>
      <w:proofErr w:type="spellEnd"/>
      <w:r w:rsidRPr="00BD4AFE">
        <w:rPr>
          <w:rFonts w:eastAsia="宋体"/>
          <w:lang w:val="en-US"/>
        </w:rPr>
        <w:t xml:space="preserve"> (CIE) coordinates of the QLEDs, displaying purity red emission at 628 nm with (0.68, 0.32) CIE coordinates. Our work exhibits good reproducibility as displayed by the histogram of the EQE from 35 devices (</w:t>
      </w:r>
      <w:r w:rsidRPr="00BD4AFE">
        <w:rPr>
          <w:rFonts w:eastAsia="宋体"/>
          <w:b/>
          <w:bCs/>
          <w:lang w:val="en-US"/>
        </w:rPr>
        <w:t>Figure 3h)</w:t>
      </w:r>
      <w:r w:rsidRPr="00BD4AFE">
        <w:rPr>
          <w:rFonts w:eastAsia="宋体"/>
          <w:lang w:val="en-US"/>
        </w:rPr>
        <w:t>. The average EQEs of the QLEDs based on TFB HTL and P-TFB HTL are 16.52 % and 20.67 %, respectively. The operational stability of the devices based on the TFB and P-TFB HTLs were evaluated at an initial luminance of 20,950 and 20,880 cd m</w:t>
      </w:r>
      <w:r w:rsidRPr="00BD4AFE">
        <w:rPr>
          <w:rFonts w:eastAsia="宋体"/>
          <w:vertAlign w:val="superscript"/>
          <w:lang w:val="en-US"/>
        </w:rPr>
        <w:t>-2</w:t>
      </w:r>
      <w:r w:rsidRPr="00BD4AFE">
        <w:rPr>
          <w:rFonts w:eastAsia="宋体"/>
          <w:lang w:val="en-US"/>
        </w:rPr>
        <w:t xml:space="preserve">, </w:t>
      </w:r>
      <w:r w:rsidR="00A5692D" w:rsidRPr="00BD4AFE">
        <w:rPr>
          <w:rFonts w:eastAsia="宋体"/>
        </w:rPr>
        <w:t>under a constant driving current density of 120 and 130 mA cm</w:t>
      </w:r>
      <w:r w:rsidR="00A5692D" w:rsidRPr="00BD4AFE">
        <w:rPr>
          <w:rFonts w:eastAsia="宋体"/>
          <w:vertAlign w:val="superscript"/>
        </w:rPr>
        <w:t>-2</w:t>
      </w:r>
      <w:r w:rsidR="00A5692D" w:rsidRPr="00BD4AFE">
        <w:rPr>
          <w:rFonts w:eastAsia="宋体"/>
        </w:rPr>
        <w:t xml:space="preserve">, </w:t>
      </w:r>
      <w:r w:rsidRPr="00BD4AFE">
        <w:rPr>
          <w:rFonts w:eastAsia="宋体"/>
          <w:lang w:val="en-US"/>
        </w:rPr>
        <w:t xml:space="preserve">respectively. The lifetime of </w:t>
      </w:r>
      <w:r w:rsidRPr="00BD4AFE">
        <w:rPr>
          <w:rFonts w:eastAsia="宋体"/>
          <w:i/>
          <w:iCs/>
          <w:lang w:val="en-US"/>
        </w:rPr>
        <w:t>T</w:t>
      </w:r>
      <w:r w:rsidRPr="00BD4AFE">
        <w:rPr>
          <w:rFonts w:eastAsia="宋体"/>
          <w:vertAlign w:val="subscript"/>
          <w:lang w:val="en-US"/>
        </w:rPr>
        <w:t>95</w:t>
      </w:r>
      <w:r w:rsidRPr="00BD4AFE">
        <w:rPr>
          <w:rFonts w:eastAsia="宋体"/>
          <w:lang w:val="en-US"/>
        </w:rPr>
        <w:t xml:space="preserve"> for the device based on TFB HTL and P-TFB HTL are 9.3 and 10.2 h, respectively. The </w:t>
      </w:r>
      <w:r w:rsidRPr="00BD4AFE">
        <w:rPr>
          <w:rFonts w:eastAsia="宋体"/>
          <w:i/>
          <w:iCs/>
          <w:lang w:val="en-US"/>
        </w:rPr>
        <w:t>T</w:t>
      </w:r>
      <w:r w:rsidRPr="00BD4AFE">
        <w:rPr>
          <w:rFonts w:eastAsia="宋体"/>
          <w:vertAlign w:val="subscript"/>
          <w:lang w:val="en-US"/>
        </w:rPr>
        <w:t>95</w:t>
      </w:r>
      <w:r w:rsidRPr="00BD4AFE">
        <w:rPr>
          <w:rFonts w:eastAsia="宋体"/>
          <w:lang w:val="en-US"/>
        </w:rPr>
        <w:t xml:space="preserve"> for the devices based on TFB and P-TFB HTLs at 1000 cd m</w:t>
      </w:r>
      <w:r w:rsidRPr="00BD4AFE">
        <w:rPr>
          <w:rFonts w:eastAsia="宋体"/>
          <w:vertAlign w:val="superscript"/>
          <w:lang w:val="en-US"/>
        </w:rPr>
        <w:t>-2</w:t>
      </w:r>
      <w:r w:rsidRPr="00BD4AFE">
        <w:rPr>
          <w:rFonts w:eastAsia="宋体"/>
          <w:lang w:val="en-US"/>
        </w:rPr>
        <w:t xml:space="preserve"> were estimated to be 2,228 and 2,438 h, respectively</w:t>
      </w:r>
      <w:r w:rsidR="004D25B7" w:rsidRPr="00BD4AFE">
        <w:rPr>
          <w:rFonts w:eastAsia="宋体"/>
          <w:lang w:val="en-US"/>
        </w:rPr>
        <w:t xml:space="preserve">, by assuming the acceleration factor </w:t>
      </w:r>
      <w:r w:rsidR="00DE156B" w:rsidRPr="00BD4AFE">
        <w:rPr>
          <w:rFonts w:eastAsia="宋体"/>
          <w:lang w:val="en-US"/>
        </w:rPr>
        <w:t xml:space="preserve">of 1.8 </w:t>
      </w:r>
      <w:r w:rsidR="002A698A" w:rsidRPr="00BD4AFE">
        <w:rPr>
          <w:rFonts w:eastAsia="宋体"/>
          <w:lang w:val="en-US"/>
        </w:rPr>
        <w:t>[</w:t>
      </w:r>
      <w:r w:rsidR="0048676F" w:rsidRPr="00BD4AFE">
        <w:rPr>
          <w:rFonts w:eastAsia="宋体"/>
          <w:lang w:val="en-US"/>
        </w:rPr>
        <w:t>3</w:t>
      </w:r>
      <w:r w:rsidR="00150479" w:rsidRPr="00BD4AFE">
        <w:rPr>
          <w:rFonts w:eastAsia="宋体"/>
          <w:lang w:val="en-US"/>
        </w:rPr>
        <w:t>8</w:t>
      </w:r>
      <w:r w:rsidR="002A698A" w:rsidRPr="00BD4AFE">
        <w:rPr>
          <w:rFonts w:eastAsia="宋体"/>
          <w:lang w:val="en-US"/>
        </w:rPr>
        <w:t xml:space="preserve">] </w:t>
      </w:r>
      <w:r w:rsidRPr="00BD4AFE">
        <w:rPr>
          <w:rFonts w:eastAsia="宋体"/>
          <w:lang w:val="en-US"/>
        </w:rPr>
        <w:t>(</w:t>
      </w:r>
      <w:r w:rsidRPr="00BD4AFE">
        <w:rPr>
          <w:rFonts w:eastAsia="宋体"/>
          <w:b/>
          <w:bCs/>
          <w:lang w:val="en-US"/>
        </w:rPr>
        <w:t>Figure 3i)</w:t>
      </w:r>
      <w:r w:rsidRPr="00BD4AFE">
        <w:rPr>
          <w:rFonts w:eastAsia="宋体"/>
          <w:lang w:val="en-US"/>
        </w:rPr>
        <w:t>. Although the operation</w:t>
      </w:r>
      <w:r w:rsidR="0064385B" w:rsidRPr="00BD4AFE">
        <w:rPr>
          <w:rFonts w:eastAsia="宋体"/>
          <w:lang w:val="en-US"/>
        </w:rPr>
        <w:t>al</w:t>
      </w:r>
      <w:r w:rsidRPr="00BD4AFE">
        <w:rPr>
          <w:rFonts w:eastAsia="宋体"/>
          <w:lang w:val="en-US"/>
        </w:rPr>
        <w:t xml:space="preserve"> lifetimes of the two devices are almost same, the variation of the driving voltage for the device based on the P-TFB is smaller than that for the device based on TFB, which is attributed to the balance</w:t>
      </w:r>
      <w:r w:rsidR="00C46ABC" w:rsidRPr="00BD4AFE">
        <w:rPr>
          <w:rFonts w:eastAsia="宋体"/>
          <w:lang w:val="en-US"/>
        </w:rPr>
        <w:t>d</w:t>
      </w:r>
      <w:r w:rsidRPr="00BD4AFE">
        <w:rPr>
          <w:rFonts w:eastAsia="宋体"/>
          <w:lang w:val="en-US"/>
        </w:rPr>
        <w:t xml:space="preserve"> carrier injection and increased current efficiency.</w:t>
      </w:r>
    </w:p>
    <w:p w14:paraId="43E97222" w14:textId="3360D55F" w:rsidR="00CD2B65" w:rsidRPr="00BD4AFE" w:rsidRDefault="00CD2B65" w:rsidP="00CD2B65">
      <w:pPr>
        <w:spacing w:line="360" w:lineRule="auto"/>
        <w:ind w:firstLineChars="100" w:firstLine="240"/>
        <w:jc w:val="both"/>
        <w:rPr>
          <w:rFonts w:eastAsia="宋体"/>
          <w:b/>
          <w:bCs/>
          <w:lang w:val="en-US"/>
        </w:rPr>
      </w:pPr>
      <w:r w:rsidRPr="00BD4AFE">
        <w:rPr>
          <w:rFonts w:eastAsia="宋体"/>
          <w:lang w:val="en-US"/>
        </w:rPr>
        <w:t xml:space="preserve">The atomic force microscope (AFM) images show a flat structure for the TFB film with a small root-mean-square (RMS) value of 0.42 nm </w:t>
      </w:r>
      <w:r w:rsidRPr="00BD4AFE">
        <w:rPr>
          <w:rFonts w:eastAsia="宋体"/>
          <w:b/>
          <w:bCs/>
          <w:lang w:val="en-US"/>
        </w:rPr>
        <w:t>(Figure 4a)</w:t>
      </w:r>
      <w:r w:rsidRPr="00BD4AFE">
        <w:rPr>
          <w:rFonts w:eastAsia="宋体"/>
          <w:lang w:val="en-US"/>
        </w:rPr>
        <w:t xml:space="preserve">. The P-TFB film shows an interesting  an arrangement of the non-isometric cones, and an RMS value of 5.73 nm </w:t>
      </w:r>
      <w:r w:rsidRPr="00BD4AFE">
        <w:rPr>
          <w:rFonts w:eastAsia="宋体"/>
          <w:b/>
          <w:bCs/>
          <w:lang w:val="en-US"/>
        </w:rPr>
        <w:t>(Figure 4b)</w:t>
      </w:r>
      <w:r w:rsidRPr="00BD4AFE">
        <w:rPr>
          <w:rFonts w:eastAsia="宋体"/>
          <w:lang w:val="en-US"/>
        </w:rPr>
        <w:t>. The non-planar structure of the P-TFB may have a positive effect on the device performance improvement</w:t>
      </w:r>
      <w:r w:rsidR="00FB6CBB" w:rsidRPr="00BD4AFE">
        <w:rPr>
          <w:rFonts w:eastAsia="宋体"/>
          <w:lang w:val="en-US"/>
        </w:rPr>
        <w:t xml:space="preserve"> based on the previous report</w:t>
      </w:r>
      <w:r w:rsidRPr="00BD4AFE">
        <w:rPr>
          <w:rFonts w:eastAsia="宋体"/>
          <w:lang w:val="en-US"/>
        </w:rPr>
        <w:t xml:space="preserve"> [39]. The normalized EL intensity based on the TFB and P-TFB HTL was measured as a function of the viewing angles of the light between 0 - 90 </w:t>
      </w:r>
      <w:bookmarkStart w:id="6" w:name="OLE_LINK3"/>
      <w:r w:rsidRPr="00BD4AFE">
        <w:rPr>
          <w:rFonts w:eastAsia="宋体"/>
          <w:lang w:val="en-US"/>
        </w:rPr>
        <w:t>°</w:t>
      </w:r>
      <w:bookmarkEnd w:id="6"/>
      <w:r w:rsidRPr="00BD4AFE">
        <w:rPr>
          <w:rFonts w:eastAsia="宋体"/>
          <w:lang w:val="en-US"/>
        </w:rPr>
        <w:t xml:space="preserve"> as shown in </w:t>
      </w:r>
      <w:r w:rsidRPr="00BD4AFE">
        <w:rPr>
          <w:rFonts w:eastAsia="宋体"/>
          <w:b/>
          <w:bCs/>
          <w:lang w:val="en-US"/>
        </w:rPr>
        <w:t>Figure 4c</w:t>
      </w:r>
      <w:r w:rsidRPr="00BD4AFE">
        <w:rPr>
          <w:rFonts w:eastAsia="宋体"/>
          <w:lang w:val="en-US"/>
        </w:rPr>
        <w:t xml:space="preserve">. Within an angle of 15 - 45 °, the device based on the P-TFB shows the side-enhanced emission intensity compared with the device based on the TFB and the ideal Lambertian distribution of the device. This suggests the light redistributing to wide angle. </w:t>
      </w:r>
      <w:r w:rsidR="00FB6CBB" w:rsidRPr="00BD4AFE">
        <w:rPr>
          <w:rFonts w:eastAsia="宋体"/>
          <w:lang w:val="en-US"/>
        </w:rPr>
        <w:t xml:space="preserve">In </w:t>
      </w:r>
      <w:r w:rsidRPr="00BD4AFE">
        <w:rPr>
          <w:rFonts w:eastAsia="宋体"/>
          <w:lang w:val="en-US"/>
        </w:rPr>
        <w:t xml:space="preserve">view of the previous work, </w:t>
      </w:r>
      <w:proofErr w:type="gramStart"/>
      <w:r w:rsidRPr="00BD4AFE">
        <w:rPr>
          <w:rFonts w:eastAsia="宋体"/>
          <w:lang w:val="en-US"/>
        </w:rPr>
        <w:t>the majority of</w:t>
      </w:r>
      <w:proofErr w:type="gramEnd"/>
      <w:r w:rsidRPr="00BD4AFE">
        <w:rPr>
          <w:rFonts w:eastAsia="宋体"/>
          <w:lang w:val="en-US"/>
        </w:rPr>
        <w:t xml:space="preserve"> the light generated in the device is waveguided because of the critical angle of total internal reflection [40]. The non-planar structure</w:t>
      </w:r>
      <w:r w:rsidR="00FB6CBB" w:rsidRPr="00BD4AFE">
        <w:rPr>
          <w:rFonts w:eastAsia="宋体"/>
          <w:lang w:val="en-US"/>
        </w:rPr>
        <w:t xml:space="preserve"> of HTL </w:t>
      </w:r>
      <w:r w:rsidRPr="00BD4AFE">
        <w:rPr>
          <w:rFonts w:eastAsia="宋体"/>
          <w:lang w:val="en-US"/>
        </w:rPr>
        <w:t xml:space="preserve">can effectively change the direction of the light generated in the QDs emitting layer, </w:t>
      </w:r>
      <w:r w:rsidR="00FB6CBB" w:rsidRPr="00BD4AFE">
        <w:rPr>
          <w:rFonts w:eastAsia="宋体"/>
          <w:lang w:val="en-US"/>
        </w:rPr>
        <w:t xml:space="preserve">thus reducing </w:t>
      </w:r>
      <w:r w:rsidRPr="00BD4AFE">
        <w:rPr>
          <w:rFonts w:eastAsia="宋体"/>
          <w:lang w:val="en-US"/>
        </w:rPr>
        <w:t xml:space="preserve">the total internal reflection in the device [41-43]. </w:t>
      </w:r>
      <w:r w:rsidR="00FB6CBB" w:rsidRPr="00BD4AFE">
        <w:rPr>
          <w:rFonts w:eastAsia="宋体"/>
          <w:lang w:val="en-US"/>
        </w:rPr>
        <w:t xml:space="preserve"> This </w:t>
      </w:r>
      <w:r w:rsidR="00BD4AFE" w:rsidRPr="00BD4AFE">
        <w:rPr>
          <w:rFonts w:eastAsia="宋体"/>
          <w:lang w:val="en-US"/>
        </w:rPr>
        <w:t>also contributes the enhancement in the luminance of the QLED</w:t>
      </w:r>
      <w:r w:rsidRPr="00BD4AFE">
        <w:rPr>
          <w:rFonts w:eastAsia="宋体"/>
          <w:lang w:val="en-US"/>
        </w:rPr>
        <w:t>.</w:t>
      </w:r>
    </w:p>
    <w:p w14:paraId="4BCE8CDE" w14:textId="77777777" w:rsidR="00CD2B65" w:rsidRPr="00BD4AFE" w:rsidRDefault="00CD2B65" w:rsidP="00943BF4">
      <w:pPr>
        <w:spacing w:line="360" w:lineRule="auto"/>
        <w:ind w:firstLineChars="100" w:firstLine="240"/>
        <w:jc w:val="both"/>
        <w:rPr>
          <w:rFonts w:eastAsia="宋体"/>
          <w:lang w:val="en-US"/>
        </w:rPr>
      </w:pPr>
    </w:p>
    <w:p w14:paraId="00CBB199" w14:textId="273A6106" w:rsidR="0054765A" w:rsidRPr="00BD4AFE" w:rsidRDefault="00FB6CBB" w:rsidP="007750F4">
      <w:pPr>
        <w:spacing w:line="480" w:lineRule="auto"/>
        <w:jc w:val="center"/>
        <w:rPr>
          <w:lang w:val="en-US"/>
        </w:rPr>
      </w:pPr>
      <w:r w:rsidRPr="00BD4AFE">
        <w:rPr>
          <w:noProof/>
        </w:rPr>
        <w:lastRenderedPageBreak/>
        <w:drawing>
          <wp:inline distT="0" distB="0" distL="0" distR="0" wp14:anchorId="05A8EC9D" wp14:editId="04EEF37F">
            <wp:extent cx="4933950" cy="4258469"/>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6637" cy="4260788"/>
                    </a:xfrm>
                    <a:prstGeom prst="rect">
                      <a:avLst/>
                    </a:prstGeom>
                  </pic:spPr>
                </pic:pic>
              </a:graphicData>
            </a:graphic>
          </wp:inline>
        </w:drawing>
      </w:r>
    </w:p>
    <w:p w14:paraId="2168F627" w14:textId="4949937D" w:rsidR="0054765A" w:rsidRPr="00BD4AFE" w:rsidRDefault="0054765A" w:rsidP="005916CD">
      <w:pPr>
        <w:spacing w:line="360" w:lineRule="auto"/>
        <w:jc w:val="both"/>
        <w:rPr>
          <w:rFonts w:eastAsia="宋体"/>
          <w:lang w:val="en-US"/>
        </w:rPr>
      </w:pPr>
      <w:r w:rsidRPr="00BD4AFE">
        <w:rPr>
          <w:b/>
          <w:bCs/>
          <w:lang w:val="en-US"/>
        </w:rPr>
        <w:t>Figure 4</w:t>
      </w:r>
      <w:r w:rsidRPr="00BD4AFE">
        <w:rPr>
          <w:lang w:val="en-US"/>
        </w:rPr>
        <w:t xml:space="preserve"> </w:t>
      </w:r>
      <w:r w:rsidRPr="00BD4AFE">
        <w:rPr>
          <w:b/>
          <w:bCs/>
          <w:lang w:val="en-US"/>
        </w:rPr>
        <w:t>Characteristics of the HTL</w:t>
      </w:r>
      <w:r w:rsidRPr="00BD4AFE">
        <w:rPr>
          <w:lang w:val="en-US"/>
        </w:rPr>
        <w:t xml:space="preserve">. </w:t>
      </w:r>
      <w:r w:rsidRPr="00BD4AFE">
        <w:rPr>
          <w:rFonts w:eastAsia="宋体"/>
          <w:b/>
          <w:bCs/>
          <w:lang w:val="en-US"/>
        </w:rPr>
        <w:t>(a, b)</w:t>
      </w:r>
      <w:r w:rsidRPr="00BD4AFE">
        <w:rPr>
          <w:rFonts w:eastAsia="宋体"/>
          <w:lang w:val="en-US"/>
        </w:rPr>
        <w:t xml:space="preserve"> </w:t>
      </w:r>
      <w:bookmarkStart w:id="7" w:name="OLE_LINK2"/>
      <w:r w:rsidRPr="00BD4AFE">
        <w:rPr>
          <w:rFonts w:eastAsia="宋体"/>
          <w:lang w:val="en-US"/>
        </w:rPr>
        <w:t>AFM images</w:t>
      </w:r>
      <w:bookmarkEnd w:id="7"/>
      <w:r w:rsidRPr="00BD4AFE">
        <w:rPr>
          <w:rFonts w:eastAsia="宋体"/>
          <w:lang w:val="en-US"/>
        </w:rPr>
        <w:t xml:space="preserve"> of the TFB and the P-TFB films.</w:t>
      </w:r>
      <w:r w:rsidRPr="00BD4AFE">
        <w:rPr>
          <w:rFonts w:eastAsia="宋体"/>
          <w:color w:val="FF0000"/>
          <w:lang w:val="en-US"/>
        </w:rPr>
        <w:t xml:space="preserve"> </w:t>
      </w:r>
      <w:r w:rsidR="00681595" w:rsidRPr="00BD4AFE">
        <w:rPr>
          <w:rFonts w:eastAsia="宋体"/>
          <w:b/>
          <w:bCs/>
          <w:lang w:val="en-US"/>
        </w:rPr>
        <w:t>(c)</w:t>
      </w:r>
      <w:r w:rsidR="00681595" w:rsidRPr="00BD4AFE">
        <w:rPr>
          <w:rFonts w:eastAsia="宋体"/>
          <w:lang w:val="en-US"/>
        </w:rPr>
        <w:t xml:space="preserve"> </w:t>
      </w:r>
      <w:bookmarkStart w:id="8" w:name="OLE_LINK5"/>
      <w:r w:rsidR="00F404C2" w:rsidRPr="00BD4AFE">
        <w:rPr>
          <w:rFonts w:eastAsia="宋体"/>
          <w:lang w:val="en-US"/>
        </w:rPr>
        <w:t xml:space="preserve">Normalized EL </w:t>
      </w:r>
      <w:r w:rsidR="00BC2578" w:rsidRPr="00BD4AFE">
        <w:rPr>
          <w:rFonts w:eastAsia="宋体"/>
          <w:lang w:val="en-US"/>
        </w:rPr>
        <w:t xml:space="preserve">spectra with </w:t>
      </w:r>
      <w:r w:rsidR="00EE403A" w:rsidRPr="00BD4AFE">
        <w:rPr>
          <w:rFonts w:eastAsia="宋体"/>
          <w:lang w:val="en-US"/>
        </w:rPr>
        <w:t>different viewing angles.</w:t>
      </w:r>
      <w:bookmarkEnd w:id="8"/>
      <w:r w:rsidR="00EE403A" w:rsidRPr="00BD4AFE">
        <w:rPr>
          <w:rFonts w:eastAsia="宋体"/>
          <w:lang w:val="en-US"/>
        </w:rPr>
        <w:t xml:space="preserve"> </w:t>
      </w:r>
    </w:p>
    <w:p w14:paraId="52B7F927" w14:textId="77777777" w:rsidR="0054765A" w:rsidRPr="00BD4AFE" w:rsidRDefault="0054765A" w:rsidP="006C710B">
      <w:pPr>
        <w:spacing w:line="360" w:lineRule="auto"/>
        <w:jc w:val="both"/>
        <w:rPr>
          <w:rFonts w:eastAsia="宋体"/>
          <w:lang w:val="en-US"/>
        </w:rPr>
      </w:pPr>
    </w:p>
    <w:p w14:paraId="477DABFA" w14:textId="77777777" w:rsidR="0054765A" w:rsidRPr="00BD4AFE" w:rsidRDefault="0054765A" w:rsidP="00D005FD">
      <w:pPr>
        <w:spacing w:line="360" w:lineRule="auto"/>
        <w:rPr>
          <w:rFonts w:eastAsia="宋体"/>
          <w:b/>
          <w:bCs/>
          <w:lang w:val="en-US"/>
        </w:rPr>
      </w:pPr>
      <w:r w:rsidRPr="00BD4AFE">
        <w:rPr>
          <w:rFonts w:eastAsia="宋体"/>
          <w:b/>
          <w:bCs/>
          <w:lang w:val="en-US"/>
        </w:rPr>
        <w:t>Conclusions</w:t>
      </w:r>
    </w:p>
    <w:p w14:paraId="3B3B7BF3" w14:textId="2DB9E347" w:rsidR="0054765A" w:rsidRPr="00BD4AFE" w:rsidRDefault="0054765A" w:rsidP="00027BF0">
      <w:pPr>
        <w:spacing w:line="360" w:lineRule="auto"/>
        <w:ind w:firstLineChars="100" w:firstLine="240"/>
        <w:jc w:val="both"/>
        <w:rPr>
          <w:rFonts w:eastAsia="宋体"/>
          <w:lang w:val="en-US"/>
        </w:rPr>
      </w:pPr>
      <w:r w:rsidRPr="00BD4AFE">
        <w:rPr>
          <w:rFonts w:eastAsia="宋体"/>
          <w:lang w:val="en-US"/>
        </w:rPr>
        <w:t>In summary, we devised high carrier mobility HTL by doping PVK into TFB. The hole mobility of the doped HTL for P-TFB exhibited increased hole mobility due to enhanced</w:t>
      </w:r>
      <w:r w:rsidR="00026C7E" w:rsidRPr="00BD4AFE">
        <w:rPr>
          <w:rFonts w:eastAsia="宋体"/>
          <w:lang w:val="en-US"/>
        </w:rPr>
        <w:t xml:space="preserve"> </w:t>
      </w:r>
      <w:r w:rsidRPr="00BD4AFE">
        <w:rPr>
          <w:lang w:val="en-US"/>
        </w:rPr>
        <w:t xml:space="preserve">π-π stacking intensity. Thus, the hole mobility was increased from </w:t>
      </w:r>
      <w:r w:rsidRPr="00BD4AFE">
        <w:rPr>
          <w:rFonts w:eastAsia="宋体"/>
          <w:lang w:val="en-US"/>
        </w:rPr>
        <w:t>1.08×10</w:t>
      </w:r>
      <w:r w:rsidRPr="00BD4AFE">
        <w:rPr>
          <w:rFonts w:eastAsia="宋体"/>
          <w:vertAlign w:val="superscript"/>
          <w:lang w:val="en-US"/>
        </w:rPr>
        <w:t>-3</w:t>
      </w:r>
      <w:r w:rsidRPr="00BD4AFE">
        <w:rPr>
          <w:rFonts w:eastAsia="宋体"/>
          <w:lang w:val="en-US"/>
        </w:rPr>
        <w:t xml:space="preserve"> to 2.09×10</w:t>
      </w:r>
      <w:r w:rsidRPr="00BD4AFE">
        <w:rPr>
          <w:rFonts w:eastAsia="宋体"/>
          <w:vertAlign w:val="superscript"/>
          <w:lang w:val="en-US"/>
        </w:rPr>
        <w:t>-3</w:t>
      </w:r>
      <w:r w:rsidRPr="00BD4AFE">
        <w:rPr>
          <w:rFonts w:eastAsia="宋体"/>
          <w:lang w:val="en-US"/>
        </w:rPr>
        <w:t>cm</w:t>
      </w:r>
      <w:r w:rsidRPr="00BD4AFE">
        <w:rPr>
          <w:rFonts w:eastAsia="宋体"/>
          <w:vertAlign w:val="superscript"/>
          <w:lang w:val="en-US"/>
        </w:rPr>
        <w:t>2</w:t>
      </w:r>
      <w:r w:rsidRPr="00BD4AFE">
        <w:rPr>
          <w:rFonts w:eastAsia="宋体"/>
          <w:lang w:val="en-US"/>
        </w:rPr>
        <w:t>·V</w:t>
      </w:r>
      <w:r w:rsidRPr="00BD4AFE">
        <w:rPr>
          <w:rFonts w:eastAsia="宋体"/>
          <w:vertAlign w:val="superscript"/>
          <w:lang w:val="en-US"/>
        </w:rPr>
        <w:t>-1</w:t>
      </w:r>
      <w:r w:rsidRPr="00BD4AFE">
        <w:rPr>
          <w:rFonts w:eastAsia="宋体"/>
          <w:lang w:val="en-US"/>
        </w:rPr>
        <w:t>·S</w:t>
      </w:r>
      <w:r w:rsidRPr="00BD4AFE">
        <w:rPr>
          <w:rFonts w:eastAsia="宋体"/>
          <w:vertAlign w:val="superscript"/>
          <w:lang w:val="en-US"/>
        </w:rPr>
        <w:t>-1</w:t>
      </w:r>
      <w:r w:rsidRPr="00BD4AFE">
        <w:rPr>
          <w:rFonts w:eastAsia="宋体"/>
          <w:lang w:val="en-US"/>
        </w:rPr>
        <w:t xml:space="preserve">. Meanwhile, the P-TFB showed a little downshift of HOMO level, resulting in the decreased barrier energy between the HTL and QDs. The increased hole mobility of the HTL and decreased charge transfer barrier energy can accelerate hole transfer capability to balance with the electron injection within the QLED, thus increasing the current efficiency. In addition, the non-planar structure of the P-TFB HTL </w:t>
      </w:r>
      <w:r w:rsidR="00ED6DF8" w:rsidRPr="00BD4AFE">
        <w:rPr>
          <w:rFonts w:eastAsia="宋体"/>
          <w:lang w:val="en-US" w:eastAsia="zh-CN"/>
        </w:rPr>
        <w:t xml:space="preserve">reduces the </w:t>
      </w:r>
      <w:r w:rsidR="00ED6DF8" w:rsidRPr="00BD4AFE">
        <w:rPr>
          <w:rFonts w:eastAsia="宋体"/>
          <w:lang w:val="en-US"/>
        </w:rPr>
        <w:t>total internal reflection in the device</w:t>
      </w:r>
      <w:r w:rsidRPr="00BD4AFE">
        <w:rPr>
          <w:rFonts w:eastAsia="宋体"/>
          <w:lang w:val="en-US"/>
        </w:rPr>
        <w:t>. Therefore, the QLEDs based the doped HTL presented high EQE of 22.7%, luminance of 133100 cd·cm</w:t>
      </w:r>
      <w:r w:rsidRPr="00BD4AFE">
        <w:rPr>
          <w:rFonts w:eastAsia="宋体"/>
          <w:vertAlign w:val="superscript"/>
          <w:lang w:val="en-US"/>
        </w:rPr>
        <w:t>-2</w:t>
      </w:r>
      <w:r w:rsidRPr="00BD4AFE">
        <w:rPr>
          <w:rFonts w:eastAsia="宋体"/>
          <w:lang w:val="en-US"/>
        </w:rPr>
        <w:t>, current efficiency of 29.3 cd·A</w:t>
      </w:r>
      <w:r w:rsidRPr="00BD4AFE">
        <w:rPr>
          <w:rFonts w:eastAsia="宋体"/>
          <w:vertAlign w:val="superscript"/>
          <w:lang w:val="en-US"/>
        </w:rPr>
        <w:t>-1</w:t>
      </w:r>
      <w:r w:rsidRPr="00BD4AFE">
        <w:rPr>
          <w:rFonts w:eastAsia="宋体"/>
          <w:lang w:val="en-US"/>
        </w:rPr>
        <w:t>, power efficiency of 35.8 lm·W</w:t>
      </w:r>
      <w:r w:rsidRPr="00BD4AFE">
        <w:rPr>
          <w:rFonts w:eastAsia="宋体"/>
          <w:vertAlign w:val="superscript"/>
          <w:lang w:val="en-US"/>
        </w:rPr>
        <w:t>-1</w:t>
      </w:r>
      <w:r w:rsidRPr="00BD4AFE">
        <w:rPr>
          <w:rFonts w:eastAsia="宋体"/>
          <w:lang w:val="en-US"/>
        </w:rPr>
        <w:t>, and long-term continuous operation stability T</w:t>
      </w:r>
      <w:r w:rsidRPr="00BD4AFE">
        <w:rPr>
          <w:rFonts w:eastAsia="宋体"/>
          <w:vertAlign w:val="subscript"/>
          <w:lang w:val="en-US"/>
        </w:rPr>
        <w:t>95</w:t>
      </w:r>
      <w:r w:rsidRPr="00BD4AFE">
        <w:rPr>
          <w:rFonts w:eastAsia="宋体"/>
          <w:lang w:val="en-US"/>
        </w:rPr>
        <w:t xml:space="preserve"> &gt;2,400 h at 1000 cd m</w:t>
      </w:r>
      <w:r w:rsidRPr="00BD4AFE">
        <w:rPr>
          <w:rFonts w:eastAsia="宋体"/>
          <w:vertAlign w:val="superscript"/>
          <w:lang w:val="en-US"/>
        </w:rPr>
        <w:t>-2</w:t>
      </w:r>
      <w:r w:rsidRPr="00BD4AFE">
        <w:rPr>
          <w:rFonts w:eastAsia="宋体"/>
          <w:lang w:val="en-US"/>
        </w:rPr>
        <w:t>.</w:t>
      </w:r>
    </w:p>
    <w:p w14:paraId="7A21D3A1" w14:textId="77777777" w:rsidR="0054765A" w:rsidRPr="00BD4AFE" w:rsidRDefault="0054765A" w:rsidP="00027BF0">
      <w:pPr>
        <w:spacing w:line="360" w:lineRule="auto"/>
        <w:rPr>
          <w:rFonts w:eastAsia="宋体"/>
          <w:lang w:val="en-US"/>
        </w:rPr>
      </w:pPr>
      <w:r w:rsidRPr="00BD4AFE">
        <w:rPr>
          <w:rFonts w:eastAsia="宋体"/>
          <w:b/>
          <w:bCs/>
          <w:lang w:val="en-US"/>
        </w:rPr>
        <w:t>Acknowledgements</w:t>
      </w:r>
    </w:p>
    <w:p w14:paraId="7EC0D33A" w14:textId="55F3DF6D" w:rsidR="0054765A" w:rsidRPr="00BD4AFE" w:rsidRDefault="0054765A" w:rsidP="00027BF0">
      <w:pPr>
        <w:spacing w:line="360" w:lineRule="auto"/>
        <w:jc w:val="both"/>
        <w:rPr>
          <w:rFonts w:eastAsia="宋体"/>
          <w:lang w:val="en-US"/>
        </w:rPr>
      </w:pPr>
      <w:r w:rsidRPr="00BD4AFE">
        <w:rPr>
          <w:rFonts w:eastAsia="宋体"/>
          <w:lang w:val="en-US"/>
        </w:rPr>
        <w:lastRenderedPageBreak/>
        <w:t xml:space="preserve">This work was supported by the Beijing Municipal Natural Science Foundation (2222061), National Natural Science Foundation of China (51961135107, 51774034), National Key Research and Development Program of China (2017YFE0119700). </w:t>
      </w:r>
      <w:r w:rsidR="0077754D" w:rsidRPr="00BD4AFE">
        <w:rPr>
          <w:rFonts w:eastAsia="宋体"/>
          <w:lang w:val="en-US"/>
        </w:rPr>
        <w:t>Choy would like to acknowledge the financial support of the General Research Fund (Grant Nos. 17201819, and 17211220) and Collaboration Research Fund (C7035-20G) from Hong Kong Special Administrative Region, China.</w:t>
      </w:r>
    </w:p>
    <w:p w14:paraId="53E010DD" w14:textId="77777777" w:rsidR="0077754D" w:rsidRPr="00BD4AFE" w:rsidRDefault="0077754D" w:rsidP="00027BF0">
      <w:pPr>
        <w:spacing w:line="360" w:lineRule="auto"/>
        <w:jc w:val="both"/>
        <w:rPr>
          <w:rFonts w:eastAsia="宋体"/>
          <w:lang w:val="en-US"/>
        </w:rPr>
      </w:pPr>
    </w:p>
    <w:p w14:paraId="46744F22" w14:textId="77777777" w:rsidR="0054765A" w:rsidRPr="00BD4AFE" w:rsidRDefault="0054765A" w:rsidP="00027BF0">
      <w:pPr>
        <w:spacing w:line="360" w:lineRule="auto"/>
        <w:rPr>
          <w:rFonts w:eastAsia="宋体"/>
          <w:lang w:val="en-US"/>
        </w:rPr>
      </w:pPr>
      <w:r w:rsidRPr="00BD4AFE">
        <w:rPr>
          <w:rFonts w:eastAsia="宋体"/>
          <w:b/>
          <w:bCs/>
          <w:lang w:val="en-US"/>
        </w:rPr>
        <w:t>Conflict of interests</w:t>
      </w:r>
    </w:p>
    <w:p w14:paraId="770C96F4" w14:textId="77777777" w:rsidR="0054765A" w:rsidRPr="00BD4AFE" w:rsidRDefault="0054765A" w:rsidP="00027BF0">
      <w:pPr>
        <w:spacing w:line="360" w:lineRule="auto"/>
        <w:rPr>
          <w:rFonts w:eastAsia="宋体"/>
          <w:lang w:val="en-US"/>
        </w:rPr>
      </w:pPr>
      <w:r w:rsidRPr="00BD4AFE">
        <w:rPr>
          <w:rFonts w:eastAsia="宋体"/>
          <w:lang w:val="en-US"/>
        </w:rPr>
        <w:t>The authors declare no conflict of interest.</w:t>
      </w:r>
    </w:p>
    <w:p w14:paraId="3907F30C" w14:textId="77777777" w:rsidR="0054765A" w:rsidRPr="00BD4AFE" w:rsidRDefault="0054765A" w:rsidP="00027BF0">
      <w:pPr>
        <w:spacing w:line="360" w:lineRule="auto"/>
        <w:rPr>
          <w:rFonts w:eastAsia="宋体"/>
          <w:lang w:val="en-US"/>
        </w:rPr>
      </w:pPr>
      <w:r w:rsidRPr="00BD4AFE">
        <w:rPr>
          <w:rFonts w:eastAsia="宋体"/>
          <w:b/>
          <w:bCs/>
          <w:lang w:val="en-US"/>
        </w:rPr>
        <w:t>Supplementary information</w:t>
      </w:r>
    </w:p>
    <w:p w14:paraId="0103D620" w14:textId="77777777" w:rsidR="0054765A" w:rsidRPr="00BD4AFE" w:rsidRDefault="0054765A" w:rsidP="00027BF0">
      <w:pPr>
        <w:spacing w:line="360" w:lineRule="auto"/>
        <w:jc w:val="both"/>
        <w:rPr>
          <w:rFonts w:eastAsia="宋体"/>
          <w:lang w:val="en-US"/>
        </w:rPr>
      </w:pPr>
      <w:r w:rsidRPr="00BD4AFE">
        <w:rPr>
          <w:rFonts w:eastAsia="宋体"/>
          <w:lang w:val="en-US"/>
        </w:rPr>
        <w:t>Experimental details and the supporting data are available in the online version of the paper.</w:t>
      </w:r>
    </w:p>
    <w:p w14:paraId="0B3A3709" w14:textId="77777777" w:rsidR="0054765A" w:rsidRPr="00BD4AFE" w:rsidRDefault="0054765A" w:rsidP="00265951">
      <w:pPr>
        <w:spacing w:line="360" w:lineRule="auto"/>
        <w:rPr>
          <w:b/>
          <w:bCs/>
          <w:lang w:val="en-US"/>
        </w:rPr>
      </w:pPr>
      <w:r w:rsidRPr="00BD4AFE">
        <w:rPr>
          <w:b/>
          <w:bCs/>
          <w:lang w:val="en-US"/>
        </w:rPr>
        <w:t>Reference</w:t>
      </w:r>
    </w:p>
    <w:p w14:paraId="535E0A98"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eastAsia="宋体" w:hAnsi="Times New Roman" w:cs="Times New Roman"/>
          <w:sz w:val="24"/>
          <w:szCs w:val="24"/>
        </w:rPr>
        <w:t xml:space="preserve">C. Xiang, L. Wu, Z. Lu, M. Li, Y. Wen, Y. Yang, W. Liu, T. Zhang, W. Cao, S. Tsang, B. Shan, X. Yan, L. Qian. </w:t>
      </w:r>
      <w:r w:rsidRPr="00BD4AFE">
        <w:rPr>
          <w:rFonts w:ascii="Times New Roman" w:eastAsia="宋体" w:hAnsi="Times New Roman" w:cs="Times New Roman"/>
          <w:i/>
          <w:iCs/>
          <w:sz w:val="24"/>
          <w:szCs w:val="24"/>
        </w:rPr>
        <w:t>Nat. Commun</w:t>
      </w:r>
      <w:r w:rsidRPr="00BD4AFE">
        <w:rPr>
          <w:rFonts w:ascii="Times New Roman" w:eastAsia="宋体" w:hAnsi="Times New Roman" w:cs="Times New Roman"/>
          <w:sz w:val="24"/>
          <w:szCs w:val="24"/>
        </w:rPr>
        <w:t xml:space="preserve">, </w:t>
      </w:r>
      <w:r w:rsidRPr="00BD4AFE">
        <w:rPr>
          <w:rFonts w:ascii="Times New Roman" w:eastAsia="宋体" w:hAnsi="Times New Roman" w:cs="Times New Roman"/>
          <w:b/>
          <w:bCs/>
          <w:sz w:val="24"/>
          <w:szCs w:val="24"/>
        </w:rPr>
        <w:t>2020</w:t>
      </w:r>
      <w:r w:rsidRPr="00BD4AFE">
        <w:rPr>
          <w:rFonts w:ascii="Times New Roman" w:eastAsia="宋体" w:hAnsi="Times New Roman" w:cs="Times New Roman"/>
          <w:sz w:val="24"/>
          <w:szCs w:val="24"/>
        </w:rPr>
        <w:t>, 11, 1646.</w:t>
      </w:r>
    </w:p>
    <w:p w14:paraId="59C942A5"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eastAsia="宋体" w:hAnsi="Times New Roman" w:cs="Times New Roman"/>
          <w:sz w:val="24"/>
          <w:szCs w:val="24"/>
        </w:rPr>
        <w:t xml:space="preserve">C. Pu, X. Dai, Y. Shu, M. Zhu, Y. Deng, Y. Jin, and X. Peng. </w:t>
      </w:r>
      <w:r w:rsidRPr="00BD4AFE">
        <w:rPr>
          <w:rFonts w:ascii="Times New Roman" w:eastAsia="宋体" w:hAnsi="Times New Roman" w:cs="Times New Roman"/>
          <w:i/>
          <w:iCs/>
          <w:sz w:val="24"/>
          <w:szCs w:val="24"/>
        </w:rPr>
        <w:t>Nat. Commun</w:t>
      </w:r>
      <w:r w:rsidRPr="00BD4AFE">
        <w:rPr>
          <w:rFonts w:ascii="Times New Roman" w:eastAsia="宋体" w:hAnsi="Times New Roman" w:cs="Times New Roman"/>
          <w:sz w:val="24"/>
          <w:szCs w:val="24"/>
        </w:rPr>
        <w:t xml:space="preserve">, </w:t>
      </w:r>
      <w:r w:rsidRPr="00BD4AFE">
        <w:rPr>
          <w:rFonts w:ascii="Times New Roman" w:eastAsia="宋体" w:hAnsi="Times New Roman" w:cs="Times New Roman"/>
          <w:b/>
          <w:bCs/>
          <w:sz w:val="24"/>
          <w:szCs w:val="24"/>
        </w:rPr>
        <w:t>2020</w:t>
      </w:r>
      <w:r w:rsidRPr="00BD4AFE">
        <w:rPr>
          <w:rFonts w:ascii="Times New Roman" w:eastAsia="宋体" w:hAnsi="Times New Roman" w:cs="Times New Roman"/>
          <w:sz w:val="24"/>
          <w:szCs w:val="24"/>
        </w:rPr>
        <w:t>, 11, 937.</w:t>
      </w:r>
    </w:p>
    <w:p w14:paraId="190E98CC"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eastAsia="宋体" w:hAnsi="Times New Roman" w:cs="Times New Roman"/>
          <w:sz w:val="24"/>
          <w:szCs w:val="24"/>
        </w:rPr>
        <w:t xml:space="preserve">W. Cao, C. Xiang, Y. Yang, Q. Chen, L. Chen, X. Yan, and L. Qian. </w:t>
      </w:r>
      <w:r w:rsidRPr="00BD4AFE">
        <w:rPr>
          <w:rFonts w:ascii="Times New Roman" w:eastAsia="宋体" w:hAnsi="Times New Roman" w:cs="Times New Roman"/>
          <w:i/>
          <w:iCs/>
          <w:sz w:val="24"/>
          <w:szCs w:val="24"/>
        </w:rPr>
        <w:t>Nat. Commun</w:t>
      </w:r>
      <w:r w:rsidRPr="00BD4AFE">
        <w:rPr>
          <w:rFonts w:ascii="Times New Roman" w:eastAsia="宋体" w:hAnsi="Times New Roman" w:cs="Times New Roman"/>
          <w:sz w:val="24"/>
          <w:szCs w:val="24"/>
        </w:rPr>
        <w:t xml:space="preserve">, </w:t>
      </w:r>
      <w:r w:rsidRPr="00BD4AFE">
        <w:rPr>
          <w:rFonts w:ascii="Times New Roman" w:eastAsia="宋体" w:hAnsi="Times New Roman" w:cs="Times New Roman"/>
          <w:b/>
          <w:bCs/>
          <w:sz w:val="24"/>
          <w:szCs w:val="24"/>
        </w:rPr>
        <w:t>2018</w:t>
      </w:r>
      <w:r w:rsidRPr="00BD4AFE">
        <w:rPr>
          <w:rFonts w:ascii="Times New Roman" w:eastAsia="宋体" w:hAnsi="Times New Roman" w:cs="Times New Roman"/>
          <w:sz w:val="24"/>
          <w:szCs w:val="24"/>
        </w:rPr>
        <w:t>, 9, 2608.</w:t>
      </w:r>
    </w:p>
    <w:p w14:paraId="60089051"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t xml:space="preserve">C. Bi, Z. Yao, X. Sun, X. Wei, J. Wang, and J. Tian. </w:t>
      </w:r>
      <w:r w:rsidRPr="00BD4AFE">
        <w:rPr>
          <w:rFonts w:ascii="Times New Roman" w:hAnsi="Times New Roman" w:cs="Times New Roman"/>
          <w:i/>
          <w:iCs/>
          <w:sz w:val="24"/>
          <w:szCs w:val="24"/>
          <w:shd w:val="clear" w:color="auto" w:fill="FFFFFF"/>
        </w:rPr>
        <w:t>Adv. Mater</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2021</w:t>
      </w:r>
      <w:r w:rsidRPr="00BD4AFE">
        <w:rPr>
          <w:rFonts w:ascii="Times New Roman" w:hAnsi="Times New Roman" w:cs="Times New Roman"/>
          <w:sz w:val="24"/>
          <w:szCs w:val="24"/>
          <w:shd w:val="clear" w:color="auto" w:fill="FFFFFF"/>
        </w:rPr>
        <w:t>, 33, 2006722.</w:t>
      </w:r>
    </w:p>
    <w:p w14:paraId="439554D5"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eastAsia="宋体" w:hAnsi="Times New Roman" w:cs="Times New Roman"/>
          <w:sz w:val="24"/>
          <w:szCs w:val="24"/>
        </w:rPr>
        <w:t xml:space="preserve">Y. Li, X. Hou, X. Dai, Z. Yao, L. Lv, Y. Jin, and X. Peng. </w:t>
      </w:r>
      <w:r w:rsidRPr="00BD4AFE">
        <w:rPr>
          <w:rFonts w:ascii="Times New Roman" w:eastAsia="宋体" w:hAnsi="Times New Roman" w:cs="Times New Roman"/>
          <w:i/>
          <w:iCs/>
          <w:sz w:val="24"/>
          <w:szCs w:val="24"/>
        </w:rPr>
        <w:t>J. Am. Chem. Soc</w:t>
      </w:r>
      <w:r w:rsidRPr="00BD4AFE">
        <w:rPr>
          <w:rFonts w:ascii="Times New Roman" w:eastAsia="宋体" w:hAnsi="Times New Roman" w:cs="Times New Roman"/>
          <w:sz w:val="24"/>
          <w:szCs w:val="24"/>
        </w:rPr>
        <w:t xml:space="preserve">, </w:t>
      </w:r>
      <w:r w:rsidRPr="00BD4AFE">
        <w:rPr>
          <w:rFonts w:ascii="Times New Roman" w:eastAsia="宋体" w:hAnsi="Times New Roman" w:cs="Times New Roman"/>
          <w:b/>
          <w:bCs/>
          <w:sz w:val="24"/>
          <w:szCs w:val="24"/>
        </w:rPr>
        <w:t>2019</w:t>
      </w:r>
      <w:r w:rsidRPr="00BD4AFE">
        <w:rPr>
          <w:rFonts w:ascii="Times New Roman" w:eastAsia="宋体" w:hAnsi="Times New Roman" w:cs="Times New Roman"/>
          <w:sz w:val="24"/>
          <w:szCs w:val="24"/>
        </w:rPr>
        <w:t>, 141, 6448.</w:t>
      </w:r>
    </w:p>
    <w:p w14:paraId="52E44E50"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t xml:space="preserve">T. Meng, Y. Zheng, D. Zhao, H. Hu, Y. Zhu, Z. Xu, S. Ju, J. Jing, X. Chen, H. Gao, K. Yang, T. Guo, F. Li, J. Fan, L. Qian. </w:t>
      </w:r>
      <w:r w:rsidRPr="00BD4AFE">
        <w:rPr>
          <w:rFonts w:ascii="Times New Roman" w:hAnsi="Times New Roman" w:cs="Times New Roman"/>
          <w:i/>
          <w:iCs/>
          <w:sz w:val="24"/>
          <w:szCs w:val="24"/>
          <w:shd w:val="clear" w:color="auto" w:fill="FFFFFF"/>
        </w:rPr>
        <w:t>Nature Photonics</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2022</w:t>
      </w:r>
      <w:r w:rsidRPr="00BD4AFE">
        <w:rPr>
          <w:rFonts w:ascii="Times New Roman" w:hAnsi="Times New Roman" w:cs="Times New Roman"/>
          <w:sz w:val="24"/>
          <w:szCs w:val="24"/>
          <w:shd w:val="clear" w:color="auto" w:fill="FFFFFF"/>
        </w:rPr>
        <w:t>, 16, 297.</w:t>
      </w:r>
    </w:p>
    <w:p w14:paraId="1B9D3239"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eastAsia="宋体" w:hAnsi="Times New Roman" w:cs="Times New Roman"/>
          <w:sz w:val="24"/>
          <w:szCs w:val="24"/>
        </w:rPr>
        <w:t xml:space="preserve">H. Jia, F. Wang, and Z. Tan. </w:t>
      </w:r>
      <w:r w:rsidRPr="00BD4AFE">
        <w:rPr>
          <w:rFonts w:ascii="Times New Roman" w:eastAsia="宋体" w:hAnsi="Times New Roman" w:cs="Times New Roman"/>
          <w:i/>
          <w:iCs/>
          <w:sz w:val="24"/>
          <w:szCs w:val="24"/>
        </w:rPr>
        <w:t>Nanoscale</w:t>
      </w:r>
      <w:r w:rsidRPr="00BD4AFE">
        <w:rPr>
          <w:rFonts w:ascii="Times New Roman" w:eastAsia="宋体" w:hAnsi="Times New Roman" w:cs="Times New Roman"/>
          <w:sz w:val="24"/>
          <w:szCs w:val="24"/>
        </w:rPr>
        <w:t xml:space="preserve">, </w:t>
      </w:r>
      <w:r w:rsidRPr="00BD4AFE">
        <w:rPr>
          <w:rFonts w:ascii="Times New Roman" w:eastAsia="宋体" w:hAnsi="Times New Roman" w:cs="Times New Roman"/>
          <w:b/>
          <w:bCs/>
          <w:sz w:val="24"/>
          <w:szCs w:val="24"/>
        </w:rPr>
        <w:t>2020</w:t>
      </w:r>
      <w:r w:rsidRPr="00BD4AFE">
        <w:rPr>
          <w:rFonts w:ascii="Times New Roman" w:eastAsia="宋体" w:hAnsi="Times New Roman" w:cs="Times New Roman"/>
          <w:sz w:val="24"/>
          <w:szCs w:val="24"/>
        </w:rPr>
        <w:t>, 12, 13186.</w:t>
      </w:r>
    </w:p>
    <w:p w14:paraId="789C8268"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eastAsia="宋体" w:hAnsi="Times New Roman" w:cs="Times New Roman"/>
          <w:sz w:val="24"/>
          <w:szCs w:val="24"/>
        </w:rPr>
        <w:t xml:space="preserve">Colvin. V L, Schlamp. M C, and Alivisatos A P. </w:t>
      </w:r>
      <w:r w:rsidRPr="00BD4AFE">
        <w:rPr>
          <w:rFonts w:ascii="Times New Roman" w:hAnsi="Times New Roman" w:cs="Times New Roman"/>
          <w:i/>
          <w:iCs/>
          <w:sz w:val="24"/>
          <w:szCs w:val="24"/>
        </w:rPr>
        <w:t>Nature</w:t>
      </w:r>
      <w:r w:rsidRPr="00BD4AFE">
        <w:rPr>
          <w:rFonts w:ascii="Times New Roman" w:hAnsi="Times New Roman" w:cs="Times New Roman"/>
          <w:sz w:val="24"/>
          <w:szCs w:val="24"/>
        </w:rPr>
        <w:t xml:space="preserve">. </w:t>
      </w:r>
      <w:r w:rsidRPr="00BD4AFE">
        <w:rPr>
          <w:rFonts w:ascii="Times New Roman" w:hAnsi="Times New Roman" w:cs="Times New Roman"/>
          <w:b/>
          <w:bCs/>
          <w:sz w:val="24"/>
          <w:szCs w:val="24"/>
        </w:rPr>
        <w:t>1994</w:t>
      </w:r>
      <w:r w:rsidRPr="00BD4AFE">
        <w:rPr>
          <w:rFonts w:ascii="Times New Roman" w:hAnsi="Times New Roman" w:cs="Times New Roman"/>
          <w:sz w:val="24"/>
          <w:szCs w:val="24"/>
        </w:rPr>
        <w:t>, 370, 354.</w:t>
      </w:r>
    </w:p>
    <w:p w14:paraId="2743B77C"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lang w:val="de-DE"/>
        </w:rPr>
        <w:t xml:space="preserve">H. Shen, Q. Gao, Y. Zhang, Y. Lin, Q. Lin, Z. Li, L. Chen, Z. Zeng, X. Li, Y. Jia, S. Wang, Z. Du, L. Li, and Z. Zhang. </w:t>
      </w:r>
      <w:r w:rsidRPr="00BD4AFE">
        <w:rPr>
          <w:rFonts w:ascii="Times New Roman" w:hAnsi="Times New Roman" w:cs="Times New Roman"/>
          <w:i/>
          <w:iCs/>
          <w:sz w:val="24"/>
          <w:szCs w:val="24"/>
          <w:shd w:val="clear" w:color="auto" w:fill="FFFFFF"/>
        </w:rPr>
        <w:t>Nature Photonics</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2019</w:t>
      </w:r>
      <w:r w:rsidRPr="00BD4AFE">
        <w:rPr>
          <w:rFonts w:ascii="Times New Roman" w:hAnsi="Times New Roman" w:cs="Times New Roman"/>
          <w:sz w:val="24"/>
          <w:szCs w:val="24"/>
          <w:shd w:val="clear" w:color="auto" w:fill="FFFFFF"/>
        </w:rPr>
        <w:t>, 13, 192.</w:t>
      </w:r>
    </w:p>
    <w:p w14:paraId="6BE2D282"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lang w:val="de-DE"/>
        </w:rPr>
        <w:t xml:space="preserve">Q. Yuan, T. Wang, P. Yu, H. Zhang, H. Zhang, and W. Ji. </w:t>
      </w:r>
      <w:r w:rsidRPr="00BD4AFE">
        <w:rPr>
          <w:rFonts w:ascii="Times New Roman" w:hAnsi="Times New Roman" w:cs="Times New Roman"/>
          <w:i/>
          <w:iCs/>
          <w:sz w:val="24"/>
          <w:szCs w:val="24"/>
          <w:shd w:val="clear" w:color="auto" w:fill="FFFFFF"/>
          <w:lang w:val="de-DE"/>
        </w:rPr>
        <w:t xml:space="preserve">Org. </w:t>
      </w:r>
      <w:r w:rsidRPr="00BD4AFE">
        <w:rPr>
          <w:rFonts w:ascii="Times New Roman" w:hAnsi="Times New Roman" w:cs="Times New Roman"/>
          <w:i/>
          <w:iCs/>
          <w:sz w:val="24"/>
          <w:szCs w:val="24"/>
          <w:shd w:val="clear" w:color="auto" w:fill="FFFFFF"/>
        </w:rPr>
        <w:t>Electron</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2021</w:t>
      </w:r>
      <w:r w:rsidRPr="00BD4AFE">
        <w:rPr>
          <w:rFonts w:ascii="Times New Roman" w:hAnsi="Times New Roman" w:cs="Times New Roman"/>
          <w:sz w:val="24"/>
          <w:szCs w:val="24"/>
          <w:shd w:val="clear" w:color="auto" w:fill="FFFFFF"/>
        </w:rPr>
        <w:t>, 90, 106086.</w:t>
      </w:r>
    </w:p>
    <w:p w14:paraId="77B2A37C" w14:textId="77777777" w:rsidR="0054765A" w:rsidRPr="00BD4AFE" w:rsidRDefault="0054765A" w:rsidP="0054765A">
      <w:pPr>
        <w:pStyle w:val="af1"/>
        <w:numPr>
          <w:ilvl w:val="0"/>
          <w:numId w:val="2"/>
        </w:numPr>
        <w:spacing w:line="360" w:lineRule="auto"/>
        <w:ind w:firstLineChars="0"/>
        <w:rPr>
          <w:rFonts w:ascii="Times New Roman" w:hAnsi="Times New Roman" w:cs="Times New Roman"/>
          <w:sz w:val="24"/>
          <w:szCs w:val="24"/>
          <w:shd w:val="clear" w:color="auto" w:fill="FFFFFF"/>
        </w:rPr>
      </w:pPr>
      <w:r w:rsidRPr="00BD4AFE">
        <w:rPr>
          <w:rFonts w:ascii="Times New Roman" w:hAnsi="Times New Roman" w:cs="Times New Roman"/>
          <w:sz w:val="24"/>
          <w:szCs w:val="24"/>
          <w:shd w:val="clear" w:color="auto" w:fill="FFFFFF"/>
        </w:rPr>
        <w:t xml:space="preserve">Z. Yao, C. Bi, A. Liu, M. Zhang, and J. Tian. </w:t>
      </w:r>
      <w:r w:rsidRPr="00BD4AFE">
        <w:rPr>
          <w:rFonts w:ascii="Times New Roman" w:hAnsi="Times New Roman" w:cs="Times New Roman"/>
          <w:i/>
          <w:iCs/>
          <w:sz w:val="24"/>
          <w:szCs w:val="24"/>
          <w:shd w:val="clear" w:color="auto" w:fill="FFFFFF"/>
        </w:rPr>
        <w:t>Nano Energy</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2022</w:t>
      </w:r>
      <w:r w:rsidRPr="00BD4AFE">
        <w:rPr>
          <w:rFonts w:ascii="Times New Roman" w:hAnsi="Times New Roman" w:cs="Times New Roman"/>
          <w:sz w:val="24"/>
          <w:szCs w:val="24"/>
          <w:shd w:val="clear" w:color="auto" w:fill="FFFFFF"/>
        </w:rPr>
        <w:t>, 95, 106974.</w:t>
      </w:r>
    </w:p>
    <w:p w14:paraId="1B36B95F"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eastAsia="宋体" w:hAnsi="Times New Roman" w:cs="Times New Roman"/>
          <w:sz w:val="24"/>
          <w:szCs w:val="24"/>
        </w:rPr>
        <w:t xml:space="preserve">S. Yang, C. Bi, W. Dong, X. Zhang, W. Zheng, W. C. H. Choy, and J. Tian. </w:t>
      </w:r>
      <w:r w:rsidRPr="00BD4AFE">
        <w:rPr>
          <w:rFonts w:ascii="Times New Roman" w:eastAsia="宋体" w:hAnsi="Times New Roman" w:cs="Times New Roman"/>
          <w:i/>
          <w:iCs/>
          <w:sz w:val="24"/>
          <w:szCs w:val="24"/>
        </w:rPr>
        <w:t>Adv. Opt. Mater</w:t>
      </w:r>
      <w:r w:rsidRPr="00BD4AFE">
        <w:rPr>
          <w:rFonts w:ascii="Times New Roman" w:eastAsia="宋体" w:hAnsi="Times New Roman" w:cs="Times New Roman"/>
          <w:sz w:val="24"/>
          <w:szCs w:val="24"/>
        </w:rPr>
        <w:t xml:space="preserve">. </w:t>
      </w:r>
      <w:r w:rsidRPr="00BD4AFE">
        <w:rPr>
          <w:rFonts w:ascii="Times New Roman" w:eastAsia="宋体" w:hAnsi="Times New Roman" w:cs="Times New Roman"/>
          <w:b/>
          <w:bCs/>
          <w:sz w:val="24"/>
          <w:szCs w:val="24"/>
        </w:rPr>
        <w:t>2022</w:t>
      </w:r>
      <w:r w:rsidRPr="00BD4AFE">
        <w:rPr>
          <w:rFonts w:ascii="Times New Roman" w:eastAsia="宋体" w:hAnsi="Times New Roman" w:cs="Times New Roman"/>
          <w:sz w:val="24"/>
          <w:szCs w:val="24"/>
        </w:rPr>
        <w:t>, 2200189.</w:t>
      </w:r>
    </w:p>
    <w:p w14:paraId="1D722597"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eastAsia="宋体" w:hAnsi="Times New Roman" w:cs="Times New Roman"/>
          <w:sz w:val="24"/>
          <w:szCs w:val="24"/>
        </w:rPr>
        <w:t xml:space="preserve">X. Dai, Z. Zhang, Y. Jin, Y. Niu, H. Cao, X. Liang, L. Chen, J. Wang, and X. Peng. </w:t>
      </w:r>
      <w:r w:rsidRPr="00BD4AFE">
        <w:rPr>
          <w:rFonts w:ascii="Times New Roman" w:eastAsia="宋体" w:hAnsi="Times New Roman" w:cs="Times New Roman"/>
          <w:i/>
          <w:iCs/>
          <w:sz w:val="24"/>
          <w:szCs w:val="24"/>
        </w:rPr>
        <w:t>Nature</w:t>
      </w:r>
      <w:r w:rsidRPr="00BD4AFE">
        <w:rPr>
          <w:rFonts w:ascii="Times New Roman" w:eastAsia="宋体" w:hAnsi="Times New Roman" w:cs="Times New Roman"/>
          <w:sz w:val="24"/>
          <w:szCs w:val="24"/>
        </w:rPr>
        <w:t xml:space="preserve">, </w:t>
      </w:r>
      <w:r w:rsidRPr="00BD4AFE">
        <w:rPr>
          <w:rFonts w:ascii="Times New Roman" w:eastAsia="宋体" w:hAnsi="Times New Roman" w:cs="Times New Roman"/>
          <w:b/>
          <w:bCs/>
          <w:sz w:val="24"/>
          <w:szCs w:val="24"/>
        </w:rPr>
        <w:t>2014</w:t>
      </w:r>
      <w:r w:rsidRPr="00BD4AFE">
        <w:rPr>
          <w:rFonts w:ascii="Times New Roman" w:eastAsia="宋体" w:hAnsi="Times New Roman" w:cs="Times New Roman"/>
          <w:sz w:val="24"/>
          <w:szCs w:val="24"/>
        </w:rPr>
        <w:t>, 515, 96.</w:t>
      </w:r>
    </w:p>
    <w:p w14:paraId="3F18CE8C"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lang w:val="de-DE"/>
        </w:rPr>
        <w:t xml:space="preserve">X. Li, Q. Lin, J. Song, H. Shen, H. Zhang, L. Li, X. Li, Z. Du. </w:t>
      </w:r>
      <w:r w:rsidRPr="00BD4AFE">
        <w:rPr>
          <w:rFonts w:ascii="Times New Roman" w:hAnsi="Times New Roman" w:cs="Times New Roman"/>
          <w:i/>
          <w:iCs/>
          <w:sz w:val="24"/>
          <w:szCs w:val="24"/>
          <w:shd w:val="clear" w:color="auto" w:fill="FFFFFF"/>
          <w:lang w:val="de-DE"/>
        </w:rPr>
        <w:t xml:space="preserve">Adv. Opt. </w:t>
      </w:r>
      <w:r w:rsidRPr="00BD4AFE">
        <w:rPr>
          <w:rFonts w:ascii="Times New Roman" w:hAnsi="Times New Roman" w:cs="Times New Roman"/>
          <w:i/>
          <w:iCs/>
          <w:sz w:val="24"/>
          <w:szCs w:val="24"/>
          <w:shd w:val="clear" w:color="auto" w:fill="FFFFFF"/>
        </w:rPr>
        <w:t>Mater</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2020</w:t>
      </w:r>
      <w:r w:rsidRPr="00BD4AFE">
        <w:rPr>
          <w:rFonts w:ascii="Times New Roman" w:hAnsi="Times New Roman" w:cs="Times New Roman"/>
          <w:sz w:val="24"/>
          <w:szCs w:val="24"/>
          <w:shd w:val="clear" w:color="auto" w:fill="FFFFFF"/>
        </w:rPr>
        <w:t>, 8, 1901145.</w:t>
      </w:r>
    </w:p>
    <w:p w14:paraId="35B8AFA5"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lastRenderedPageBreak/>
        <w:t xml:space="preserve">Kim T, Kim K H, Kim S, Choi S, Jang H, Seo H, Lee H, Chung D, and Jang E. </w:t>
      </w:r>
      <w:r w:rsidRPr="00BD4AFE">
        <w:rPr>
          <w:rFonts w:ascii="Times New Roman" w:hAnsi="Times New Roman" w:cs="Times New Roman"/>
          <w:i/>
          <w:iCs/>
          <w:sz w:val="24"/>
          <w:szCs w:val="24"/>
          <w:shd w:val="clear" w:color="auto" w:fill="FFFFFF"/>
        </w:rPr>
        <w:t>Nature</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2020</w:t>
      </w:r>
      <w:r w:rsidRPr="00BD4AFE">
        <w:rPr>
          <w:rFonts w:ascii="Times New Roman" w:hAnsi="Times New Roman" w:cs="Times New Roman"/>
          <w:sz w:val="24"/>
          <w:szCs w:val="24"/>
          <w:shd w:val="clear" w:color="auto" w:fill="FFFFFF"/>
        </w:rPr>
        <w:t>, 586, 385.</w:t>
      </w:r>
    </w:p>
    <w:p w14:paraId="09371E2B"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eastAsia="宋体" w:hAnsi="Times New Roman" w:cs="Times New Roman"/>
          <w:sz w:val="24"/>
          <w:szCs w:val="24"/>
          <w:lang w:val="de-DE"/>
        </w:rPr>
        <w:t xml:space="preserve">Y. Sun, W. Wang, H. Zhang, Q. Su, J. Wei, P. Liu, S. Chen, and S. Zhang. </w:t>
      </w:r>
      <w:r w:rsidRPr="00BD4AFE">
        <w:rPr>
          <w:rFonts w:ascii="Times New Roman" w:eastAsia="宋体" w:hAnsi="Times New Roman" w:cs="Times New Roman"/>
          <w:i/>
          <w:iCs/>
          <w:sz w:val="24"/>
          <w:szCs w:val="24"/>
        </w:rPr>
        <w:t>ACS Appl. Mater. Interfaces</w:t>
      </w:r>
      <w:r w:rsidRPr="00BD4AFE">
        <w:rPr>
          <w:rFonts w:ascii="Times New Roman" w:eastAsia="宋体" w:hAnsi="Times New Roman" w:cs="Times New Roman"/>
          <w:sz w:val="24"/>
          <w:szCs w:val="24"/>
        </w:rPr>
        <w:t xml:space="preserve">, </w:t>
      </w:r>
      <w:r w:rsidRPr="00BD4AFE">
        <w:rPr>
          <w:rFonts w:ascii="Times New Roman" w:eastAsia="宋体" w:hAnsi="Times New Roman" w:cs="Times New Roman"/>
          <w:b/>
          <w:bCs/>
          <w:sz w:val="24"/>
          <w:szCs w:val="24"/>
        </w:rPr>
        <w:t>2018</w:t>
      </w:r>
      <w:r w:rsidRPr="00BD4AFE">
        <w:rPr>
          <w:rFonts w:ascii="Times New Roman" w:eastAsia="宋体" w:hAnsi="Times New Roman" w:cs="Times New Roman"/>
          <w:sz w:val="24"/>
          <w:szCs w:val="24"/>
        </w:rPr>
        <w:t>, 10, 18902.</w:t>
      </w:r>
    </w:p>
    <w:p w14:paraId="228D0734"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t xml:space="preserve">H. Kim, S. Cho, J. Kim, H. Shin, and J. Jang. </w:t>
      </w:r>
      <w:r w:rsidRPr="00BD4AFE">
        <w:rPr>
          <w:rFonts w:ascii="Times New Roman" w:hAnsi="Times New Roman" w:cs="Times New Roman"/>
          <w:i/>
          <w:iCs/>
          <w:sz w:val="24"/>
          <w:szCs w:val="24"/>
          <w:shd w:val="clear" w:color="auto" w:fill="FFFFFF"/>
        </w:rPr>
        <w:t>ACS Appl Mater Interfaces</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2018</w:t>
      </w:r>
      <w:r w:rsidRPr="00BD4AFE">
        <w:rPr>
          <w:rFonts w:ascii="Times New Roman" w:hAnsi="Times New Roman" w:cs="Times New Roman"/>
          <w:sz w:val="24"/>
          <w:szCs w:val="24"/>
          <w:shd w:val="clear" w:color="auto" w:fill="FFFFFF"/>
        </w:rPr>
        <w:t>, 10, 24028.</w:t>
      </w:r>
    </w:p>
    <w:p w14:paraId="175A167B"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eastAsia="宋体" w:hAnsi="Times New Roman" w:cs="Times New Roman"/>
          <w:sz w:val="24"/>
          <w:szCs w:val="24"/>
        </w:rPr>
        <w:t xml:space="preserve">A. Alexandrov, M. Zvaigzne, D. Lypenko, I, Nabiev, and P. Samokhvalov. </w:t>
      </w:r>
      <w:r w:rsidRPr="00BD4AFE">
        <w:rPr>
          <w:rFonts w:ascii="Times New Roman" w:eastAsia="宋体" w:hAnsi="Times New Roman" w:cs="Times New Roman"/>
          <w:i/>
          <w:iCs/>
          <w:sz w:val="24"/>
          <w:szCs w:val="24"/>
        </w:rPr>
        <w:t>Sci. Rep</w:t>
      </w:r>
      <w:r w:rsidRPr="00BD4AFE">
        <w:rPr>
          <w:rFonts w:ascii="Times New Roman" w:eastAsia="宋体" w:hAnsi="Times New Roman" w:cs="Times New Roman"/>
          <w:sz w:val="24"/>
          <w:szCs w:val="24"/>
        </w:rPr>
        <w:t xml:space="preserve">, </w:t>
      </w:r>
      <w:r w:rsidRPr="00BD4AFE">
        <w:rPr>
          <w:rFonts w:ascii="Times New Roman" w:eastAsia="宋体" w:hAnsi="Times New Roman" w:cs="Times New Roman"/>
          <w:b/>
          <w:bCs/>
          <w:sz w:val="24"/>
          <w:szCs w:val="24"/>
        </w:rPr>
        <w:t>2020</w:t>
      </w:r>
      <w:r w:rsidRPr="00BD4AFE">
        <w:rPr>
          <w:rFonts w:ascii="Times New Roman" w:eastAsia="宋体" w:hAnsi="Times New Roman" w:cs="Times New Roman"/>
          <w:sz w:val="24"/>
          <w:szCs w:val="24"/>
        </w:rPr>
        <w:t>, 10, 7496.</w:t>
      </w:r>
    </w:p>
    <w:p w14:paraId="761D362F" w14:textId="77777777" w:rsidR="0054765A" w:rsidRPr="00BD4AFE" w:rsidRDefault="0054765A" w:rsidP="0054765A">
      <w:pPr>
        <w:pStyle w:val="af1"/>
        <w:numPr>
          <w:ilvl w:val="0"/>
          <w:numId w:val="2"/>
        </w:numPr>
        <w:spacing w:line="360" w:lineRule="auto"/>
        <w:ind w:firstLineChars="0"/>
        <w:rPr>
          <w:rFonts w:ascii="Times New Roman" w:hAnsi="Times New Roman" w:cs="Times New Roman"/>
          <w:sz w:val="24"/>
          <w:szCs w:val="24"/>
        </w:rPr>
      </w:pPr>
      <w:r w:rsidRPr="00BD4AFE">
        <w:rPr>
          <w:rFonts w:ascii="Times New Roman" w:eastAsia="宋体" w:hAnsi="Times New Roman" w:cs="Times New Roman"/>
          <w:sz w:val="24"/>
          <w:szCs w:val="24"/>
        </w:rPr>
        <w:t xml:space="preserve">A. Liu, C. Cheng, J. Tian. </w:t>
      </w:r>
      <w:r w:rsidRPr="00BD4AFE">
        <w:rPr>
          <w:rFonts w:ascii="Times New Roman" w:eastAsia="宋体" w:hAnsi="Times New Roman" w:cs="Times New Roman"/>
          <w:i/>
          <w:iCs/>
          <w:sz w:val="24"/>
          <w:szCs w:val="24"/>
        </w:rPr>
        <w:t>J. Mater. Chem. C</w:t>
      </w:r>
      <w:r w:rsidRPr="00BD4AFE">
        <w:rPr>
          <w:rFonts w:ascii="Times New Roman" w:eastAsia="宋体" w:hAnsi="Times New Roman" w:cs="Times New Roman"/>
          <w:sz w:val="24"/>
          <w:szCs w:val="24"/>
        </w:rPr>
        <w:t xml:space="preserve">, </w:t>
      </w:r>
      <w:r w:rsidRPr="00BD4AFE">
        <w:rPr>
          <w:rFonts w:ascii="Times New Roman" w:eastAsia="宋体" w:hAnsi="Times New Roman" w:cs="Times New Roman"/>
          <w:b/>
          <w:bCs/>
          <w:sz w:val="24"/>
          <w:szCs w:val="24"/>
        </w:rPr>
        <w:t>2022</w:t>
      </w:r>
      <w:r w:rsidRPr="00BD4AFE">
        <w:rPr>
          <w:rFonts w:ascii="Times New Roman" w:eastAsia="宋体" w:hAnsi="Times New Roman" w:cs="Times New Roman"/>
          <w:sz w:val="24"/>
          <w:szCs w:val="24"/>
        </w:rPr>
        <w:t xml:space="preserve">, </w:t>
      </w:r>
      <w:r w:rsidRPr="00BD4AFE">
        <w:rPr>
          <w:rFonts w:ascii="Times New Roman" w:hAnsi="Times New Roman" w:cs="Times New Roman"/>
          <w:sz w:val="24"/>
          <w:szCs w:val="24"/>
        </w:rPr>
        <w:t>DOI: 10.1039/D2TC01355J.</w:t>
      </w:r>
    </w:p>
    <w:p w14:paraId="59B4B08B"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t xml:space="preserve">Y. Zou, Y. Liu, M. Ban, Q. Huang, T. Sun, Q. Zhang, T. Song, and B. Sun. </w:t>
      </w:r>
      <w:r w:rsidRPr="00BD4AFE">
        <w:rPr>
          <w:rFonts w:ascii="Times New Roman" w:hAnsi="Times New Roman" w:cs="Times New Roman"/>
          <w:i/>
          <w:iCs/>
          <w:sz w:val="24"/>
          <w:szCs w:val="24"/>
          <w:shd w:val="clear" w:color="auto" w:fill="FFFFFF"/>
        </w:rPr>
        <w:t>Nanoscale Horiz</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2017</w:t>
      </w:r>
      <w:r w:rsidRPr="00BD4AFE">
        <w:rPr>
          <w:rFonts w:ascii="Times New Roman" w:hAnsi="Times New Roman" w:cs="Times New Roman"/>
          <w:sz w:val="24"/>
          <w:szCs w:val="24"/>
          <w:shd w:val="clear" w:color="auto" w:fill="FFFFFF"/>
        </w:rPr>
        <w:t>, 2, 156.</w:t>
      </w:r>
    </w:p>
    <w:p w14:paraId="03E5ADED"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t xml:space="preserve">H. Yan, Lee P, Armstrong N R, Evmenenko G A, Dutta P, and Marks T J. </w:t>
      </w:r>
      <w:r w:rsidRPr="00BD4AFE">
        <w:rPr>
          <w:rFonts w:ascii="Times New Roman" w:hAnsi="Times New Roman" w:cs="Times New Roman"/>
          <w:i/>
          <w:iCs/>
          <w:sz w:val="24"/>
          <w:szCs w:val="24"/>
          <w:shd w:val="clear" w:color="auto" w:fill="FFFFFF"/>
        </w:rPr>
        <w:t>J. Am. Chem. Soc</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2005</w:t>
      </w:r>
      <w:r w:rsidRPr="00BD4AFE">
        <w:rPr>
          <w:rFonts w:ascii="Times New Roman" w:hAnsi="Times New Roman" w:cs="Times New Roman"/>
          <w:sz w:val="24"/>
          <w:szCs w:val="24"/>
          <w:shd w:val="clear" w:color="auto" w:fill="FFFFFF"/>
        </w:rPr>
        <w:t>, 127, 3172.</w:t>
      </w:r>
    </w:p>
    <w:p w14:paraId="1D4E0004"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t xml:space="preserve">L. Li, T. Hu, C. Yin, L. Xie, Y. Yang, C. Wang, J. Lin, M. Yi, S. Ye, and W. Huang. </w:t>
      </w:r>
      <w:r w:rsidRPr="00BD4AFE">
        <w:rPr>
          <w:rFonts w:ascii="Times New Roman" w:hAnsi="Times New Roman" w:cs="Times New Roman"/>
          <w:i/>
          <w:iCs/>
          <w:sz w:val="24"/>
          <w:szCs w:val="24"/>
          <w:shd w:val="clear" w:color="auto" w:fill="FFFFFF"/>
        </w:rPr>
        <w:t>Polym. Chem</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2015</w:t>
      </w:r>
      <w:r w:rsidRPr="00BD4AFE">
        <w:rPr>
          <w:rFonts w:ascii="Times New Roman" w:hAnsi="Times New Roman" w:cs="Times New Roman"/>
          <w:sz w:val="24"/>
          <w:szCs w:val="24"/>
          <w:shd w:val="clear" w:color="auto" w:fill="FFFFFF"/>
        </w:rPr>
        <w:t>, 6, 983.</w:t>
      </w:r>
    </w:p>
    <w:p w14:paraId="546365A7"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t xml:space="preserve">L. Gao, C. Li. </w:t>
      </w:r>
      <w:r w:rsidRPr="00BD4AFE">
        <w:rPr>
          <w:rFonts w:ascii="Times New Roman" w:hAnsi="Times New Roman" w:cs="Times New Roman"/>
          <w:i/>
          <w:iCs/>
          <w:sz w:val="24"/>
          <w:szCs w:val="24"/>
          <w:shd w:val="clear" w:color="auto" w:fill="FFFFFF"/>
        </w:rPr>
        <w:t>J. Lumin</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2010</w:t>
      </w:r>
      <w:r w:rsidRPr="00BD4AFE">
        <w:rPr>
          <w:rFonts w:ascii="Times New Roman" w:hAnsi="Times New Roman" w:cs="Times New Roman"/>
          <w:sz w:val="24"/>
          <w:szCs w:val="24"/>
          <w:shd w:val="clear" w:color="auto" w:fill="FFFFFF"/>
        </w:rPr>
        <w:t>, 130, 236.</w:t>
      </w:r>
    </w:p>
    <w:p w14:paraId="043FAD76"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lang w:val="de-DE"/>
        </w:rPr>
      </w:pPr>
      <w:r w:rsidRPr="00BD4AFE">
        <w:rPr>
          <w:rFonts w:ascii="Times New Roman" w:hAnsi="Times New Roman" w:cs="Times New Roman"/>
          <w:sz w:val="24"/>
          <w:szCs w:val="24"/>
          <w:shd w:val="clear" w:color="auto" w:fill="FFFFFF"/>
          <w:lang w:val="de-DE"/>
        </w:rPr>
        <w:t xml:space="preserve">Ma L, Ma H. </w:t>
      </w:r>
      <w:r w:rsidRPr="00BD4AFE">
        <w:rPr>
          <w:rFonts w:ascii="Times New Roman" w:hAnsi="Times New Roman" w:cs="Times New Roman"/>
          <w:i/>
          <w:iCs/>
          <w:sz w:val="24"/>
          <w:szCs w:val="24"/>
          <w:shd w:val="clear" w:color="auto" w:fill="FFFFFF"/>
          <w:lang w:val="de-DE"/>
        </w:rPr>
        <w:t>RSC Adv.</w:t>
      </w:r>
      <w:r w:rsidRPr="00BD4AFE">
        <w:rPr>
          <w:rFonts w:ascii="Times New Roman" w:hAnsi="Times New Roman" w:cs="Times New Roman"/>
          <w:sz w:val="24"/>
          <w:szCs w:val="24"/>
          <w:shd w:val="clear" w:color="auto" w:fill="FFFFFF"/>
          <w:lang w:val="de-DE"/>
        </w:rPr>
        <w:t xml:space="preserve"> </w:t>
      </w:r>
      <w:r w:rsidRPr="00BD4AFE">
        <w:rPr>
          <w:rFonts w:ascii="Times New Roman" w:hAnsi="Times New Roman" w:cs="Times New Roman"/>
          <w:b/>
          <w:bCs/>
          <w:sz w:val="24"/>
          <w:szCs w:val="24"/>
          <w:shd w:val="clear" w:color="auto" w:fill="FFFFFF"/>
          <w:lang w:val="de-DE"/>
        </w:rPr>
        <w:t>2019</w:t>
      </w:r>
      <w:r w:rsidRPr="00BD4AFE">
        <w:rPr>
          <w:rFonts w:ascii="Times New Roman" w:hAnsi="Times New Roman" w:cs="Times New Roman"/>
          <w:sz w:val="24"/>
          <w:szCs w:val="24"/>
          <w:shd w:val="clear" w:color="auto" w:fill="FFFFFF"/>
          <w:lang w:val="de-DE"/>
        </w:rPr>
        <w:t>, 9, 18098.</w:t>
      </w:r>
    </w:p>
    <w:p w14:paraId="19EE29AA"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t xml:space="preserve">Renzi W, Cordeiro N J A, de Santana H, et al. </w:t>
      </w:r>
      <w:r w:rsidRPr="00BD4AFE">
        <w:rPr>
          <w:rFonts w:ascii="Times New Roman" w:hAnsi="Times New Roman" w:cs="Times New Roman"/>
          <w:i/>
          <w:iCs/>
          <w:sz w:val="24"/>
          <w:szCs w:val="24"/>
          <w:shd w:val="clear" w:color="auto" w:fill="FFFFFF"/>
        </w:rPr>
        <w:t>Synth. Met</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2018</w:t>
      </w:r>
      <w:r w:rsidRPr="00BD4AFE">
        <w:rPr>
          <w:rFonts w:ascii="Times New Roman" w:hAnsi="Times New Roman" w:cs="Times New Roman"/>
          <w:sz w:val="24"/>
          <w:szCs w:val="24"/>
          <w:shd w:val="clear" w:color="auto" w:fill="FFFFFF"/>
        </w:rPr>
        <w:t>, 236, 24.</w:t>
      </w:r>
    </w:p>
    <w:p w14:paraId="60C10F29"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lang w:val="de-DE"/>
        </w:rPr>
        <w:t xml:space="preserve">M. Pan, T. Lau, Y. Tang, Y. Wu, T. Liu, K. Li, M. Chen, X. Lu, W. Ma, and C. Zhan. </w:t>
      </w:r>
      <w:r w:rsidRPr="00BD4AFE">
        <w:rPr>
          <w:rFonts w:ascii="Times New Roman" w:hAnsi="Times New Roman" w:cs="Times New Roman"/>
          <w:i/>
          <w:iCs/>
          <w:sz w:val="24"/>
          <w:szCs w:val="24"/>
          <w:lang w:val="de-DE"/>
        </w:rPr>
        <w:t xml:space="preserve">J. Mater. </w:t>
      </w:r>
      <w:r w:rsidRPr="00BD4AFE">
        <w:rPr>
          <w:rFonts w:ascii="Times New Roman" w:hAnsi="Times New Roman" w:cs="Times New Roman"/>
          <w:i/>
          <w:iCs/>
          <w:sz w:val="24"/>
          <w:szCs w:val="24"/>
        </w:rPr>
        <w:t>Chem. A,</w:t>
      </w:r>
      <w:r w:rsidRPr="00BD4AFE">
        <w:rPr>
          <w:rFonts w:ascii="Times New Roman" w:hAnsi="Times New Roman" w:cs="Times New Roman"/>
          <w:sz w:val="24"/>
          <w:szCs w:val="24"/>
        </w:rPr>
        <w:t xml:space="preserve"> </w:t>
      </w:r>
      <w:r w:rsidRPr="00BD4AFE">
        <w:rPr>
          <w:rFonts w:ascii="Times New Roman" w:hAnsi="Times New Roman" w:cs="Times New Roman"/>
          <w:b/>
          <w:bCs/>
          <w:sz w:val="24"/>
          <w:szCs w:val="24"/>
        </w:rPr>
        <w:t>2019</w:t>
      </w:r>
      <w:r w:rsidRPr="00BD4AFE">
        <w:rPr>
          <w:rFonts w:ascii="Times New Roman" w:hAnsi="Times New Roman" w:cs="Times New Roman"/>
          <w:sz w:val="24"/>
          <w:szCs w:val="24"/>
        </w:rPr>
        <w:t>, 7, 20713.</w:t>
      </w:r>
    </w:p>
    <w:p w14:paraId="696F7EC5"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t xml:space="preserve">H. Xin, C. Ge, X. Jiao, X. Yang, K. Rundel, C. R. McNeill, and X. Gao. </w:t>
      </w:r>
      <w:r w:rsidRPr="00BD4AFE">
        <w:rPr>
          <w:rFonts w:ascii="Times New Roman" w:hAnsi="Times New Roman" w:cs="Times New Roman"/>
          <w:i/>
          <w:iCs/>
          <w:sz w:val="24"/>
          <w:szCs w:val="24"/>
        </w:rPr>
        <w:t>Angew. Chem. Int. Ed</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2018</w:t>
      </w:r>
      <w:r w:rsidRPr="00BD4AFE">
        <w:rPr>
          <w:rFonts w:ascii="Times New Roman" w:hAnsi="Times New Roman" w:cs="Times New Roman"/>
          <w:sz w:val="24"/>
          <w:szCs w:val="24"/>
          <w:shd w:val="clear" w:color="auto" w:fill="FFFFFF"/>
        </w:rPr>
        <w:t>, 130, 1336.</w:t>
      </w:r>
    </w:p>
    <w:p w14:paraId="755F3477" w14:textId="69511586" w:rsidR="0054765A" w:rsidRPr="00BD4AFE" w:rsidRDefault="00E17413"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eastAsia="宋体" w:hAnsi="Times New Roman" w:cs="Times New Roman"/>
          <w:sz w:val="24"/>
          <w:szCs w:val="24"/>
        </w:rPr>
        <w:t xml:space="preserve">M. Zhang, </w:t>
      </w:r>
      <w:r w:rsidR="00E9183C" w:rsidRPr="00BD4AFE">
        <w:rPr>
          <w:rFonts w:ascii="Times New Roman" w:eastAsia="宋体" w:hAnsi="Times New Roman" w:cs="Times New Roman"/>
          <w:sz w:val="24"/>
          <w:szCs w:val="24"/>
        </w:rPr>
        <w:t xml:space="preserve">L. Zhu, G. Zhou, T. Hao, C. </w:t>
      </w:r>
      <w:proofErr w:type="spellStart"/>
      <w:r w:rsidR="00E9183C" w:rsidRPr="00BD4AFE">
        <w:rPr>
          <w:rFonts w:ascii="Times New Roman" w:eastAsia="宋体" w:hAnsi="Times New Roman" w:cs="Times New Roman"/>
          <w:sz w:val="24"/>
          <w:szCs w:val="24"/>
        </w:rPr>
        <w:t>Qiu</w:t>
      </w:r>
      <w:proofErr w:type="spellEnd"/>
      <w:r w:rsidR="00E9183C" w:rsidRPr="00BD4AFE">
        <w:rPr>
          <w:rFonts w:ascii="Times New Roman" w:eastAsia="宋体" w:hAnsi="Times New Roman" w:cs="Times New Roman"/>
          <w:sz w:val="24"/>
          <w:szCs w:val="24"/>
        </w:rPr>
        <w:t xml:space="preserve">, </w:t>
      </w:r>
      <w:r w:rsidR="00E13818" w:rsidRPr="00BD4AFE">
        <w:rPr>
          <w:rFonts w:ascii="Times New Roman" w:eastAsia="宋体" w:hAnsi="Times New Roman" w:cs="Times New Roman"/>
          <w:sz w:val="24"/>
          <w:szCs w:val="24"/>
        </w:rPr>
        <w:t xml:space="preserve">Z. Zhao, Q. Hu, B. Larson, H. Zhu, Z. Ma, Z. Tang, </w:t>
      </w:r>
      <w:r w:rsidR="00962EDC" w:rsidRPr="00BD4AFE">
        <w:rPr>
          <w:rFonts w:ascii="Times New Roman" w:eastAsia="宋体" w:hAnsi="Times New Roman" w:cs="Times New Roman"/>
          <w:sz w:val="24"/>
          <w:szCs w:val="24"/>
        </w:rPr>
        <w:t>W. Feng, Y. Zhang, T. Russell, and F. Liu</w:t>
      </w:r>
      <w:r w:rsidRPr="00BD4AFE">
        <w:rPr>
          <w:rFonts w:ascii="Times New Roman" w:eastAsia="宋体" w:hAnsi="Times New Roman" w:cs="Times New Roman"/>
          <w:i/>
          <w:iCs/>
          <w:sz w:val="24"/>
          <w:szCs w:val="24"/>
        </w:rPr>
        <w:t>.</w:t>
      </w:r>
      <w:r w:rsidR="005A1DBC" w:rsidRPr="00BD4AFE">
        <w:rPr>
          <w:rFonts w:ascii="Times New Roman" w:eastAsia="宋体" w:hAnsi="Times New Roman" w:cs="Times New Roman"/>
          <w:sz w:val="24"/>
          <w:szCs w:val="24"/>
        </w:rPr>
        <w:t xml:space="preserve"> </w:t>
      </w:r>
      <w:r w:rsidRPr="00BD4AFE">
        <w:rPr>
          <w:rFonts w:ascii="Times New Roman" w:eastAsia="宋体" w:hAnsi="Times New Roman" w:cs="Times New Roman"/>
          <w:i/>
          <w:iCs/>
          <w:sz w:val="24"/>
          <w:szCs w:val="24"/>
        </w:rPr>
        <w:t xml:space="preserve">Nat. </w:t>
      </w:r>
      <w:proofErr w:type="spellStart"/>
      <w:r w:rsidRPr="00BD4AFE">
        <w:rPr>
          <w:rFonts w:ascii="Times New Roman" w:eastAsia="宋体" w:hAnsi="Times New Roman" w:cs="Times New Roman"/>
          <w:i/>
          <w:iCs/>
          <w:sz w:val="24"/>
          <w:szCs w:val="24"/>
        </w:rPr>
        <w:t>Commun</w:t>
      </w:r>
      <w:proofErr w:type="spellEnd"/>
      <w:r w:rsidRPr="00BD4AFE">
        <w:rPr>
          <w:rFonts w:ascii="Times New Roman" w:eastAsia="宋体" w:hAnsi="Times New Roman" w:cs="Times New Roman"/>
          <w:i/>
          <w:iCs/>
          <w:sz w:val="24"/>
          <w:szCs w:val="24"/>
        </w:rPr>
        <w:t>,</w:t>
      </w:r>
      <w:r w:rsidRPr="00BD4AFE">
        <w:rPr>
          <w:rFonts w:ascii="Times New Roman" w:hAnsi="Times New Roman" w:cs="Times New Roman"/>
          <w:b/>
          <w:bCs/>
          <w:sz w:val="24"/>
          <w:szCs w:val="24"/>
        </w:rPr>
        <w:t xml:space="preserve"> </w:t>
      </w:r>
      <w:r w:rsidR="000E28DF" w:rsidRPr="00BD4AFE">
        <w:rPr>
          <w:rFonts w:ascii="Times New Roman" w:hAnsi="Times New Roman" w:cs="Times New Roman"/>
          <w:b/>
          <w:bCs/>
          <w:sz w:val="24"/>
          <w:szCs w:val="24"/>
        </w:rPr>
        <w:t>2021</w:t>
      </w:r>
      <w:r w:rsidR="000E28DF" w:rsidRPr="00BD4AFE">
        <w:rPr>
          <w:rFonts w:ascii="Times New Roman" w:hAnsi="Times New Roman" w:cs="Times New Roman"/>
          <w:sz w:val="24"/>
          <w:szCs w:val="24"/>
        </w:rPr>
        <w:t>, 12, 309</w:t>
      </w:r>
      <w:r w:rsidR="0054765A" w:rsidRPr="00BD4AFE">
        <w:rPr>
          <w:rFonts w:ascii="Times New Roman" w:hAnsi="Times New Roman" w:cs="Times New Roman"/>
          <w:sz w:val="24"/>
          <w:szCs w:val="24"/>
        </w:rPr>
        <w:t>.</w:t>
      </w:r>
    </w:p>
    <w:p w14:paraId="4EC75DCE" w14:textId="27D32846" w:rsidR="000419B6" w:rsidRPr="00BD4AFE" w:rsidRDefault="002B2711"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eastAsia="宋体" w:hAnsi="Times New Roman" w:cs="Times New Roman"/>
          <w:sz w:val="24"/>
          <w:szCs w:val="24"/>
        </w:rPr>
        <w:t xml:space="preserve">A. J. </w:t>
      </w:r>
      <w:proofErr w:type="spellStart"/>
      <w:r w:rsidRPr="00BD4AFE">
        <w:rPr>
          <w:rFonts w:ascii="Times New Roman" w:eastAsia="宋体" w:hAnsi="Times New Roman" w:cs="Times New Roman"/>
          <w:sz w:val="24"/>
          <w:szCs w:val="24"/>
        </w:rPr>
        <w:t>Heeger</w:t>
      </w:r>
      <w:proofErr w:type="spellEnd"/>
      <w:r w:rsidRPr="00BD4AFE">
        <w:rPr>
          <w:rFonts w:ascii="Times New Roman" w:eastAsia="宋体" w:hAnsi="Times New Roman" w:cs="Times New Roman"/>
          <w:sz w:val="24"/>
          <w:szCs w:val="24"/>
        </w:rPr>
        <w:t xml:space="preserve">, S. </w:t>
      </w:r>
      <w:proofErr w:type="spellStart"/>
      <w:r w:rsidRPr="00BD4AFE">
        <w:rPr>
          <w:rFonts w:ascii="Times New Roman" w:eastAsia="宋体" w:hAnsi="Times New Roman" w:cs="Times New Roman"/>
          <w:sz w:val="24"/>
          <w:szCs w:val="24"/>
        </w:rPr>
        <w:t>Kivelson</w:t>
      </w:r>
      <w:proofErr w:type="spellEnd"/>
      <w:r w:rsidRPr="00BD4AFE">
        <w:rPr>
          <w:rFonts w:ascii="Times New Roman" w:eastAsia="宋体" w:hAnsi="Times New Roman" w:cs="Times New Roman"/>
          <w:sz w:val="24"/>
          <w:szCs w:val="24"/>
        </w:rPr>
        <w:t xml:space="preserve">, J. Schrieffer, and W.-P. </w:t>
      </w:r>
      <w:proofErr w:type="spellStart"/>
      <w:r w:rsidRPr="00BD4AFE">
        <w:rPr>
          <w:rFonts w:ascii="Times New Roman" w:eastAsia="宋体" w:hAnsi="Times New Roman" w:cs="Times New Roman"/>
          <w:sz w:val="24"/>
          <w:szCs w:val="24"/>
        </w:rPr>
        <w:t>Su</w:t>
      </w:r>
      <w:proofErr w:type="spellEnd"/>
      <w:r w:rsidRPr="00BD4AFE">
        <w:rPr>
          <w:rFonts w:ascii="Times New Roman" w:eastAsia="宋体" w:hAnsi="Times New Roman" w:cs="Times New Roman"/>
          <w:sz w:val="24"/>
          <w:szCs w:val="24"/>
        </w:rPr>
        <w:t xml:space="preserve">. </w:t>
      </w:r>
      <w:r w:rsidRPr="00BD4AFE">
        <w:rPr>
          <w:rFonts w:ascii="Times New Roman" w:eastAsia="宋体" w:hAnsi="Times New Roman" w:cs="Times New Roman"/>
          <w:i/>
          <w:iCs/>
          <w:sz w:val="24"/>
          <w:szCs w:val="24"/>
        </w:rPr>
        <w:t>Rev. Mod. Phys</w:t>
      </w:r>
      <w:r w:rsidRPr="00BD4AFE">
        <w:rPr>
          <w:rFonts w:ascii="Times New Roman" w:eastAsia="宋体" w:hAnsi="Times New Roman" w:cs="Times New Roman"/>
          <w:sz w:val="24"/>
          <w:szCs w:val="24"/>
        </w:rPr>
        <w:t xml:space="preserve">. </w:t>
      </w:r>
      <w:r w:rsidRPr="00BD4AFE">
        <w:rPr>
          <w:rFonts w:ascii="Times New Roman" w:eastAsia="宋体" w:hAnsi="Times New Roman" w:cs="Times New Roman"/>
          <w:b/>
          <w:bCs/>
          <w:sz w:val="24"/>
          <w:szCs w:val="24"/>
        </w:rPr>
        <w:t>1988</w:t>
      </w:r>
      <w:r w:rsidRPr="00BD4AFE">
        <w:rPr>
          <w:rFonts w:ascii="Times New Roman" w:eastAsia="宋体" w:hAnsi="Times New Roman" w:cs="Times New Roman"/>
          <w:sz w:val="24"/>
          <w:szCs w:val="24"/>
        </w:rPr>
        <w:t>, 60, 781.</w:t>
      </w:r>
    </w:p>
    <w:p w14:paraId="5CA5063B" w14:textId="16A6A920" w:rsidR="000419B6" w:rsidRPr="00BD4AFE" w:rsidRDefault="000C7E54"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eastAsia="宋体" w:hAnsi="Times New Roman" w:cs="Times New Roman"/>
          <w:sz w:val="24"/>
          <w:szCs w:val="24"/>
        </w:rPr>
        <w:t xml:space="preserve">K. </w:t>
      </w:r>
      <w:proofErr w:type="spellStart"/>
      <w:r w:rsidRPr="00BD4AFE">
        <w:rPr>
          <w:rFonts w:ascii="Times New Roman" w:eastAsia="宋体" w:hAnsi="Times New Roman" w:cs="Times New Roman"/>
          <w:sz w:val="24"/>
          <w:szCs w:val="24"/>
        </w:rPr>
        <w:t>Ueji</w:t>
      </w:r>
      <w:proofErr w:type="spellEnd"/>
      <w:r w:rsidRPr="00BD4AFE">
        <w:rPr>
          <w:rFonts w:ascii="Times New Roman" w:eastAsia="宋体" w:hAnsi="Times New Roman" w:cs="Times New Roman"/>
          <w:sz w:val="24"/>
          <w:szCs w:val="24"/>
        </w:rPr>
        <w:t xml:space="preserve">, M. Ohno, J. Takeya, and S. Watanabe. </w:t>
      </w:r>
      <w:r w:rsidRPr="00BD4AFE">
        <w:rPr>
          <w:rFonts w:ascii="Times New Roman" w:eastAsia="宋体" w:hAnsi="Times New Roman" w:cs="Times New Roman"/>
          <w:i/>
          <w:iCs/>
          <w:sz w:val="24"/>
          <w:szCs w:val="24"/>
        </w:rPr>
        <w:t>Appl. Phys. Express.</w:t>
      </w:r>
      <w:r w:rsidRPr="00BD4AFE">
        <w:rPr>
          <w:rFonts w:ascii="Times New Roman" w:eastAsia="宋体" w:hAnsi="Times New Roman" w:cs="Times New Roman"/>
          <w:sz w:val="24"/>
          <w:szCs w:val="24"/>
        </w:rPr>
        <w:t xml:space="preserve"> </w:t>
      </w:r>
      <w:r w:rsidRPr="00BD4AFE">
        <w:rPr>
          <w:rFonts w:ascii="Times New Roman" w:eastAsia="宋体" w:hAnsi="Times New Roman" w:cs="Times New Roman"/>
          <w:b/>
          <w:bCs/>
          <w:sz w:val="24"/>
          <w:szCs w:val="24"/>
        </w:rPr>
        <w:t>2019</w:t>
      </w:r>
      <w:r w:rsidRPr="00BD4AFE">
        <w:rPr>
          <w:rFonts w:ascii="Times New Roman" w:eastAsia="宋体" w:hAnsi="Times New Roman" w:cs="Times New Roman"/>
          <w:sz w:val="24"/>
          <w:szCs w:val="24"/>
        </w:rPr>
        <w:t>, 12, 011004.</w:t>
      </w:r>
    </w:p>
    <w:p w14:paraId="606C9E75" w14:textId="0B36C244"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lang w:val="de-DE"/>
        </w:rPr>
        <w:t xml:space="preserve">Y. Tian, Z. Qin, S. Zou, Y. Li, Y. Wang, W. Wang, C. Zhang, and J. Tang. </w:t>
      </w:r>
      <w:r w:rsidRPr="00BD4AFE">
        <w:rPr>
          <w:rFonts w:ascii="Times New Roman" w:hAnsi="Times New Roman" w:cs="Times New Roman"/>
          <w:i/>
          <w:iCs/>
          <w:sz w:val="24"/>
          <w:szCs w:val="24"/>
          <w:shd w:val="clear" w:color="auto" w:fill="FFFFFF"/>
        </w:rPr>
        <w:t>Mater. Today Energy</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2021</w:t>
      </w:r>
      <w:r w:rsidRPr="00BD4AFE">
        <w:rPr>
          <w:rFonts w:ascii="Times New Roman" w:hAnsi="Times New Roman" w:cs="Times New Roman"/>
          <w:sz w:val="24"/>
          <w:szCs w:val="24"/>
          <w:shd w:val="clear" w:color="auto" w:fill="FFFFFF"/>
        </w:rPr>
        <w:t>, 20, 100649.</w:t>
      </w:r>
    </w:p>
    <w:p w14:paraId="4207D7A1"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t xml:space="preserve">L. Zheng, G. Zhai, Y. Zhang, X. Jin, L Gao, Z. Yun, Y. Miao, H. Wang, Y. Wu, and B. She. </w:t>
      </w:r>
      <w:r w:rsidRPr="00BD4AFE">
        <w:rPr>
          <w:rFonts w:ascii="Times New Roman" w:hAnsi="Times New Roman" w:cs="Times New Roman"/>
          <w:i/>
          <w:iCs/>
          <w:sz w:val="24"/>
          <w:szCs w:val="24"/>
          <w:shd w:val="clear" w:color="auto" w:fill="FFFFFF"/>
        </w:rPr>
        <w:t>Superlattices Microstruct</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2020</w:t>
      </w:r>
      <w:r w:rsidRPr="00BD4AFE">
        <w:rPr>
          <w:rFonts w:ascii="Times New Roman" w:hAnsi="Times New Roman" w:cs="Times New Roman"/>
          <w:sz w:val="24"/>
          <w:szCs w:val="24"/>
          <w:shd w:val="clear" w:color="auto" w:fill="FFFFFF"/>
        </w:rPr>
        <w:t>, 140, 106460.</w:t>
      </w:r>
    </w:p>
    <w:p w14:paraId="41E80F42"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t xml:space="preserve">Lee H, Lee S, and Lee H. </w:t>
      </w:r>
      <w:r w:rsidRPr="00BD4AFE">
        <w:rPr>
          <w:rFonts w:ascii="Times New Roman" w:hAnsi="Times New Roman" w:cs="Times New Roman"/>
          <w:i/>
          <w:iCs/>
          <w:sz w:val="24"/>
          <w:szCs w:val="24"/>
          <w:shd w:val="clear" w:color="auto" w:fill="FFFFFF"/>
        </w:rPr>
        <w:t>ACS Appl. Mater. Interfaces</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2021</w:t>
      </w:r>
      <w:r w:rsidRPr="00BD4AFE">
        <w:rPr>
          <w:rFonts w:ascii="Times New Roman" w:hAnsi="Times New Roman" w:cs="Times New Roman"/>
          <w:sz w:val="24"/>
          <w:szCs w:val="24"/>
          <w:shd w:val="clear" w:color="auto" w:fill="FFFFFF"/>
        </w:rPr>
        <w:t>, 13, 21534.</w:t>
      </w:r>
    </w:p>
    <w:p w14:paraId="7E9E33A9"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eastAsia="宋体" w:hAnsi="Times New Roman" w:cs="Times New Roman"/>
          <w:sz w:val="24"/>
          <w:szCs w:val="24"/>
        </w:rPr>
        <w:t xml:space="preserve">C. Cheng, X. Sun, Z. Yao, C. Bi, X. Wei, J. Wang, and J. Tian. </w:t>
      </w:r>
      <w:r w:rsidRPr="00BD4AFE">
        <w:rPr>
          <w:rFonts w:ascii="Times New Roman" w:hAnsi="Times New Roman" w:cs="Times New Roman"/>
          <w:i/>
          <w:iCs/>
          <w:sz w:val="24"/>
          <w:szCs w:val="24"/>
          <w:shd w:val="clear" w:color="auto" w:fill="FFFFFF"/>
        </w:rPr>
        <w:t>Sci. China Mater</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2022</w:t>
      </w:r>
      <w:r w:rsidRPr="00BD4AFE">
        <w:rPr>
          <w:rFonts w:ascii="Times New Roman" w:hAnsi="Times New Roman" w:cs="Times New Roman"/>
          <w:sz w:val="24"/>
          <w:szCs w:val="24"/>
          <w:shd w:val="clear" w:color="auto" w:fill="FFFFFF"/>
        </w:rPr>
        <w:t>, Doi/10.1007/s40843-021-1976-9.</w:t>
      </w:r>
    </w:p>
    <w:p w14:paraId="1630CEB0"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eastAsia="宋体" w:hAnsi="Times New Roman" w:cs="Times New Roman"/>
          <w:sz w:val="24"/>
          <w:szCs w:val="24"/>
        </w:rPr>
        <w:t xml:space="preserve">Y. Zhu, Y. Liu, H. Hu, Z. Xu, J. Bai, K. Yang, T. Guo, F. Li. </w:t>
      </w:r>
      <w:r w:rsidRPr="00BD4AFE">
        <w:rPr>
          <w:rFonts w:ascii="Times New Roman" w:hAnsi="Times New Roman" w:cs="Times New Roman"/>
          <w:i/>
          <w:iCs/>
          <w:sz w:val="24"/>
          <w:szCs w:val="24"/>
          <w:shd w:val="clear" w:color="auto" w:fill="FFFFFF"/>
        </w:rPr>
        <w:t>Sci. China Mater</w:t>
      </w:r>
      <w:r w:rsidRPr="00BD4AFE">
        <w:rPr>
          <w:rFonts w:ascii="Times New Roman" w:hAnsi="Times New Roman" w:cs="Times New Roman"/>
          <w:sz w:val="24"/>
          <w:szCs w:val="24"/>
          <w:shd w:val="clear" w:color="auto" w:fill="FFFFFF"/>
        </w:rPr>
        <w:t>.</w:t>
      </w:r>
      <w:r w:rsidRPr="00BD4AFE">
        <w:rPr>
          <w:rFonts w:ascii="Times New Roman" w:eastAsia="宋体" w:hAnsi="Times New Roman" w:cs="Times New Roman"/>
          <w:sz w:val="24"/>
          <w:szCs w:val="24"/>
        </w:rPr>
        <w:t xml:space="preserve">, </w:t>
      </w:r>
      <w:r w:rsidRPr="00BD4AFE">
        <w:rPr>
          <w:rFonts w:ascii="Times New Roman" w:eastAsia="宋体" w:hAnsi="Times New Roman" w:cs="Times New Roman"/>
          <w:b/>
          <w:bCs/>
          <w:sz w:val="24"/>
          <w:szCs w:val="24"/>
        </w:rPr>
        <w:t>2022</w:t>
      </w:r>
      <w:r w:rsidRPr="00BD4AFE">
        <w:rPr>
          <w:rFonts w:ascii="Times New Roman" w:eastAsia="宋体" w:hAnsi="Times New Roman" w:cs="Times New Roman"/>
          <w:sz w:val="24"/>
          <w:szCs w:val="24"/>
        </w:rPr>
        <w:t>, 65, 1012.</w:t>
      </w:r>
    </w:p>
    <w:p w14:paraId="6975E5D1"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lastRenderedPageBreak/>
        <w:t xml:space="preserve">J. Song, T. Fang, J. Li, L. Xu, F. Zhang, B. Han, Q. Shan, H. Zeng. </w:t>
      </w:r>
      <w:r w:rsidRPr="00BD4AFE">
        <w:rPr>
          <w:rFonts w:ascii="Times New Roman" w:hAnsi="Times New Roman" w:cs="Times New Roman"/>
          <w:i/>
          <w:iCs/>
          <w:sz w:val="24"/>
          <w:szCs w:val="24"/>
          <w:shd w:val="clear" w:color="auto" w:fill="FFFFFF"/>
        </w:rPr>
        <w:t>Adv. Mater</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2018</w:t>
      </w:r>
      <w:r w:rsidRPr="00BD4AFE">
        <w:rPr>
          <w:rFonts w:ascii="Times New Roman" w:hAnsi="Times New Roman" w:cs="Times New Roman"/>
          <w:sz w:val="24"/>
          <w:szCs w:val="24"/>
          <w:shd w:val="clear" w:color="auto" w:fill="FFFFFF"/>
        </w:rPr>
        <w:t>, 30, 1805409.</w:t>
      </w:r>
    </w:p>
    <w:p w14:paraId="6AFE5F63"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t xml:space="preserve">W. Cao, C. Xiang, Y. Yang, Q. Chen, L. Chen, X. Yan, and L. Qian. </w:t>
      </w:r>
      <w:r w:rsidRPr="00BD4AFE">
        <w:rPr>
          <w:rFonts w:ascii="Times New Roman" w:hAnsi="Times New Roman" w:cs="Times New Roman"/>
          <w:i/>
          <w:iCs/>
          <w:sz w:val="24"/>
          <w:szCs w:val="24"/>
          <w:shd w:val="clear" w:color="auto" w:fill="FFFFFF"/>
        </w:rPr>
        <w:t>Nat. Commun</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2018</w:t>
      </w:r>
      <w:r w:rsidRPr="00BD4AFE">
        <w:rPr>
          <w:rFonts w:ascii="Times New Roman" w:hAnsi="Times New Roman" w:cs="Times New Roman"/>
          <w:sz w:val="24"/>
          <w:szCs w:val="24"/>
          <w:shd w:val="clear" w:color="auto" w:fill="FFFFFF"/>
        </w:rPr>
        <w:t>, 9, 1.</w:t>
      </w:r>
    </w:p>
    <w:p w14:paraId="47D6CAC0" w14:textId="0C4899D5" w:rsidR="00CD6D74" w:rsidRPr="00BD4AFE" w:rsidRDefault="00893A10"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eastAsia="宋体" w:hAnsi="Times New Roman" w:cs="Times New Roman"/>
          <w:sz w:val="24"/>
          <w:szCs w:val="24"/>
        </w:rPr>
        <w:t xml:space="preserve">P. </w:t>
      </w:r>
      <w:proofErr w:type="spellStart"/>
      <w:r w:rsidRPr="00BD4AFE">
        <w:rPr>
          <w:rFonts w:ascii="Times New Roman" w:eastAsia="宋体" w:hAnsi="Times New Roman" w:cs="Times New Roman"/>
          <w:sz w:val="24"/>
          <w:szCs w:val="24"/>
        </w:rPr>
        <w:t>Wellmann</w:t>
      </w:r>
      <w:proofErr w:type="spellEnd"/>
      <w:r w:rsidRPr="00BD4AFE">
        <w:rPr>
          <w:rFonts w:ascii="Times New Roman" w:eastAsia="宋体" w:hAnsi="Times New Roman" w:cs="Times New Roman"/>
          <w:sz w:val="24"/>
          <w:szCs w:val="24"/>
        </w:rPr>
        <w:t xml:space="preserve">, M. </w:t>
      </w:r>
      <w:r w:rsidR="00C07892" w:rsidRPr="00BD4AFE">
        <w:rPr>
          <w:rFonts w:ascii="Times New Roman" w:eastAsia="宋体" w:hAnsi="Times New Roman" w:cs="Times New Roman"/>
          <w:sz w:val="24"/>
          <w:szCs w:val="24"/>
        </w:rPr>
        <w:t xml:space="preserve">Hofmann, </w:t>
      </w:r>
      <w:r w:rsidR="00A8333F" w:rsidRPr="00BD4AFE">
        <w:rPr>
          <w:rFonts w:ascii="Times New Roman" w:eastAsia="宋体" w:hAnsi="Times New Roman" w:cs="Times New Roman"/>
          <w:sz w:val="24"/>
          <w:szCs w:val="24"/>
        </w:rPr>
        <w:t xml:space="preserve">O. </w:t>
      </w:r>
      <w:proofErr w:type="spellStart"/>
      <w:r w:rsidR="00A8333F" w:rsidRPr="00BD4AFE">
        <w:rPr>
          <w:rFonts w:ascii="Times New Roman" w:eastAsia="宋体" w:hAnsi="Times New Roman" w:cs="Times New Roman"/>
          <w:sz w:val="24"/>
          <w:szCs w:val="24"/>
        </w:rPr>
        <w:t>Zei</w:t>
      </w:r>
      <w:r w:rsidR="00C72444" w:rsidRPr="00BD4AFE">
        <w:rPr>
          <w:rFonts w:ascii="Times New Roman" w:eastAsia="宋体" w:hAnsi="Times New Roman" w:cs="Times New Roman"/>
          <w:sz w:val="24"/>
          <w:szCs w:val="24"/>
        </w:rPr>
        <w:t>ka</w:t>
      </w:r>
      <w:proofErr w:type="spellEnd"/>
      <w:r w:rsidR="00A8333F" w:rsidRPr="00BD4AFE">
        <w:rPr>
          <w:rFonts w:ascii="Times New Roman" w:eastAsia="宋体" w:hAnsi="Times New Roman" w:cs="Times New Roman"/>
          <w:sz w:val="24"/>
          <w:szCs w:val="24"/>
        </w:rPr>
        <w:t xml:space="preserve">, </w:t>
      </w:r>
      <w:r w:rsidR="008D4FBB" w:rsidRPr="00BD4AFE">
        <w:rPr>
          <w:rFonts w:ascii="Times New Roman" w:eastAsia="宋体" w:hAnsi="Times New Roman" w:cs="Times New Roman"/>
          <w:sz w:val="24"/>
          <w:szCs w:val="24"/>
        </w:rPr>
        <w:t xml:space="preserve">A. </w:t>
      </w:r>
      <w:r w:rsidR="003723CD" w:rsidRPr="00BD4AFE">
        <w:rPr>
          <w:rFonts w:ascii="Times New Roman" w:eastAsia="宋体" w:hAnsi="Times New Roman" w:cs="Times New Roman"/>
          <w:sz w:val="24"/>
          <w:szCs w:val="24"/>
        </w:rPr>
        <w:t xml:space="preserve">Werner, </w:t>
      </w:r>
      <w:r w:rsidR="00695E07" w:rsidRPr="00BD4AFE">
        <w:rPr>
          <w:rFonts w:ascii="Times New Roman" w:eastAsia="宋体" w:hAnsi="Times New Roman" w:cs="Times New Roman"/>
          <w:sz w:val="24"/>
          <w:szCs w:val="24"/>
        </w:rPr>
        <w:t xml:space="preserve">and </w:t>
      </w:r>
      <w:r w:rsidR="00DF20A3" w:rsidRPr="00BD4AFE">
        <w:rPr>
          <w:rFonts w:ascii="Times New Roman" w:eastAsia="宋体" w:hAnsi="Times New Roman" w:cs="Times New Roman"/>
          <w:sz w:val="24"/>
          <w:szCs w:val="24"/>
        </w:rPr>
        <w:t xml:space="preserve">K. Leo. </w:t>
      </w:r>
      <w:r w:rsidR="00DB2152" w:rsidRPr="00BD4AFE">
        <w:rPr>
          <w:rFonts w:ascii="Times New Roman" w:eastAsia="宋体" w:hAnsi="Times New Roman" w:cs="Times New Roman"/>
          <w:i/>
          <w:iCs/>
          <w:sz w:val="24"/>
          <w:szCs w:val="24"/>
        </w:rPr>
        <w:t>J Soc Inf Display</w:t>
      </w:r>
      <w:r w:rsidR="00DB2152" w:rsidRPr="00BD4AFE">
        <w:rPr>
          <w:rFonts w:ascii="Times New Roman" w:eastAsia="宋体" w:hAnsi="Times New Roman" w:cs="Times New Roman"/>
          <w:sz w:val="24"/>
          <w:szCs w:val="24"/>
        </w:rPr>
        <w:t xml:space="preserve">, </w:t>
      </w:r>
      <w:r w:rsidR="00DB2152" w:rsidRPr="00BD4AFE">
        <w:rPr>
          <w:rFonts w:ascii="Times New Roman" w:eastAsia="宋体" w:hAnsi="Times New Roman" w:cs="Times New Roman"/>
          <w:b/>
          <w:bCs/>
          <w:sz w:val="24"/>
          <w:szCs w:val="24"/>
        </w:rPr>
        <w:t>2005</w:t>
      </w:r>
      <w:r w:rsidR="00DB2152" w:rsidRPr="00BD4AFE">
        <w:rPr>
          <w:rFonts w:ascii="Times New Roman" w:eastAsia="宋体" w:hAnsi="Times New Roman" w:cs="Times New Roman"/>
          <w:sz w:val="24"/>
          <w:szCs w:val="24"/>
        </w:rPr>
        <w:t>, 13, 393</w:t>
      </w:r>
      <w:r w:rsidR="0018173D" w:rsidRPr="00BD4AFE">
        <w:rPr>
          <w:rFonts w:ascii="Times New Roman" w:eastAsia="宋体" w:hAnsi="Times New Roman" w:cs="Times New Roman"/>
          <w:sz w:val="24"/>
          <w:szCs w:val="24"/>
        </w:rPr>
        <w:t>.</w:t>
      </w:r>
    </w:p>
    <w:p w14:paraId="3B9E3859" w14:textId="5ABE0BC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lang w:val="de-DE"/>
        </w:rPr>
        <w:t xml:space="preserve">S. Wang, X. Dou, L. Chen, Y. Fang, A. Wang, H. Shen, and Z. Du. </w:t>
      </w:r>
      <w:r w:rsidRPr="00BD4AFE">
        <w:rPr>
          <w:rFonts w:ascii="Times New Roman" w:hAnsi="Times New Roman" w:cs="Times New Roman"/>
          <w:i/>
          <w:iCs/>
          <w:sz w:val="24"/>
          <w:szCs w:val="24"/>
          <w:shd w:val="clear" w:color="auto" w:fill="FFFFFF"/>
        </w:rPr>
        <w:t>Nanoscale</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2018</w:t>
      </w:r>
      <w:r w:rsidRPr="00BD4AFE">
        <w:rPr>
          <w:rFonts w:ascii="Times New Roman" w:hAnsi="Times New Roman" w:cs="Times New Roman"/>
          <w:sz w:val="24"/>
          <w:szCs w:val="24"/>
          <w:shd w:val="clear" w:color="auto" w:fill="FFFFFF"/>
        </w:rPr>
        <w:t>, 10, 11651.</w:t>
      </w:r>
    </w:p>
    <w:p w14:paraId="3FE49103" w14:textId="46A5EA2A"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t xml:space="preserve">L. Xu, Q. Ou, Y. Li, Y. Zhang, X. Zhao, H. Xiang, J. Chen, L. Zhou, S. Lee, and J. Tang. </w:t>
      </w:r>
      <w:r w:rsidRPr="00BD4AFE">
        <w:rPr>
          <w:rFonts w:ascii="Times New Roman" w:hAnsi="Times New Roman" w:cs="Times New Roman"/>
          <w:i/>
          <w:iCs/>
          <w:sz w:val="24"/>
          <w:szCs w:val="24"/>
          <w:shd w:val="clear" w:color="auto" w:fill="FFFFFF"/>
        </w:rPr>
        <w:t>ACS Nano</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2016</w:t>
      </w:r>
      <w:r w:rsidRPr="00BD4AFE">
        <w:rPr>
          <w:rFonts w:ascii="Times New Roman" w:hAnsi="Times New Roman" w:cs="Times New Roman"/>
          <w:sz w:val="24"/>
          <w:szCs w:val="24"/>
          <w:shd w:val="clear" w:color="auto" w:fill="FFFFFF"/>
        </w:rPr>
        <w:t>, 10, 1625.</w:t>
      </w:r>
    </w:p>
    <w:p w14:paraId="3E9C0265"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t xml:space="preserve">Y. Liu, M. An, X. Zhang, Y. Bi, D. Yin, Y. Zhang, J. Feng, and H. Sun. </w:t>
      </w:r>
      <w:r w:rsidRPr="00BD4AFE">
        <w:rPr>
          <w:rFonts w:ascii="Times New Roman" w:hAnsi="Times New Roman" w:cs="Times New Roman"/>
          <w:i/>
          <w:iCs/>
          <w:sz w:val="24"/>
          <w:szCs w:val="24"/>
          <w:shd w:val="clear" w:color="auto" w:fill="FFFFFF"/>
        </w:rPr>
        <w:t>Appl. Phys. Lett</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2016</w:t>
      </w:r>
      <w:r w:rsidRPr="00BD4AFE">
        <w:rPr>
          <w:rFonts w:ascii="Times New Roman" w:hAnsi="Times New Roman" w:cs="Times New Roman"/>
          <w:sz w:val="24"/>
          <w:szCs w:val="24"/>
          <w:shd w:val="clear" w:color="auto" w:fill="FFFFFF"/>
        </w:rPr>
        <w:t>, 109, 193301.</w:t>
      </w:r>
    </w:p>
    <w:p w14:paraId="0214C286"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 w:val="24"/>
          <w:szCs w:val="24"/>
        </w:rPr>
      </w:pPr>
      <w:r w:rsidRPr="00BD4AFE">
        <w:rPr>
          <w:rFonts w:ascii="Times New Roman" w:hAnsi="Times New Roman" w:cs="Times New Roman"/>
          <w:sz w:val="24"/>
          <w:szCs w:val="24"/>
          <w:shd w:val="clear" w:color="auto" w:fill="FFFFFF"/>
        </w:rPr>
        <w:t xml:space="preserve">Möller S, Forrest S R. </w:t>
      </w:r>
      <w:r w:rsidRPr="00BD4AFE">
        <w:rPr>
          <w:rFonts w:ascii="Times New Roman" w:hAnsi="Times New Roman" w:cs="Times New Roman"/>
          <w:i/>
          <w:iCs/>
          <w:sz w:val="24"/>
          <w:szCs w:val="24"/>
          <w:shd w:val="clear" w:color="auto" w:fill="FFFFFF"/>
        </w:rPr>
        <w:t>J. Appl. Phys.</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2002</w:t>
      </w:r>
      <w:r w:rsidRPr="00BD4AFE">
        <w:rPr>
          <w:rFonts w:ascii="Times New Roman" w:hAnsi="Times New Roman" w:cs="Times New Roman"/>
          <w:sz w:val="24"/>
          <w:szCs w:val="24"/>
          <w:shd w:val="clear" w:color="auto" w:fill="FFFFFF"/>
        </w:rPr>
        <w:t>, 91, 3324.</w:t>
      </w:r>
    </w:p>
    <w:p w14:paraId="71773C62" w14:textId="77777777" w:rsidR="0054765A" w:rsidRPr="00BD4AFE" w:rsidRDefault="0054765A" w:rsidP="0054765A">
      <w:pPr>
        <w:pStyle w:val="af1"/>
        <w:numPr>
          <w:ilvl w:val="0"/>
          <w:numId w:val="2"/>
        </w:numPr>
        <w:spacing w:line="360" w:lineRule="auto"/>
        <w:ind w:firstLineChars="0"/>
        <w:rPr>
          <w:rFonts w:ascii="Times New Roman" w:eastAsia="宋体" w:hAnsi="Times New Roman" w:cs="Times New Roman"/>
          <w:szCs w:val="21"/>
        </w:rPr>
      </w:pPr>
      <w:r w:rsidRPr="00BD4AFE">
        <w:rPr>
          <w:rFonts w:ascii="Times New Roman" w:hAnsi="Times New Roman" w:cs="Times New Roman"/>
          <w:sz w:val="24"/>
          <w:szCs w:val="24"/>
          <w:shd w:val="clear" w:color="auto" w:fill="FFFFFF"/>
        </w:rPr>
        <w:t xml:space="preserve">L. Zhou, X. Jiang, Y. Li, A. Shi, J. Chen, Q. Ou, H. Liu, and J. Tang. </w:t>
      </w:r>
      <w:r w:rsidRPr="00BD4AFE">
        <w:rPr>
          <w:rFonts w:ascii="Times New Roman" w:hAnsi="Times New Roman" w:cs="Times New Roman"/>
          <w:i/>
          <w:iCs/>
          <w:sz w:val="24"/>
          <w:szCs w:val="24"/>
          <w:shd w:val="clear" w:color="auto" w:fill="FFFFFF"/>
        </w:rPr>
        <w:t>ACS Appl. Mater. Interfaces</w:t>
      </w:r>
      <w:r w:rsidRPr="00BD4AFE">
        <w:rPr>
          <w:rFonts w:ascii="Times New Roman" w:hAnsi="Times New Roman" w:cs="Times New Roman"/>
          <w:sz w:val="24"/>
          <w:szCs w:val="24"/>
          <w:shd w:val="clear" w:color="auto" w:fill="FFFFFF"/>
        </w:rPr>
        <w:t xml:space="preserve">. </w:t>
      </w:r>
      <w:r w:rsidRPr="00BD4AFE">
        <w:rPr>
          <w:rFonts w:ascii="Times New Roman" w:hAnsi="Times New Roman" w:cs="Times New Roman"/>
          <w:b/>
          <w:bCs/>
          <w:sz w:val="24"/>
          <w:szCs w:val="24"/>
          <w:shd w:val="clear" w:color="auto" w:fill="FFFFFF"/>
        </w:rPr>
        <w:t>2014</w:t>
      </w:r>
      <w:r w:rsidRPr="00BD4AFE">
        <w:rPr>
          <w:rFonts w:ascii="Times New Roman" w:hAnsi="Times New Roman" w:cs="Times New Roman"/>
          <w:sz w:val="24"/>
          <w:szCs w:val="24"/>
          <w:shd w:val="clear" w:color="auto" w:fill="FFFFFF"/>
        </w:rPr>
        <w:t>, 6, 18139.</w:t>
      </w:r>
    </w:p>
    <w:p w14:paraId="479F45B1" w14:textId="77777777" w:rsidR="004A7D3E" w:rsidRPr="009E62F8" w:rsidRDefault="004A7D3E" w:rsidP="0054765A">
      <w:pPr>
        <w:rPr>
          <w:lang w:val="en-US"/>
        </w:rPr>
      </w:pPr>
    </w:p>
    <w:sectPr w:rsidR="004A7D3E" w:rsidRPr="009E62F8" w:rsidSect="00404548">
      <w:headerReference w:type="default" r:id="rId15"/>
      <w:footerReference w:type="default" r:id="rId16"/>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0E282" w14:textId="77777777" w:rsidR="000B2CBB" w:rsidRDefault="000B2CBB">
      <w:r>
        <w:separator/>
      </w:r>
    </w:p>
  </w:endnote>
  <w:endnote w:type="continuationSeparator" w:id="0">
    <w:p w14:paraId="04E4E7B0" w14:textId="77777777" w:rsidR="000B2CBB" w:rsidRDefault="000B2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2"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7B7A09" w:rsidRDefault="007B7A09">
    <w:pPr>
      <w:pStyle w:val="a7"/>
      <w:jc w:val="center"/>
    </w:pPr>
    <w:r>
      <w:fldChar w:fldCharType="begin"/>
    </w:r>
    <w:r>
      <w:instrText>PAGE   \* MERGEFORMAT</w:instrText>
    </w:r>
    <w:r>
      <w:fldChar w:fldCharType="separate"/>
    </w:r>
    <w:r w:rsidR="00302E7A">
      <w:rPr>
        <w:noProof/>
      </w:rPr>
      <w:t>2</w:t>
    </w:r>
    <w:r>
      <w:fldChar w:fldCharType="end"/>
    </w:r>
  </w:p>
  <w:p w14:paraId="76AE581B" w14:textId="77777777" w:rsidR="00562E2B" w:rsidRDefault="00562E2B" w:rsidP="00881456">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0BD39" w14:textId="77777777" w:rsidR="000B2CBB" w:rsidRDefault="000B2CBB">
      <w:r>
        <w:separator/>
      </w:r>
    </w:p>
  </w:footnote>
  <w:footnote w:type="continuationSeparator" w:id="0">
    <w:p w14:paraId="506E2C54" w14:textId="77777777" w:rsidR="000B2CBB" w:rsidRDefault="000B2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77777777" w:rsidR="00562E2B" w:rsidRPr="009B44CC" w:rsidRDefault="00562E2B" w:rsidP="009B44CC">
    <w:pPr>
      <w:pStyle w:val="a5"/>
      <w:tabs>
        <w:tab w:val="left" w:pos="5003"/>
      </w:tabs>
      <w:jc w:val="right"/>
      <w:rPr>
        <w:lang w:val="en-US"/>
      </w:rPr>
    </w:pPr>
    <w:r>
      <w:tab/>
    </w:r>
    <w:r w:rsidR="00C56CD4" w:rsidRPr="00302E7A">
      <w:rPr>
        <w:noProof/>
        <w:lang w:val="en-US" w:eastAsia="en-US"/>
      </w:rPr>
      <w:drawing>
        <wp:inline distT="0" distB="0" distL="0" distR="0" wp14:anchorId="08A47E0E" wp14:editId="2984969C">
          <wp:extent cx="1488440" cy="414655"/>
          <wp:effectExtent l="0" t="0" r="0" b="0"/>
          <wp:docPr id="2"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45DC0"/>
    <w:multiLevelType w:val="hybridMultilevel"/>
    <w:tmpl w:val="8CE21C2A"/>
    <w:lvl w:ilvl="0" w:tplc="FA2AB022">
      <w:start w:val="1"/>
      <w:numFmt w:val="decimal"/>
      <w:lvlText w:val="%1."/>
      <w:lvlJc w:val="left"/>
      <w:pPr>
        <w:tabs>
          <w:tab w:val="num" w:pos="720"/>
        </w:tabs>
        <w:ind w:left="720" w:hanging="360"/>
      </w:pPr>
    </w:lvl>
    <w:lvl w:ilvl="1" w:tplc="A926AE38" w:tentative="1">
      <w:start w:val="1"/>
      <w:numFmt w:val="decimal"/>
      <w:lvlText w:val="%2."/>
      <w:lvlJc w:val="left"/>
      <w:pPr>
        <w:tabs>
          <w:tab w:val="num" w:pos="1440"/>
        </w:tabs>
        <w:ind w:left="1440" w:hanging="360"/>
      </w:pPr>
    </w:lvl>
    <w:lvl w:ilvl="2" w:tplc="30C6912E" w:tentative="1">
      <w:start w:val="1"/>
      <w:numFmt w:val="decimal"/>
      <w:lvlText w:val="%3."/>
      <w:lvlJc w:val="left"/>
      <w:pPr>
        <w:tabs>
          <w:tab w:val="num" w:pos="2160"/>
        </w:tabs>
        <w:ind w:left="2160" w:hanging="360"/>
      </w:pPr>
    </w:lvl>
    <w:lvl w:ilvl="3" w:tplc="21923A62" w:tentative="1">
      <w:start w:val="1"/>
      <w:numFmt w:val="decimal"/>
      <w:lvlText w:val="%4."/>
      <w:lvlJc w:val="left"/>
      <w:pPr>
        <w:tabs>
          <w:tab w:val="num" w:pos="2880"/>
        </w:tabs>
        <w:ind w:left="2880" w:hanging="360"/>
      </w:pPr>
    </w:lvl>
    <w:lvl w:ilvl="4" w:tplc="47AAC31E" w:tentative="1">
      <w:start w:val="1"/>
      <w:numFmt w:val="decimal"/>
      <w:lvlText w:val="%5."/>
      <w:lvlJc w:val="left"/>
      <w:pPr>
        <w:tabs>
          <w:tab w:val="num" w:pos="3600"/>
        </w:tabs>
        <w:ind w:left="3600" w:hanging="360"/>
      </w:pPr>
    </w:lvl>
    <w:lvl w:ilvl="5" w:tplc="F956DEB4" w:tentative="1">
      <w:start w:val="1"/>
      <w:numFmt w:val="decimal"/>
      <w:lvlText w:val="%6."/>
      <w:lvlJc w:val="left"/>
      <w:pPr>
        <w:tabs>
          <w:tab w:val="num" w:pos="4320"/>
        </w:tabs>
        <w:ind w:left="4320" w:hanging="360"/>
      </w:pPr>
    </w:lvl>
    <w:lvl w:ilvl="6" w:tplc="35705254" w:tentative="1">
      <w:start w:val="1"/>
      <w:numFmt w:val="decimal"/>
      <w:lvlText w:val="%7."/>
      <w:lvlJc w:val="left"/>
      <w:pPr>
        <w:tabs>
          <w:tab w:val="num" w:pos="5040"/>
        </w:tabs>
        <w:ind w:left="5040" w:hanging="360"/>
      </w:pPr>
    </w:lvl>
    <w:lvl w:ilvl="7" w:tplc="CFF6BC4C" w:tentative="1">
      <w:start w:val="1"/>
      <w:numFmt w:val="decimal"/>
      <w:lvlText w:val="%8."/>
      <w:lvlJc w:val="left"/>
      <w:pPr>
        <w:tabs>
          <w:tab w:val="num" w:pos="5760"/>
        </w:tabs>
        <w:ind w:left="5760" w:hanging="360"/>
      </w:pPr>
    </w:lvl>
    <w:lvl w:ilvl="8" w:tplc="21AC23FA" w:tentative="1">
      <w:start w:val="1"/>
      <w:numFmt w:val="decimal"/>
      <w:lvlText w:val="%9."/>
      <w:lvlJc w:val="left"/>
      <w:pPr>
        <w:tabs>
          <w:tab w:val="num" w:pos="6480"/>
        </w:tabs>
        <w:ind w:left="6480" w:hanging="360"/>
      </w:pPr>
    </w:lvl>
  </w:abstractNum>
  <w:abstractNum w:abstractNumId="1" w15:restartNumberingAfterBreak="0">
    <w:nsid w:val="73A13712"/>
    <w:multiLevelType w:val="hybridMultilevel"/>
    <w:tmpl w:val="E6DC3046"/>
    <w:lvl w:ilvl="0" w:tplc="3A7859B2">
      <w:start w:val="1"/>
      <w:numFmt w:val="decimal"/>
      <w:lvlText w:val="[%1]"/>
      <w:lvlJc w:val="left"/>
      <w:pPr>
        <w:ind w:left="420" w:hanging="420"/>
      </w:pPr>
      <w:rPr>
        <w:rFonts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33314403">
    <w:abstractNumId w:val="0"/>
  </w:num>
  <w:num w:numId="2" w16cid:durableId="1493570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removePersonalInformation/>
  <w:removeDateAndTim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yM7AwNzQ3MjU1M7ZU0lEKTi0uzszPAymwqAUA29k45ywAAAA="/>
  </w:docVars>
  <w:rsids>
    <w:rsidRoot w:val="002D16A0"/>
    <w:rsid w:val="000003BB"/>
    <w:rsid w:val="0000374D"/>
    <w:rsid w:val="00004A23"/>
    <w:rsid w:val="00006A0A"/>
    <w:rsid w:val="0000703E"/>
    <w:rsid w:val="00010E9E"/>
    <w:rsid w:val="000112FC"/>
    <w:rsid w:val="000118B0"/>
    <w:rsid w:val="00011F40"/>
    <w:rsid w:val="0001454A"/>
    <w:rsid w:val="0001683C"/>
    <w:rsid w:val="000168BB"/>
    <w:rsid w:val="000172E7"/>
    <w:rsid w:val="000214A8"/>
    <w:rsid w:val="00023F64"/>
    <w:rsid w:val="00026C7E"/>
    <w:rsid w:val="00026F5A"/>
    <w:rsid w:val="00027BF0"/>
    <w:rsid w:val="00027DCD"/>
    <w:rsid w:val="00027FB5"/>
    <w:rsid w:val="000314D2"/>
    <w:rsid w:val="000317A0"/>
    <w:rsid w:val="0003318F"/>
    <w:rsid w:val="0003728A"/>
    <w:rsid w:val="0004094E"/>
    <w:rsid w:val="00040B7B"/>
    <w:rsid w:val="000419B6"/>
    <w:rsid w:val="00041C1B"/>
    <w:rsid w:val="00042B82"/>
    <w:rsid w:val="000437F7"/>
    <w:rsid w:val="000508C7"/>
    <w:rsid w:val="00050985"/>
    <w:rsid w:val="00053057"/>
    <w:rsid w:val="0005501E"/>
    <w:rsid w:val="00055883"/>
    <w:rsid w:val="000571EF"/>
    <w:rsid w:val="0006044D"/>
    <w:rsid w:val="00060CAB"/>
    <w:rsid w:val="00060D37"/>
    <w:rsid w:val="000621E1"/>
    <w:rsid w:val="00062324"/>
    <w:rsid w:val="00063C0E"/>
    <w:rsid w:val="00066757"/>
    <w:rsid w:val="00066ED8"/>
    <w:rsid w:val="00070C41"/>
    <w:rsid w:val="0007106A"/>
    <w:rsid w:val="00072EA7"/>
    <w:rsid w:val="00073B39"/>
    <w:rsid w:val="00076EAD"/>
    <w:rsid w:val="0008287E"/>
    <w:rsid w:val="00083031"/>
    <w:rsid w:val="0008740B"/>
    <w:rsid w:val="000904D3"/>
    <w:rsid w:val="0009309C"/>
    <w:rsid w:val="00093F1B"/>
    <w:rsid w:val="000A100B"/>
    <w:rsid w:val="000A1F4B"/>
    <w:rsid w:val="000A21A9"/>
    <w:rsid w:val="000A3E93"/>
    <w:rsid w:val="000A472C"/>
    <w:rsid w:val="000A5773"/>
    <w:rsid w:val="000A682F"/>
    <w:rsid w:val="000A6C31"/>
    <w:rsid w:val="000A73B1"/>
    <w:rsid w:val="000A761C"/>
    <w:rsid w:val="000B05A0"/>
    <w:rsid w:val="000B2CBB"/>
    <w:rsid w:val="000B2DEE"/>
    <w:rsid w:val="000B33EE"/>
    <w:rsid w:val="000B4293"/>
    <w:rsid w:val="000B7F0C"/>
    <w:rsid w:val="000C259E"/>
    <w:rsid w:val="000C3E0C"/>
    <w:rsid w:val="000C6252"/>
    <w:rsid w:val="000C6F8A"/>
    <w:rsid w:val="000C7E54"/>
    <w:rsid w:val="000D2445"/>
    <w:rsid w:val="000D2D4B"/>
    <w:rsid w:val="000D4544"/>
    <w:rsid w:val="000D45F4"/>
    <w:rsid w:val="000D5AB4"/>
    <w:rsid w:val="000D66DB"/>
    <w:rsid w:val="000D6FF1"/>
    <w:rsid w:val="000D7EBA"/>
    <w:rsid w:val="000E28DF"/>
    <w:rsid w:val="000E45C0"/>
    <w:rsid w:val="000E788B"/>
    <w:rsid w:val="000E7A5B"/>
    <w:rsid w:val="000E7BBA"/>
    <w:rsid w:val="000F512F"/>
    <w:rsid w:val="001013F4"/>
    <w:rsid w:val="001054D4"/>
    <w:rsid w:val="0010686C"/>
    <w:rsid w:val="00107C5F"/>
    <w:rsid w:val="00107CCC"/>
    <w:rsid w:val="00110011"/>
    <w:rsid w:val="001105BD"/>
    <w:rsid w:val="001132B3"/>
    <w:rsid w:val="00116C82"/>
    <w:rsid w:val="00120BE6"/>
    <w:rsid w:val="00120E85"/>
    <w:rsid w:val="00123ADA"/>
    <w:rsid w:val="001244E8"/>
    <w:rsid w:val="00125573"/>
    <w:rsid w:val="0012642A"/>
    <w:rsid w:val="00126D17"/>
    <w:rsid w:val="001305BF"/>
    <w:rsid w:val="00131D58"/>
    <w:rsid w:val="001370B1"/>
    <w:rsid w:val="001377CA"/>
    <w:rsid w:val="00140B94"/>
    <w:rsid w:val="00141499"/>
    <w:rsid w:val="001443F8"/>
    <w:rsid w:val="001450FB"/>
    <w:rsid w:val="00145442"/>
    <w:rsid w:val="0014658A"/>
    <w:rsid w:val="00146C9E"/>
    <w:rsid w:val="00147DB8"/>
    <w:rsid w:val="00150479"/>
    <w:rsid w:val="00150F74"/>
    <w:rsid w:val="00151683"/>
    <w:rsid w:val="00153578"/>
    <w:rsid w:val="0015392F"/>
    <w:rsid w:val="0015563E"/>
    <w:rsid w:val="00155F66"/>
    <w:rsid w:val="001623D8"/>
    <w:rsid w:val="0016390D"/>
    <w:rsid w:val="00164057"/>
    <w:rsid w:val="00165B37"/>
    <w:rsid w:val="00170369"/>
    <w:rsid w:val="00173757"/>
    <w:rsid w:val="00174176"/>
    <w:rsid w:val="001770A2"/>
    <w:rsid w:val="00181088"/>
    <w:rsid w:val="0018173D"/>
    <w:rsid w:val="00181D92"/>
    <w:rsid w:val="001823B6"/>
    <w:rsid w:val="001848EB"/>
    <w:rsid w:val="00185BA9"/>
    <w:rsid w:val="00185E18"/>
    <w:rsid w:val="00187DB9"/>
    <w:rsid w:val="0019077D"/>
    <w:rsid w:val="0019194D"/>
    <w:rsid w:val="00191C59"/>
    <w:rsid w:val="00191E94"/>
    <w:rsid w:val="00196D4A"/>
    <w:rsid w:val="0019723B"/>
    <w:rsid w:val="00197C91"/>
    <w:rsid w:val="001A4240"/>
    <w:rsid w:val="001A6821"/>
    <w:rsid w:val="001A734D"/>
    <w:rsid w:val="001B1501"/>
    <w:rsid w:val="001B4224"/>
    <w:rsid w:val="001B7472"/>
    <w:rsid w:val="001C10AC"/>
    <w:rsid w:val="001C55FB"/>
    <w:rsid w:val="001D12BC"/>
    <w:rsid w:val="001D3016"/>
    <w:rsid w:val="001D561D"/>
    <w:rsid w:val="001E18CC"/>
    <w:rsid w:val="001E3D2D"/>
    <w:rsid w:val="001E4605"/>
    <w:rsid w:val="001E5158"/>
    <w:rsid w:val="001E5F4E"/>
    <w:rsid w:val="001F106C"/>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0749F"/>
    <w:rsid w:val="00210140"/>
    <w:rsid w:val="00211942"/>
    <w:rsid w:val="002140CE"/>
    <w:rsid w:val="00214D95"/>
    <w:rsid w:val="00215531"/>
    <w:rsid w:val="002162B2"/>
    <w:rsid w:val="00216F54"/>
    <w:rsid w:val="00220933"/>
    <w:rsid w:val="00220C72"/>
    <w:rsid w:val="0022540C"/>
    <w:rsid w:val="00226AA4"/>
    <w:rsid w:val="002309BA"/>
    <w:rsid w:val="00233C8A"/>
    <w:rsid w:val="00236036"/>
    <w:rsid w:val="00240D90"/>
    <w:rsid w:val="0024163D"/>
    <w:rsid w:val="00243848"/>
    <w:rsid w:val="00252BDB"/>
    <w:rsid w:val="00253CB1"/>
    <w:rsid w:val="002543F9"/>
    <w:rsid w:val="00257ADD"/>
    <w:rsid w:val="00263723"/>
    <w:rsid w:val="00263CF8"/>
    <w:rsid w:val="002648E0"/>
    <w:rsid w:val="00265635"/>
    <w:rsid w:val="00265951"/>
    <w:rsid w:val="00266389"/>
    <w:rsid w:val="00266FD6"/>
    <w:rsid w:val="002675F7"/>
    <w:rsid w:val="002723B5"/>
    <w:rsid w:val="002725A5"/>
    <w:rsid w:val="0027314F"/>
    <w:rsid w:val="0028289F"/>
    <w:rsid w:val="00284157"/>
    <w:rsid w:val="00285631"/>
    <w:rsid w:val="002870F1"/>
    <w:rsid w:val="0028750D"/>
    <w:rsid w:val="00290D94"/>
    <w:rsid w:val="0029203C"/>
    <w:rsid w:val="00294873"/>
    <w:rsid w:val="002A1AF1"/>
    <w:rsid w:val="002A4A81"/>
    <w:rsid w:val="002A698A"/>
    <w:rsid w:val="002A73A2"/>
    <w:rsid w:val="002A7440"/>
    <w:rsid w:val="002A7CE8"/>
    <w:rsid w:val="002B0671"/>
    <w:rsid w:val="002B262F"/>
    <w:rsid w:val="002B2711"/>
    <w:rsid w:val="002B3553"/>
    <w:rsid w:val="002B5E06"/>
    <w:rsid w:val="002B61FD"/>
    <w:rsid w:val="002B7052"/>
    <w:rsid w:val="002B75D6"/>
    <w:rsid w:val="002C0CFF"/>
    <w:rsid w:val="002C4539"/>
    <w:rsid w:val="002D09B9"/>
    <w:rsid w:val="002D16A0"/>
    <w:rsid w:val="002D2930"/>
    <w:rsid w:val="002D2DFF"/>
    <w:rsid w:val="002D2FFE"/>
    <w:rsid w:val="002D3B81"/>
    <w:rsid w:val="002D3C02"/>
    <w:rsid w:val="002D3D6D"/>
    <w:rsid w:val="002D5BF8"/>
    <w:rsid w:val="002D6C40"/>
    <w:rsid w:val="002D7ECC"/>
    <w:rsid w:val="002E110E"/>
    <w:rsid w:val="002E1B8F"/>
    <w:rsid w:val="002E2DEF"/>
    <w:rsid w:val="002E4E3E"/>
    <w:rsid w:val="002E76B2"/>
    <w:rsid w:val="002E79A2"/>
    <w:rsid w:val="002F4598"/>
    <w:rsid w:val="002F4F4B"/>
    <w:rsid w:val="002F55FD"/>
    <w:rsid w:val="002F594C"/>
    <w:rsid w:val="00301984"/>
    <w:rsid w:val="00301B0B"/>
    <w:rsid w:val="00301E84"/>
    <w:rsid w:val="00302E7A"/>
    <w:rsid w:val="00303D1B"/>
    <w:rsid w:val="003046B7"/>
    <w:rsid w:val="00305556"/>
    <w:rsid w:val="0031102B"/>
    <w:rsid w:val="00317A57"/>
    <w:rsid w:val="00320A99"/>
    <w:rsid w:val="0032144B"/>
    <w:rsid w:val="00321E38"/>
    <w:rsid w:val="00322D5B"/>
    <w:rsid w:val="00325AC2"/>
    <w:rsid w:val="00326A1C"/>
    <w:rsid w:val="00327FDC"/>
    <w:rsid w:val="0033128B"/>
    <w:rsid w:val="00331DA2"/>
    <w:rsid w:val="003360E3"/>
    <w:rsid w:val="003371D5"/>
    <w:rsid w:val="003376CD"/>
    <w:rsid w:val="003452C3"/>
    <w:rsid w:val="003501A7"/>
    <w:rsid w:val="0035048A"/>
    <w:rsid w:val="00352A95"/>
    <w:rsid w:val="0036263B"/>
    <w:rsid w:val="00363B62"/>
    <w:rsid w:val="003645B0"/>
    <w:rsid w:val="00364B2C"/>
    <w:rsid w:val="003664F1"/>
    <w:rsid w:val="00367E3F"/>
    <w:rsid w:val="003723CD"/>
    <w:rsid w:val="00377EA5"/>
    <w:rsid w:val="00377F77"/>
    <w:rsid w:val="00383073"/>
    <w:rsid w:val="0038438F"/>
    <w:rsid w:val="003861F3"/>
    <w:rsid w:val="0038674E"/>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3A26"/>
    <w:rsid w:val="003A4C44"/>
    <w:rsid w:val="003A5223"/>
    <w:rsid w:val="003A5AD0"/>
    <w:rsid w:val="003A6CE3"/>
    <w:rsid w:val="003A7899"/>
    <w:rsid w:val="003B15EE"/>
    <w:rsid w:val="003B1C99"/>
    <w:rsid w:val="003B23C0"/>
    <w:rsid w:val="003B48DF"/>
    <w:rsid w:val="003B517D"/>
    <w:rsid w:val="003B60EC"/>
    <w:rsid w:val="003C00ED"/>
    <w:rsid w:val="003C1C0A"/>
    <w:rsid w:val="003C23A6"/>
    <w:rsid w:val="003C35DF"/>
    <w:rsid w:val="003C4A68"/>
    <w:rsid w:val="003C554F"/>
    <w:rsid w:val="003C61DD"/>
    <w:rsid w:val="003C7A09"/>
    <w:rsid w:val="003D0C26"/>
    <w:rsid w:val="003D63E7"/>
    <w:rsid w:val="003E05F1"/>
    <w:rsid w:val="003E113B"/>
    <w:rsid w:val="003E5092"/>
    <w:rsid w:val="003E715D"/>
    <w:rsid w:val="003F0AEC"/>
    <w:rsid w:val="003F103E"/>
    <w:rsid w:val="003F2E48"/>
    <w:rsid w:val="003F440C"/>
    <w:rsid w:val="003F525A"/>
    <w:rsid w:val="003F7BE6"/>
    <w:rsid w:val="004006A9"/>
    <w:rsid w:val="0040363F"/>
    <w:rsid w:val="00404548"/>
    <w:rsid w:val="004052AE"/>
    <w:rsid w:val="00410FC2"/>
    <w:rsid w:val="004118A5"/>
    <w:rsid w:val="00413672"/>
    <w:rsid w:val="00414041"/>
    <w:rsid w:val="00414465"/>
    <w:rsid w:val="00414729"/>
    <w:rsid w:val="00414C80"/>
    <w:rsid w:val="00414F4B"/>
    <w:rsid w:val="00415EF9"/>
    <w:rsid w:val="00416629"/>
    <w:rsid w:val="00417DA1"/>
    <w:rsid w:val="00423478"/>
    <w:rsid w:val="00423F5C"/>
    <w:rsid w:val="00425863"/>
    <w:rsid w:val="00425B76"/>
    <w:rsid w:val="004260A2"/>
    <w:rsid w:val="00426FC6"/>
    <w:rsid w:val="004273BC"/>
    <w:rsid w:val="00427C5F"/>
    <w:rsid w:val="00440EC0"/>
    <w:rsid w:val="00441EAC"/>
    <w:rsid w:val="00445906"/>
    <w:rsid w:val="004507E5"/>
    <w:rsid w:val="004519AD"/>
    <w:rsid w:val="0045459A"/>
    <w:rsid w:val="004545DB"/>
    <w:rsid w:val="0045786A"/>
    <w:rsid w:val="00460F76"/>
    <w:rsid w:val="00462F12"/>
    <w:rsid w:val="00463050"/>
    <w:rsid w:val="0046340F"/>
    <w:rsid w:val="00464A50"/>
    <w:rsid w:val="00466168"/>
    <w:rsid w:val="004666C1"/>
    <w:rsid w:val="0046778B"/>
    <w:rsid w:val="004714D4"/>
    <w:rsid w:val="00475712"/>
    <w:rsid w:val="00480CCE"/>
    <w:rsid w:val="00482FAA"/>
    <w:rsid w:val="004841A1"/>
    <w:rsid w:val="0048676F"/>
    <w:rsid w:val="00487211"/>
    <w:rsid w:val="0049075F"/>
    <w:rsid w:val="00492DA8"/>
    <w:rsid w:val="00493904"/>
    <w:rsid w:val="0049793D"/>
    <w:rsid w:val="004A0888"/>
    <w:rsid w:val="004A43B6"/>
    <w:rsid w:val="004A58B0"/>
    <w:rsid w:val="004A70EE"/>
    <w:rsid w:val="004A774E"/>
    <w:rsid w:val="004A7D3E"/>
    <w:rsid w:val="004A7FF9"/>
    <w:rsid w:val="004B1F92"/>
    <w:rsid w:val="004B379D"/>
    <w:rsid w:val="004B5F0C"/>
    <w:rsid w:val="004B6031"/>
    <w:rsid w:val="004C046E"/>
    <w:rsid w:val="004C04CB"/>
    <w:rsid w:val="004C12EF"/>
    <w:rsid w:val="004C1609"/>
    <w:rsid w:val="004C216B"/>
    <w:rsid w:val="004C5DD3"/>
    <w:rsid w:val="004D25B7"/>
    <w:rsid w:val="004D30F9"/>
    <w:rsid w:val="004D4A32"/>
    <w:rsid w:val="004D4ADD"/>
    <w:rsid w:val="004D64AB"/>
    <w:rsid w:val="004D793A"/>
    <w:rsid w:val="004E00BF"/>
    <w:rsid w:val="004E347C"/>
    <w:rsid w:val="004E7CE8"/>
    <w:rsid w:val="004F271D"/>
    <w:rsid w:val="004F4818"/>
    <w:rsid w:val="004F5114"/>
    <w:rsid w:val="004F756C"/>
    <w:rsid w:val="005001FA"/>
    <w:rsid w:val="005019AF"/>
    <w:rsid w:val="005025F6"/>
    <w:rsid w:val="0050474E"/>
    <w:rsid w:val="0050488D"/>
    <w:rsid w:val="00504D12"/>
    <w:rsid w:val="0050527A"/>
    <w:rsid w:val="0050535A"/>
    <w:rsid w:val="005106F5"/>
    <w:rsid w:val="00511192"/>
    <w:rsid w:val="005118AD"/>
    <w:rsid w:val="00512353"/>
    <w:rsid w:val="0051710C"/>
    <w:rsid w:val="005220C2"/>
    <w:rsid w:val="00522E88"/>
    <w:rsid w:val="0052329E"/>
    <w:rsid w:val="00523369"/>
    <w:rsid w:val="0052398F"/>
    <w:rsid w:val="005322B3"/>
    <w:rsid w:val="00532960"/>
    <w:rsid w:val="00545A73"/>
    <w:rsid w:val="00546DEB"/>
    <w:rsid w:val="00546F0F"/>
    <w:rsid w:val="0054765A"/>
    <w:rsid w:val="005477E7"/>
    <w:rsid w:val="00550159"/>
    <w:rsid w:val="00551897"/>
    <w:rsid w:val="00551FFD"/>
    <w:rsid w:val="00552A0F"/>
    <w:rsid w:val="00553264"/>
    <w:rsid w:val="005551ED"/>
    <w:rsid w:val="00556419"/>
    <w:rsid w:val="00556F35"/>
    <w:rsid w:val="00556FFB"/>
    <w:rsid w:val="005572B4"/>
    <w:rsid w:val="005572DD"/>
    <w:rsid w:val="00560564"/>
    <w:rsid w:val="00562E2B"/>
    <w:rsid w:val="00564668"/>
    <w:rsid w:val="00570353"/>
    <w:rsid w:val="005715F5"/>
    <w:rsid w:val="0057171E"/>
    <w:rsid w:val="00571EEC"/>
    <w:rsid w:val="00572666"/>
    <w:rsid w:val="0057267E"/>
    <w:rsid w:val="005726BD"/>
    <w:rsid w:val="00574A5A"/>
    <w:rsid w:val="0057517A"/>
    <w:rsid w:val="005753B8"/>
    <w:rsid w:val="0057708D"/>
    <w:rsid w:val="005812F5"/>
    <w:rsid w:val="00583ED5"/>
    <w:rsid w:val="00587437"/>
    <w:rsid w:val="005916CD"/>
    <w:rsid w:val="00592678"/>
    <w:rsid w:val="00592DFE"/>
    <w:rsid w:val="00593FD4"/>
    <w:rsid w:val="00594644"/>
    <w:rsid w:val="0059526F"/>
    <w:rsid w:val="0059611A"/>
    <w:rsid w:val="00596A93"/>
    <w:rsid w:val="00596F36"/>
    <w:rsid w:val="005A1741"/>
    <w:rsid w:val="005A1DBC"/>
    <w:rsid w:val="005A235F"/>
    <w:rsid w:val="005A552E"/>
    <w:rsid w:val="005A751F"/>
    <w:rsid w:val="005A7719"/>
    <w:rsid w:val="005A77C2"/>
    <w:rsid w:val="005B1829"/>
    <w:rsid w:val="005B1AD9"/>
    <w:rsid w:val="005B291B"/>
    <w:rsid w:val="005B41AA"/>
    <w:rsid w:val="005B76C5"/>
    <w:rsid w:val="005B7AF0"/>
    <w:rsid w:val="005B7B8A"/>
    <w:rsid w:val="005C09C6"/>
    <w:rsid w:val="005C458D"/>
    <w:rsid w:val="005C491E"/>
    <w:rsid w:val="005C5E0A"/>
    <w:rsid w:val="005C6C0C"/>
    <w:rsid w:val="005D2261"/>
    <w:rsid w:val="005D2276"/>
    <w:rsid w:val="005D25FD"/>
    <w:rsid w:val="005D2808"/>
    <w:rsid w:val="005D7DBD"/>
    <w:rsid w:val="005E0858"/>
    <w:rsid w:val="005E2794"/>
    <w:rsid w:val="005E3CBF"/>
    <w:rsid w:val="005E6F9D"/>
    <w:rsid w:val="005E7B5A"/>
    <w:rsid w:val="005F01FC"/>
    <w:rsid w:val="005F0C89"/>
    <w:rsid w:val="005F12B1"/>
    <w:rsid w:val="005F3701"/>
    <w:rsid w:val="005F3CF6"/>
    <w:rsid w:val="005F41DF"/>
    <w:rsid w:val="005F4521"/>
    <w:rsid w:val="005F5478"/>
    <w:rsid w:val="006006FC"/>
    <w:rsid w:val="006045BA"/>
    <w:rsid w:val="0060583A"/>
    <w:rsid w:val="00605CF0"/>
    <w:rsid w:val="00611649"/>
    <w:rsid w:val="00611A0E"/>
    <w:rsid w:val="00614154"/>
    <w:rsid w:val="00614BD3"/>
    <w:rsid w:val="006155F1"/>
    <w:rsid w:val="006211B8"/>
    <w:rsid w:val="00623A77"/>
    <w:rsid w:val="006256F5"/>
    <w:rsid w:val="0063097B"/>
    <w:rsid w:val="00633943"/>
    <w:rsid w:val="006364B8"/>
    <w:rsid w:val="00636A64"/>
    <w:rsid w:val="00636B93"/>
    <w:rsid w:val="00640550"/>
    <w:rsid w:val="0064326A"/>
    <w:rsid w:val="0064385B"/>
    <w:rsid w:val="00644AF8"/>
    <w:rsid w:val="00644D5D"/>
    <w:rsid w:val="0064695B"/>
    <w:rsid w:val="00646DC7"/>
    <w:rsid w:val="006511FB"/>
    <w:rsid w:val="00651A9D"/>
    <w:rsid w:val="0065268F"/>
    <w:rsid w:val="00652E1C"/>
    <w:rsid w:val="006543F5"/>
    <w:rsid w:val="00654C93"/>
    <w:rsid w:val="00656092"/>
    <w:rsid w:val="00656FD4"/>
    <w:rsid w:val="0065741C"/>
    <w:rsid w:val="00660AEB"/>
    <w:rsid w:val="00660B85"/>
    <w:rsid w:val="006622E0"/>
    <w:rsid w:val="0066259A"/>
    <w:rsid w:val="00662DCE"/>
    <w:rsid w:val="00664F6D"/>
    <w:rsid w:val="006650B8"/>
    <w:rsid w:val="00666329"/>
    <w:rsid w:val="006669E1"/>
    <w:rsid w:val="006672EE"/>
    <w:rsid w:val="0067011F"/>
    <w:rsid w:val="0067015E"/>
    <w:rsid w:val="00680453"/>
    <w:rsid w:val="00681595"/>
    <w:rsid w:val="00681AA3"/>
    <w:rsid w:val="00681EB9"/>
    <w:rsid w:val="00682526"/>
    <w:rsid w:val="00683555"/>
    <w:rsid w:val="00686F1D"/>
    <w:rsid w:val="00692F7A"/>
    <w:rsid w:val="00693665"/>
    <w:rsid w:val="00695E06"/>
    <w:rsid w:val="00695E07"/>
    <w:rsid w:val="00696315"/>
    <w:rsid w:val="006A0D51"/>
    <w:rsid w:val="006A1C05"/>
    <w:rsid w:val="006A225B"/>
    <w:rsid w:val="006A30D2"/>
    <w:rsid w:val="006A3F56"/>
    <w:rsid w:val="006A5A6A"/>
    <w:rsid w:val="006A5FE3"/>
    <w:rsid w:val="006B23B2"/>
    <w:rsid w:val="006B4845"/>
    <w:rsid w:val="006B635C"/>
    <w:rsid w:val="006B78DF"/>
    <w:rsid w:val="006C1708"/>
    <w:rsid w:val="006C1C29"/>
    <w:rsid w:val="006C3782"/>
    <w:rsid w:val="006C3CDE"/>
    <w:rsid w:val="006C4745"/>
    <w:rsid w:val="006C6780"/>
    <w:rsid w:val="006C710B"/>
    <w:rsid w:val="006D0EE8"/>
    <w:rsid w:val="006D3162"/>
    <w:rsid w:val="006D37E7"/>
    <w:rsid w:val="006D5146"/>
    <w:rsid w:val="006D523F"/>
    <w:rsid w:val="006D59D6"/>
    <w:rsid w:val="006D5C04"/>
    <w:rsid w:val="006D7508"/>
    <w:rsid w:val="006E04FD"/>
    <w:rsid w:val="006E0F2F"/>
    <w:rsid w:val="006E19D7"/>
    <w:rsid w:val="006E70AF"/>
    <w:rsid w:val="006E71B9"/>
    <w:rsid w:val="006F39B2"/>
    <w:rsid w:val="006F5384"/>
    <w:rsid w:val="006F6490"/>
    <w:rsid w:val="006F6604"/>
    <w:rsid w:val="006F6896"/>
    <w:rsid w:val="006F6ADF"/>
    <w:rsid w:val="006F71D8"/>
    <w:rsid w:val="006F7D1A"/>
    <w:rsid w:val="00702F6F"/>
    <w:rsid w:val="0070346C"/>
    <w:rsid w:val="007051A0"/>
    <w:rsid w:val="00706496"/>
    <w:rsid w:val="007113F8"/>
    <w:rsid w:val="00711A12"/>
    <w:rsid w:val="00711F11"/>
    <w:rsid w:val="00715406"/>
    <w:rsid w:val="007154C4"/>
    <w:rsid w:val="00715DB9"/>
    <w:rsid w:val="007174BE"/>
    <w:rsid w:val="007218A0"/>
    <w:rsid w:val="007238AF"/>
    <w:rsid w:val="00726908"/>
    <w:rsid w:val="007270C7"/>
    <w:rsid w:val="00730F3A"/>
    <w:rsid w:val="007344C3"/>
    <w:rsid w:val="00735F34"/>
    <w:rsid w:val="00736944"/>
    <w:rsid w:val="00741200"/>
    <w:rsid w:val="00741333"/>
    <w:rsid w:val="00741E00"/>
    <w:rsid w:val="00742FF2"/>
    <w:rsid w:val="00744D6A"/>
    <w:rsid w:val="00746138"/>
    <w:rsid w:val="0074620A"/>
    <w:rsid w:val="00751D50"/>
    <w:rsid w:val="007527D5"/>
    <w:rsid w:val="00752F3C"/>
    <w:rsid w:val="007561FC"/>
    <w:rsid w:val="00761D34"/>
    <w:rsid w:val="00762D2D"/>
    <w:rsid w:val="00764622"/>
    <w:rsid w:val="00764CAD"/>
    <w:rsid w:val="00770FA1"/>
    <w:rsid w:val="00773884"/>
    <w:rsid w:val="0077453B"/>
    <w:rsid w:val="00774813"/>
    <w:rsid w:val="007750F4"/>
    <w:rsid w:val="0077754D"/>
    <w:rsid w:val="0078052A"/>
    <w:rsid w:val="007812FB"/>
    <w:rsid w:val="00781C6C"/>
    <w:rsid w:val="00784032"/>
    <w:rsid w:val="007843EA"/>
    <w:rsid w:val="00786E79"/>
    <w:rsid w:val="00787925"/>
    <w:rsid w:val="00790E31"/>
    <w:rsid w:val="00791578"/>
    <w:rsid w:val="00793B87"/>
    <w:rsid w:val="0079501A"/>
    <w:rsid w:val="0079566E"/>
    <w:rsid w:val="00796509"/>
    <w:rsid w:val="0079691E"/>
    <w:rsid w:val="00797723"/>
    <w:rsid w:val="007A288C"/>
    <w:rsid w:val="007A5E1E"/>
    <w:rsid w:val="007B1A83"/>
    <w:rsid w:val="007B1BB6"/>
    <w:rsid w:val="007B1EEE"/>
    <w:rsid w:val="007B249B"/>
    <w:rsid w:val="007B380D"/>
    <w:rsid w:val="007B6D4D"/>
    <w:rsid w:val="007B6FAF"/>
    <w:rsid w:val="007B7A09"/>
    <w:rsid w:val="007C0F7A"/>
    <w:rsid w:val="007D24A9"/>
    <w:rsid w:val="007D27FA"/>
    <w:rsid w:val="007D30B5"/>
    <w:rsid w:val="007D32D3"/>
    <w:rsid w:val="007D3C39"/>
    <w:rsid w:val="007D6218"/>
    <w:rsid w:val="007D6699"/>
    <w:rsid w:val="007D749B"/>
    <w:rsid w:val="007D7E30"/>
    <w:rsid w:val="007E0A75"/>
    <w:rsid w:val="007E6419"/>
    <w:rsid w:val="007E69EB"/>
    <w:rsid w:val="007F06F1"/>
    <w:rsid w:val="007F6815"/>
    <w:rsid w:val="007F6BA8"/>
    <w:rsid w:val="0080681B"/>
    <w:rsid w:val="0080738C"/>
    <w:rsid w:val="00810B77"/>
    <w:rsid w:val="00817436"/>
    <w:rsid w:val="00822217"/>
    <w:rsid w:val="0082542D"/>
    <w:rsid w:val="00827834"/>
    <w:rsid w:val="00832835"/>
    <w:rsid w:val="00835110"/>
    <w:rsid w:val="008351FC"/>
    <w:rsid w:val="008366C8"/>
    <w:rsid w:val="008408C0"/>
    <w:rsid w:val="00840BCF"/>
    <w:rsid w:val="00841F50"/>
    <w:rsid w:val="00843A0E"/>
    <w:rsid w:val="00845DFE"/>
    <w:rsid w:val="00846E17"/>
    <w:rsid w:val="0085200A"/>
    <w:rsid w:val="0085283E"/>
    <w:rsid w:val="00854283"/>
    <w:rsid w:val="00856114"/>
    <w:rsid w:val="008573E3"/>
    <w:rsid w:val="00861E81"/>
    <w:rsid w:val="0086313B"/>
    <w:rsid w:val="008645FF"/>
    <w:rsid w:val="00866D42"/>
    <w:rsid w:val="0087030E"/>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A10"/>
    <w:rsid w:val="00893FED"/>
    <w:rsid w:val="0089449A"/>
    <w:rsid w:val="00895E48"/>
    <w:rsid w:val="00896687"/>
    <w:rsid w:val="008971F4"/>
    <w:rsid w:val="008A0E7D"/>
    <w:rsid w:val="008A3023"/>
    <w:rsid w:val="008A403F"/>
    <w:rsid w:val="008A58E2"/>
    <w:rsid w:val="008A5F21"/>
    <w:rsid w:val="008A6815"/>
    <w:rsid w:val="008B1031"/>
    <w:rsid w:val="008B2303"/>
    <w:rsid w:val="008B2306"/>
    <w:rsid w:val="008B34A0"/>
    <w:rsid w:val="008B3AB1"/>
    <w:rsid w:val="008B5740"/>
    <w:rsid w:val="008B6367"/>
    <w:rsid w:val="008C0B84"/>
    <w:rsid w:val="008C41DA"/>
    <w:rsid w:val="008C553A"/>
    <w:rsid w:val="008C588E"/>
    <w:rsid w:val="008C6D5F"/>
    <w:rsid w:val="008C7226"/>
    <w:rsid w:val="008C7E53"/>
    <w:rsid w:val="008D4FBB"/>
    <w:rsid w:val="008D66B5"/>
    <w:rsid w:val="008D7B80"/>
    <w:rsid w:val="008E243B"/>
    <w:rsid w:val="008E4184"/>
    <w:rsid w:val="008E549F"/>
    <w:rsid w:val="008E6301"/>
    <w:rsid w:val="008F0138"/>
    <w:rsid w:val="008F10BC"/>
    <w:rsid w:val="008F2052"/>
    <w:rsid w:val="008F26ED"/>
    <w:rsid w:val="008F2A38"/>
    <w:rsid w:val="008F2F68"/>
    <w:rsid w:val="008F3012"/>
    <w:rsid w:val="008F592B"/>
    <w:rsid w:val="00901D14"/>
    <w:rsid w:val="00902A3B"/>
    <w:rsid w:val="00903775"/>
    <w:rsid w:val="009109F7"/>
    <w:rsid w:val="00912137"/>
    <w:rsid w:val="00915BED"/>
    <w:rsid w:val="00916676"/>
    <w:rsid w:val="00916B64"/>
    <w:rsid w:val="0092145D"/>
    <w:rsid w:val="009245DE"/>
    <w:rsid w:val="0092699C"/>
    <w:rsid w:val="00930762"/>
    <w:rsid w:val="00930C0C"/>
    <w:rsid w:val="00936B81"/>
    <w:rsid w:val="0094126F"/>
    <w:rsid w:val="00943767"/>
    <w:rsid w:val="00943BF4"/>
    <w:rsid w:val="00944701"/>
    <w:rsid w:val="00950ED1"/>
    <w:rsid w:val="00952A7A"/>
    <w:rsid w:val="00953A02"/>
    <w:rsid w:val="00954230"/>
    <w:rsid w:val="0095444E"/>
    <w:rsid w:val="00955C67"/>
    <w:rsid w:val="00955D8C"/>
    <w:rsid w:val="00957B65"/>
    <w:rsid w:val="00960AFF"/>
    <w:rsid w:val="0096102A"/>
    <w:rsid w:val="00962EDC"/>
    <w:rsid w:val="00963F62"/>
    <w:rsid w:val="0096513E"/>
    <w:rsid w:val="00965EFC"/>
    <w:rsid w:val="0097161B"/>
    <w:rsid w:val="009762D2"/>
    <w:rsid w:val="009762F1"/>
    <w:rsid w:val="0097692D"/>
    <w:rsid w:val="009776D2"/>
    <w:rsid w:val="00977EA8"/>
    <w:rsid w:val="0098140D"/>
    <w:rsid w:val="00981CED"/>
    <w:rsid w:val="009861D2"/>
    <w:rsid w:val="00987225"/>
    <w:rsid w:val="00990870"/>
    <w:rsid w:val="00990DCF"/>
    <w:rsid w:val="009920F5"/>
    <w:rsid w:val="00992B56"/>
    <w:rsid w:val="00992CDA"/>
    <w:rsid w:val="00993342"/>
    <w:rsid w:val="00996CE4"/>
    <w:rsid w:val="009A0FB3"/>
    <w:rsid w:val="009A3E71"/>
    <w:rsid w:val="009A3F36"/>
    <w:rsid w:val="009A41B1"/>
    <w:rsid w:val="009A48D8"/>
    <w:rsid w:val="009A6C59"/>
    <w:rsid w:val="009A6C94"/>
    <w:rsid w:val="009A7878"/>
    <w:rsid w:val="009B0888"/>
    <w:rsid w:val="009B33DF"/>
    <w:rsid w:val="009B4270"/>
    <w:rsid w:val="009B44CC"/>
    <w:rsid w:val="009B5651"/>
    <w:rsid w:val="009B5C40"/>
    <w:rsid w:val="009B62E4"/>
    <w:rsid w:val="009B706A"/>
    <w:rsid w:val="009C4319"/>
    <w:rsid w:val="009D109E"/>
    <w:rsid w:val="009D1CD9"/>
    <w:rsid w:val="009D1F28"/>
    <w:rsid w:val="009D28E5"/>
    <w:rsid w:val="009D4830"/>
    <w:rsid w:val="009D520D"/>
    <w:rsid w:val="009D797A"/>
    <w:rsid w:val="009E026A"/>
    <w:rsid w:val="009E0FEC"/>
    <w:rsid w:val="009E3B56"/>
    <w:rsid w:val="009E49B5"/>
    <w:rsid w:val="009E551E"/>
    <w:rsid w:val="009E62F8"/>
    <w:rsid w:val="009E7066"/>
    <w:rsid w:val="009E7949"/>
    <w:rsid w:val="009F1EF8"/>
    <w:rsid w:val="009F4604"/>
    <w:rsid w:val="009F4B78"/>
    <w:rsid w:val="009F5E64"/>
    <w:rsid w:val="009F606B"/>
    <w:rsid w:val="009F6E66"/>
    <w:rsid w:val="009F7888"/>
    <w:rsid w:val="009F7EDD"/>
    <w:rsid w:val="00A02291"/>
    <w:rsid w:val="00A02AC3"/>
    <w:rsid w:val="00A04475"/>
    <w:rsid w:val="00A06840"/>
    <w:rsid w:val="00A06C15"/>
    <w:rsid w:val="00A06EAD"/>
    <w:rsid w:val="00A1293C"/>
    <w:rsid w:val="00A14F9B"/>
    <w:rsid w:val="00A167F1"/>
    <w:rsid w:val="00A2085F"/>
    <w:rsid w:val="00A20EC0"/>
    <w:rsid w:val="00A2150B"/>
    <w:rsid w:val="00A215D9"/>
    <w:rsid w:val="00A2292C"/>
    <w:rsid w:val="00A23FC3"/>
    <w:rsid w:val="00A25F1B"/>
    <w:rsid w:val="00A25FC2"/>
    <w:rsid w:val="00A3225F"/>
    <w:rsid w:val="00A3288D"/>
    <w:rsid w:val="00A329DC"/>
    <w:rsid w:val="00A358F5"/>
    <w:rsid w:val="00A40EAA"/>
    <w:rsid w:val="00A41135"/>
    <w:rsid w:val="00A41FEB"/>
    <w:rsid w:val="00A42FBA"/>
    <w:rsid w:val="00A44DA6"/>
    <w:rsid w:val="00A50921"/>
    <w:rsid w:val="00A5160D"/>
    <w:rsid w:val="00A52AE9"/>
    <w:rsid w:val="00A55835"/>
    <w:rsid w:val="00A5692D"/>
    <w:rsid w:val="00A56CA4"/>
    <w:rsid w:val="00A574D9"/>
    <w:rsid w:val="00A63FE5"/>
    <w:rsid w:val="00A65F04"/>
    <w:rsid w:val="00A65F2E"/>
    <w:rsid w:val="00A7086D"/>
    <w:rsid w:val="00A71AD5"/>
    <w:rsid w:val="00A8073E"/>
    <w:rsid w:val="00A80883"/>
    <w:rsid w:val="00A81BED"/>
    <w:rsid w:val="00A82FC6"/>
    <w:rsid w:val="00A8333F"/>
    <w:rsid w:val="00A85A0D"/>
    <w:rsid w:val="00A8731F"/>
    <w:rsid w:val="00A9027F"/>
    <w:rsid w:val="00A92270"/>
    <w:rsid w:val="00A9349A"/>
    <w:rsid w:val="00AA10AE"/>
    <w:rsid w:val="00AA329F"/>
    <w:rsid w:val="00AA3349"/>
    <w:rsid w:val="00AA703E"/>
    <w:rsid w:val="00AA7B6A"/>
    <w:rsid w:val="00AB0928"/>
    <w:rsid w:val="00AB24C5"/>
    <w:rsid w:val="00AB2DFB"/>
    <w:rsid w:val="00AB4E8A"/>
    <w:rsid w:val="00AB593E"/>
    <w:rsid w:val="00AB5D37"/>
    <w:rsid w:val="00AB683F"/>
    <w:rsid w:val="00AC0F14"/>
    <w:rsid w:val="00AC26D5"/>
    <w:rsid w:val="00AC4A2E"/>
    <w:rsid w:val="00AD1885"/>
    <w:rsid w:val="00AD3137"/>
    <w:rsid w:val="00AD50BA"/>
    <w:rsid w:val="00AD5180"/>
    <w:rsid w:val="00AD6562"/>
    <w:rsid w:val="00AE02E7"/>
    <w:rsid w:val="00AE0F75"/>
    <w:rsid w:val="00AE2817"/>
    <w:rsid w:val="00AE296B"/>
    <w:rsid w:val="00AE319E"/>
    <w:rsid w:val="00AE3B2C"/>
    <w:rsid w:val="00AE3B4E"/>
    <w:rsid w:val="00AE4D4A"/>
    <w:rsid w:val="00AE676F"/>
    <w:rsid w:val="00AE700B"/>
    <w:rsid w:val="00AE709C"/>
    <w:rsid w:val="00AE7DD9"/>
    <w:rsid w:val="00AF20CF"/>
    <w:rsid w:val="00AF2B38"/>
    <w:rsid w:val="00B004C1"/>
    <w:rsid w:val="00B0168B"/>
    <w:rsid w:val="00B03458"/>
    <w:rsid w:val="00B04B8E"/>
    <w:rsid w:val="00B1072F"/>
    <w:rsid w:val="00B15820"/>
    <w:rsid w:val="00B215D8"/>
    <w:rsid w:val="00B2218A"/>
    <w:rsid w:val="00B24430"/>
    <w:rsid w:val="00B246ED"/>
    <w:rsid w:val="00B26DD0"/>
    <w:rsid w:val="00B338C8"/>
    <w:rsid w:val="00B341CC"/>
    <w:rsid w:val="00B34F53"/>
    <w:rsid w:val="00B35321"/>
    <w:rsid w:val="00B35505"/>
    <w:rsid w:val="00B35CB3"/>
    <w:rsid w:val="00B35E0A"/>
    <w:rsid w:val="00B40124"/>
    <w:rsid w:val="00B40B86"/>
    <w:rsid w:val="00B42E03"/>
    <w:rsid w:val="00B43A55"/>
    <w:rsid w:val="00B443E2"/>
    <w:rsid w:val="00B44576"/>
    <w:rsid w:val="00B44E4B"/>
    <w:rsid w:val="00B46222"/>
    <w:rsid w:val="00B54092"/>
    <w:rsid w:val="00B5444C"/>
    <w:rsid w:val="00B5568B"/>
    <w:rsid w:val="00B557BF"/>
    <w:rsid w:val="00B55BD6"/>
    <w:rsid w:val="00B56147"/>
    <w:rsid w:val="00B5720A"/>
    <w:rsid w:val="00B604A0"/>
    <w:rsid w:val="00B60761"/>
    <w:rsid w:val="00B620A5"/>
    <w:rsid w:val="00B62BB1"/>
    <w:rsid w:val="00B63559"/>
    <w:rsid w:val="00B7008E"/>
    <w:rsid w:val="00B7041D"/>
    <w:rsid w:val="00B7079E"/>
    <w:rsid w:val="00B73979"/>
    <w:rsid w:val="00B751B0"/>
    <w:rsid w:val="00B762E0"/>
    <w:rsid w:val="00B83DA4"/>
    <w:rsid w:val="00B86188"/>
    <w:rsid w:val="00B86C54"/>
    <w:rsid w:val="00B874C4"/>
    <w:rsid w:val="00B90976"/>
    <w:rsid w:val="00B95E59"/>
    <w:rsid w:val="00B97AA2"/>
    <w:rsid w:val="00B97B8E"/>
    <w:rsid w:val="00BA00A8"/>
    <w:rsid w:val="00BA0378"/>
    <w:rsid w:val="00BA37A4"/>
    <w:rsid w:val="00BA4FB0"/>
    <w:rsid w:val="00BA6138"/>
    <w:rsid w:val="00BA6E97"/>
    <w:rsid w:val="00BB1930"/>
    <w:rsid w:val="00BB3478"/>
    <w:rsid w:val="00BB3D7A"/>
    <w:rsid w:val="00BC2247"/>
    <w:rsid w:val="00BC2578"/>
    <w:rsid w:val="00BC3B17"/>
    <w:rsid w:val="00BC5572"/>
    <w:rsid w:val="00BD497C"/>
    <w:rsid w:val="00BD4AFE"/>
    <w:rsid w:val="00BD4D8B"/>
    <w:rsid w:val="00BD57EE"/>
    <w:rsid w:val="00BD7A2D"/>
    <w:rsid w:val="00BE4E8A"/>
    <w:rsid w:val="00BF2A79"/>
    <w:rsid w:val="00BF375F"/>
    <w:rsid w:val="00C02372"/>
    <w:rsid w:val="00C044C3"/>
    <w:rsid w:val="00C07892"/>
    <w:rsid w:val="00C10453"/>
    <w:rsid w:val="00C127C0"/>
    <w:rsid w:val="00C12E60"/>
    <w:rsid w:val="00C13BCA"/>
    <w:rsid w:val="00C141B9"/>
    <w:rsid w:val="00C158CF"/>
    <w:rsid w:val="00C16518"/>
    <w:rsid w:val="00C1787D"/>
    <w:rsid w:val="00C17A8F"/>
    <w:rsid w:val="00C20F14"/>
    <w:rsid w:val="00C22B7C"/>
    <w:rsid w:val="00C23B8E"/>
    <w:rsid w:val="00C25D14"/>
    <w:rsid w:val="00C3184D"/>
    <w:rsid w:val="00C331FD"/>
    <w:rsid w:val="00C34DCB"/>
    <w:rsid w:val="00C36D0C"/>
    <w:rsid w:val="00C3708D"/>
    <w:rsid w:val="00C4138A"/>
    <w:rsid w:val="00C440B4"/>
    <w:rsid w:val="00C446F9"/>
    <w:rsid w:val="00C462CB"/>
    <w:rsid w:val="00C46ABC"/>
    <w:rsid w:val="00C46CA9"/>
    <w:rsid w:val="00C46F39"/>
    <w:rsid w:val="00C47AFE"/>
    <w:rsid w:val="00C5067F"/>
    <w:rsid w:val="00C515C3"/>
    <w:rsid w:val="00C51AA2"/>
    <w:rsid w:val="00C52E43"/>
    <w:rsid w:val="00C54827"/>
    <w:rsid w:val="00C56CD4"/>
    <w:rsid w:val="00C60488"/>
    <w:rsid w:val="00C609C3"/>
    <w:rsid w:val="00C60E16"/>
    <w:rsid w:val="00C62E40"/>
    <w:rsid w:val="00C63A47"/>
    <w:rsid w:val="00C65E4E"/>
    <w:rsid w:val="00C66610"/>
    <w:rsid w:val="00C66648"/>
    <w:rsid w:val="00C66FEF"/>
    <w:rsid w:val="00C70CB4"/>
    <w:rsid w:val="00C72444"/>
    <w:rsid w:val="00C727A7"/>
    <w:rsid w:val="00C728D5"/>
    <w:rsid w:val="00C72CF7"/>
    <w:rsid w:val="00C75119"/>
    <w:rsid w:val="00C76DD6"/>
    <w:rsid w:val="00C80D38"/>
    <w:rsid w:val="00C90B62"/>
    <w:rsid w:val="00C91C08"/>
    <w:rsid w:val="00C92B74"/>
    <w:rsid w:val="00C94098"/>
    <w:rsid w:val="00C959F3"/>
    <w:rsid w:val="00C97F0E"/>
    <w:rsid w:val="00CA06AC"/>
    <w:rsid w:val="00CA0DA9"/>
    <w:rsid w:val="00CA1D9E"/>
    <w:rsid w:val="00CA242A"/>
    <w:rsid w:val="00CA27BD"/>
    <w:rsid w:val="00CA2AB6"/>
    <w:rsid w:val="00CA36DE"/>
    <w:rsid w:val="00CA4BCC"/>
    <w:rsid w:val="00CA5313"/>
    <w:rsid w:val="00CA6573"/>
    <w:rsid w:val="00CB01D6"/>
    <w:rsid w:val="00CB311E"/>
    <w:rsid w:val="00CB3A41"/>
    <w:rsid w:val="00CB71E1"/>
    <w:rsid w:val="00CC0914"/>
    <w:rsid w:val="00CC0ED3"/>
    <w:rsid w:val="00CC1894"/>
    <w:rsid w:val="00CC2EE2"/>
    <w:rsid w:val="00CC3D03"/>
    <w:rsid w:val="00CC45DB"/>
    <w:rsid w:val="00CC5651"/>
    <w:rsid w:val="00CC73FF"/>
    <w:rsid w:val="00CD141E"/>
    <w:rsid w:val="00CD2B65"/>
    <w:rsid w:val="00CD45DA"/>
    <w:rsid w:val="00CD6D74"/>
    <w:rsid w:val="00CE2E1B"/>
    <w:rsid w:val="00CE2EA4"/>
    <w:rsid w:val="00CE5714"/>
    <w:rsid w:val="00CE6138"/>
    <w:rsid w:val="00CE6F59"/>
    <w:rsid w:val="00CE7AAB"/>
    <w:rsid w:val="00CF2673"/>
    <w:rsid w:val="00CF2DA1"/>
    <w:rsid w:val="00CF3496"/>
    <w:rsid w:val="00CF3F37"/>
    <w:rsid w:val="00CF43B1"/>
    <w:rsid w:val="00D005FD"/>
    <w:rsid w:val="00D034CF"/>
    <w:rsid w:val="00D0614B"/>
    <w:rsid w:val="00D06AD1"/>
    <w:rsid w:val="00D079AE"/>
    <w:rsid w:val="00D10918"/>
    <w:rsid w:val="00D17086"/>
    <w:rsid w:val="00D17549"/>
    <w:rsid w:val="00D200B4"/>
    <w:rsid w:val="00D24D97"/>
    <w:rsid w:val="00D25FA0"/>
    <w:rsid w:val="00D275F5"/>
    <w:rsid w:val="00D31D29"/>
    <w:rsid w:val="00D34814"/>
    <w:rsid w:val="00D376F1"/>
    <w:rsid w:val="00D43A3B"/>
    <w:rsid w:val="00D43CA8"/>
    <w:rsid w:val="00D44E1E"/>
    <w:rsid w:val="00D44FB5"/>
    <w:rsid w:val="00D4523D"/>
    <w:rsid w:val="00D4593F"/>
    <w:rsid w:val="00D45BD4"/>
    <w:rsid w:val="00D4725B"/>
    <w:rsid w:val="00D4775B"/>
    <w:rsid w:val="00D47AB8"/>
    <w:rsid w:val="00D51CB0"/>
    <w:rsid w:val="00D55D94"/>
    <w:rsid w:val="00D56566"/>
    <w:rsid w:val="00D56ED1"/>
    <w:rsid w:val="00D578FD"/>
    <w:rsid w:val="00D626C3"/>
    <w:rsid w:val="00D636D6"/>
    <w:rsid w:val="00D647A4"/>
    <w:rsid w:val="00D6487A"/>
    <w:rsid w:val="00D648BB"/>
    <w:rsid w:val="00D64E04"/>
    <w:rsid w:val="00D65A5E"/>
    <w:rsid w:val="00D669D1"/>
    <w:rsid w:val="00D7049A"/>
    <w:rsid w:val="00D704F6"/>
    <w:rsid w:val="00D722B1"/>
    <w:rsid w:val="00D74A82"/>
    <w:rsid w:val="00D753F6"/>
    <w:rsid w:val="00D7737D"/>
    <w:rsid w:val="00D80897"/>
    <w:rsid w:val="00D80A73"/>
    <w:rsid w:val="00D81375"/>
    <w:rsid w:val="00D8540E"/>
    <w:rsid w:val="00D85C4D"/>
    <w:rsid w:val="00D8730B"/>
    <w:rsid w:val="00D87F80"/>
    <w:rsid w:val="00D9072A"/>
    <w:rsid w:val="00D94852"/>
    <w:rsid w:val="00D95008"/>
    <w:rsid w:val="00DA039C"/>
    <w:rsid w:val="00DA10B4"/>
    <w:rsid w:val="00DA6EBE"/>
    <w:rsid w:val="00DB2152"/>
    <w:rsid w:val="00DB24F6"/>
    <w:rsid w:val="00DB27CC"/>
    <w:rsid w:val="00DB2A54"/>
    <w:rsid w:val="00DB4EF9"/>
    <w:rsid w:val="00DB5032"/>
    <w:rsid w:val="00DB575A"/>
    <w:rsid w:val="00DB75CD"/>
    <w:rsid w:val="00DC070E"/>
    <w:rsid w:val="00DC29FE"/>
    <w:rsid w:val="00DC430C"/>
    <w:rsid w:val="00DC60FB"/>
    <w:rsid w:val="00DC7319"/>
    <w:rsid w:val="00DC742E"/>
    <w:rsid w:val="00DD1726"/>
    <w:rsid w:val="00DD2EEB"/>
    <w:rsid w:val="00DD38DC"/>
    <w:rsid w:val="00DD3CFF"/>
    <w:rsid w:val="00DD63FF"/>
    <w:rsid w:val="00DE156B"/>
    <w:rsid w:val="00DF1BBF"/>
    <w:rsid w:val="00DF20A3"/>
    <w:rsid w:val="00DF2A8F"/>
    <w:rsid w:val="00DF3145"/>
    <w:rsid w:val="00DF4B0E"/>
    <w:rsid w:val="00E01E4B"/>
    <w:rsid w:val="00E04026"/>
    <w:rsid w:val="00E062B0"/>
    <w:rsid w:val="00E0711E"/>
    <w:rsid w:val="00E0770C"/>
    <w:rsid w:val="00E11C7A"/>
    <w:rsid w:val="00E13818"/>
    <w:rsid w:val="00E14DFA"/>
    <w:rsid w:val="00E154A4"/>
    <w:rsid w:val="00E1613E"/>
    <w:rsid w:val="00E17413"/>
    <w:rsid w:val="00E17CBB"/>
    <w:rsid w:val="00E17EA5"/>
    <w:rsid w:val="00E229DB"/>
    <w:rsid w:val="00E2571A"/>
    <w:rsid w:val="00E26EDC"/>
    <w:rsid w:val="00E2713C"/>
    <w:rsid w:val="00E30B42"/>
    <w:rsid w:val="00E342D7"/>
    <w:rsid w:val="00E34D1F"/>
    <w:rsid w:val="00E35C26"/>
    <w:rsid w:val="00E4051F"/>
    <w:rsid w:val="00E40E90"/>
    <w:rsid w:val="00E40FEF"/>
    <w:rsid w:val="00E410EA"/>
    <w:rsid w:val="00E41D5C"/>
    <w:rsid w:val="00E437F7"/>
    <w:rsid w:val="00E529F9"/>
    <w:rsid w:val="00E531AC"/>
    <w:rsid w:val="00E55017"/>
    <w:rsid w:val="00E55307"/>
    <w:rsid w:val="00E55416"/>
    <w:rsid w:val="00E557D1"/>
    <w:rsid w:val="00E56282"/>
    <w:rsid w:val="00E616BF"/>
    <w:rsid w:val="00E64123"/>
    <w:rsid w:val="00E658AA"/>
    <w:rsid w:val="00E6656A"/>
    <w:rsid w:val="00E70D30"/>
    <w:rsid w:val="00E716BA"/>
    <w:rsid w:val="00E71722"/>
    <w:rsid w:val="00E73758"/>
    <w:rsid w:val="00E75977"/>
    <w:rsid w:val="00E76431"/>
    <w:rsid w:val="00E7686D"/>
    <w:rsid w:val="00E813BA"/>
    <w:rsid w:val="00E82169"/>
    <w:rsid w:val="00E855B7"/>
    <w:rsid w:val="00E8590C"/>
    <w:rsid w:val="00E85F76"/>
    <w:rsid w:val="00E917C9"/>
    <w:rsid w:val="00E9183C"/>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4E99"/>
    <w:rsid w:val="00EC7E23"/>
    <w:rsid w:val="00ED3A21"/>
    <w:rsid w:val="00ED4DD6"/>
    <w:rsid w:val="00ED54F9"/>
    <w:rsid w:val="00ED6982"/>
    <w:rsid w:val="00ED6DF8"/>
    <w:rsid w:val="00ED725E"/>
    <w:rsid w:val="00EE0218"/>
    <w:rsid w:val="00EE0E54"/>
    <w:rsid w:val="00EE1033"/>
    <w:rsid w:val="00EE114E"/>
    <w:rsid w:val="00EE403A"/>
    <w:rsid w:val="00EE69ED"/>
    <w:rsid w:val="00EF24BB"/>
    <w:rsid w:val="00EF2B90"/>
    <w:rsid w:val="00EF32F6"/>
    <w:rsid w:val="00EF4114"/>
    <w:rsid w:val="00EF448F"/>
    <w:rsid w:val="00EF4634"/>
    <w:rsid w:val="00EF472E"/>
    <w:rsid w:val="00EF4A5A"/>
    <w:rsid w:val="00EF4EC4"/>
    <w:rsid w:val="00EF66A9"/>
    <w:rsid w:val="00EF74D8"/>
    <w:rsid w:val="00F01898"/>
    <w:rsid w:val="00F0497B"/>
    <w:rsid w:val="00F05EE0"/>
    <w:rsid w:val="00F06985"/>
    <w:rsid w:val="00F07DE8"/>
    <w:rsid w:val="00F156B3"/>
    <w:rsid w:val="00F15FD8"/>
    <w:rsid w:val="00F21A1A"/>
    <w:rsid w:val="00F22813"/>
    <w:rsid w:val="00F22FC8"/>
    <w:rsid w:val="00F256C9"/>
    <w:rsid w:val="00F27F36"/>
    <w:rsid w:val="00F32B8C"/>
    <w:rsid w:val="00F33383"/>
    <w:rsid w:val="00F33D5B"/>
    <w:rsid w:val="00F4030B"/>
    <w:rsid w:val="00F404C2"/>
    <w:rsid w:val="00F40C3E"/>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14DD"/>
    <w:rsid w:val="00F7323D"/>
    <w:rsid w:val="00F73970"/>
    <w:rsid w:val="00F74722"/>
    <w:rsid w:val="00F75F45"/>
    <w:rsid w:val="00F82957"/>
    <w:rsid w:val="00F82B0F"/>
    <w:rsid w:val="00F83BD2"/>
    <w:rsid w:val="00F857CA"/>
    <w:rsid w:val="00F92C2B"/>
    <w:rsid w:val="00F94241"/>
    <w:rsid w:val="00F945CD"/>
    <w:rsid w:val="00F95ECF"/>
    <w:rsid w:val="00F9792C"/>
    <w:rsid w:val="00F97AAA"/>
    <w:rsid w:val="00FA0067"/>
    <w:rsid w:val="00FA188E"/>
    <w:rsid w:val="00FA4AD8"/>
    <w:rsid w:val="00FA610B"/>
    <w:rsid w:val="00FB12C7"/>
    <w:rsid w:val="00FB3597"/>
    <w:rsid w:val="00FB4342"/>
    <w:rsid w:val="00FB53CA"/>
    <w:rsid w:val="00FB6CBB"/>
    <w:rsid w:val="00FB6CC3"/>
    <w:rsid w:val="00FC3750"/>
    <w:rsid w:val="00FC487C"/>
    <w:rsid w:val="00FC51A5"/>
    <w:rsid w:val="00FD05BD"/>
    <w:rsid w:val="00FD0B36"/>
    <w:rsid w:val="00FD1397"/>
    <w:rsid w:val="00FD168A"/>
    <w:rsid w:val="00FD2516"/>
    <w:rsid w:val="00FD3643"/>
    <w:rsid w:val="00FD553C"/>
    <w:rsid w:val="00FD5D34"/>
    <w:rsid w:val="00FD6DF4"/>
    <w:rsid w:val="00FD6F5E"/>
    <w:rsid w:val="00FE087D"/>
    <w:rsid w:val="00FE133D"/>
    <w:rsid w:val="00FE1561"/>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uiPriority w:val="99"/>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页眉 字符"/>
    <w:link w:val="a5"/>
    <w:uiPriority w:val="99"/>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semiHidden/>
    <w:unhideWhenUsed/>
    <w:rsid w:val="00664F6D"/>
    <w:rPr>
      <w:sz w:val="20"/>
      <w:szCs w:val="20"/>
      <w:lang w:val="x-none"/>
    </w:rPr>
  </w:style>
  <w:style w:type="character" w:customStyle="1" w:styleId="ab">
    <w:name w:val="批注文字 字符"/>
    <w:link w:val="aa"/>
    <w:uiPriority w:val="99"/>
    <w:semiHidden/>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批注主题 字符"/>
    <w:link w:val="ac"/>
    <w:uiPriority w:val="99"/>
    <w:semiHidden/>
    <w:rsid w:val="00664F6D"/>
    <w:rPr>
      <w:b/>
      <w:bCs/>
      <w:lang w:eastAsia="ja-JP"/>
    </w:rPr>
  </w:style>
  <w:style w:type="character" w:customStyle="1" w:styleId="a8">
    <w:name w:val="页脚 字符"/>
    <w:link w:val="a7"/>
    <w:uiPriority w:val="99"/>
    <w:rsid w:val="007B7A09"/>
    <w:rPr>
      <w:sz w:val="24"/>
      <w:szCs w:val="24"/>
      <w:lang w:eastAsia="ja-JP"/>
    </w:rPr>
  </w:style>
  <w:style w:type="character" w:styleId="ae">
    <w:name w:val="Placeholder Text"/>
    <w:basedOn w:val="a0"/>
    <w:uiPriority w:val="99"/>
    <w:semiHidden/>
    <w:rsid w:val="0054765A"/>
    <w:rPr>
      <w:color w:val="808080"/>
    </w:rPr>
  </w:style>
  <w:style w:type="character" w:styleId="af">
    <w:name w:val="Hyperlink"/>
    <w:basedOn w:val="a0"/>
    <w:uiPriority w:val="99"/>
    <w:unhideWhenUsed/>
    <w:rsid w:val="0054765A"/>
    <w:rPr>
      <w:color w:val="0563C1" w:themeColor="hyperlink"/>
      <w:u w:val="single"/>
    </w:rPr>
  </w:style>
  <w:style w:type="character" w:styleId="af0">
    <w:name w:val="Unresolved Mention"/>
    <w:basedOn w:val="a0"/>
    <w:uiPriority w:val="99"/>
    <w:semiHidden/>
    <w:unhideWhenUsed/>
    <w:rsid w:val="0054765A"/>
    <w:rPr>
      <w:color w:val="605E5C"/>
      <w:shd w:val="clear" w:color="auto" w:fill="E1DFDD"/>
    </w:rPr>
  </w:style>
  <w:style w:type="paragraph" w:styleId="af1">
    <w:name w:val="List Paragraph"/>
    <w:basedOn w:val="a"/>
    <w:uiPriority w:val="34"/>
    <w:qFormat/>
    <w:rsid w:val="0054765A"/>
    <w:pPr>
      <w:widowControl w:val="0"/>
      <w:ind w:firstLineChars="200" w:firstLine="420"/>
      <w:jc w:val="both"/>
    </w:pPr>
    <w:rPr>
      <w:rFonts w:asciiTheme="minorHAnsi" w:eastAsiaTheme="minorEastAsia" w:hAnsiTheme="minorHAnsi" w:cstheme="minorBidi"/>
      <w:kern w:val="2"/>
      <w:sz w:val="21"/>
      <w:szCs w:val="22"/>
      <w:lang w:val="en-US" w:eastAsia="zh-CN"/>
    </w:rPr>
  </w:style>
  <w:style w:type="character" w:customStyle="1" w:styleId="cf01">
    <w:name w:val="cf01"/>
    <w:basedOn w:val="a0"/>
    <w:rsid w:val="0054765A"/>
    <w:rPr>
      <w:rFonts w:ascii="Microsoft YaHei UI" w:eastAsia="Microsoft YaHei UI" w:hAnsi="Microsoft YaHei UI" w:hint="eastAsia"/>
      <w:sz w:val="18"/>
      <w:szCs w:val="18"/>
    </w:rPr>
  </w:style>
  <w:style w:type="paragraph" w:styleId="af2">
    <w:name w:val="Revision"/>
    <w:hidden/>
    <w:uiPriority w:val="99"/>
    <w:semiHidden/>
    <w:rsid w:val="0054765A"/>
    <w:rPr>
      <w:rFonts w:asciiTheme="minorHAnsi" w:eastAsiaTheme="minorEastAsia" w:hAnsiTheme="minorHAnsi" w:cstheme="minorBid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B626C7-BCE3-4807-8E22-7D87C4124A7F}"/>
</file>

<file path=customXml/itemProps3.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4.xml><?xml version="1.0" encoding="utf-8"?>
<ds:datastoreItem xmlns:ds="http://schemas.openxmlformats.org/officeDocument/2006/customXml" ds:itemID="{75886F76-A765-4714-B899-7AC2DC4334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3391</Words>
  <Characters>19329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2025-12-05T04:14:00Z</dcterms:created>
  <dcterms:modified xsi:type="dcterms:W3CDTF">2025-12-05T04:15:00Z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