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CBA90">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An, X., Yang, H., Luo, Y., Chu, Z., &amp; Li, K. H. (2022). Ultrafast miniaturized GaN-based optoelectronic proximity sensor. </w:t>
      </w:r>
      <w:r>
        <w:rPr>
          <w:rFonts w:ascii="Times New Roman" w:hAnsi="Times New Roman"/>
          <w:i/>
          <w:iCs/>
          <w:color w:val="222222"/>
          <w:sz w:val="24"/>
          <w:szCs w:val="24"/>
          <w:bdr w:val="single" w:color="E5E7EB" w:sz="2" w:space="0"/>
          <w:shd w:val="clear" w:color="auto" w:fill="FFFFFF"/>
        </w:rPr>
        <w:t>Photonics Research</w:t>
      </w:r>
      <w:r>
        <w:rPr>
          <w:rFonts w:ascii="Times New Roman" w:hAnsi="Times New Roman"/>
          <w:color w:val="222222"/>
          <w:sz w:val="24"/>
          <w:szCs w:val="24"/>
          <w:shd w:val="clear" w:color="auto" w:fill="FFFFFF"/>
        </w:rPr>
        <w:t>.</w:t>
      </w:r>
    </w:p>
    <w:p w14:paraId="549DE819">
      <w:pPr>
        <w:spacing w:after="240" w:afterLines="100" w:line="480" w:lineRule="auto"/>
        <w:rPr>
          <w:rFonts w:hint="eastAsia"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doi: 10.1364/PRJ.462933</w:t>
      </w:r>
    </w:p>
    <w:p w14:paraId="48DDF35B">
      <w:pPr>
        <w:spacing w:after="240" w:afterLines="100" w:line="480" w:lineRule="auto"/>
        <w:jc w:val="center"/>
        <w:rPr>
          <w:rFonts w:hint="eastAsia" w:ascii="Times New Roman" w:hAnsi="Times New Roman"/>
          <w:b/>
          <w:bCs/>
          <w:color w:val="222222"/>
          <w:sz w:val="24"/>
          <w:szCs w:val="24"/>
          <w:shd w:val="clear" w:color="auto" w:fill="FFFFFF"/>
        </w:rPr>
      </w:pPr>
      <w:r>
        <w:rPr>
          <w:rFonts w:ascii="Times New Roman" w:hAnsi="Times New Roman"/>
          <w:b/>
          <w:bCs/>
          <w:color w:val="222222"/>
          <w:sz w:val="24"/>
          <w:szCs w:val="24"/>
          <w:shd w:val="clear" w:color="auto" w:fill="FFFFFF"/>
        </w:rPr>
        <w:t>Ultrafast Miniaturized GaN-based Optoelectronic Proximity Sensor</w:t>
      </w:r>
    </w:p>
    <w:p w14:paraId="05CDC699">
      <w:pPr>
        <w:spacing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Xiaoshuai An </w:t>
      </w:r>
    </w:p>
    <w:p w14:paraId="42489B92">
      <w:pPr>
        <w:spacing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Hongying Yang </w:t>
      </w:r>
    </w:p>
    <w:p w14:paraId="76850E85">
      <w:pPr>
        <w:spacing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Yumeng Luo </w:t>
      </w:r>
    </w:p>
    <w:p w14:paraId="698B0664">
      <w:pPr>
        <w:spacing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Zhiqin Chu </w:t>
      </w:r>
    </w:p>
    <w:p w14:paraId="158110C2">
      <w:pPr>
        <w:spacing w:after="240" w:afterLines="100"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Kwai Hei Li</w:t>
      </w:r>
    </w:p>
    <w:p w14:paraId="136CA192">
      <w:pPr>
        <w:spacing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Electrical and Electronic Engineering</w:t>
      </w:r>
    </w:p>
    <w:p w14:paraId="497F0F44">
      <w:pPr>
        <w:spacing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Faculty of Engineering</w:t>
      </w:r>
    </w:p>
    <w:p w14:paraId="2A798A82">
      <w:pPr>
        <w:spacing w:after="240" w:afterLines="100" w:line="48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The University of Hong Kong</w:t>
      </w:r>
    </w:p>
    <w:p w14:paraId="13C358CC">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Corresponding author: Zhiqin Chu, Department of Electrical and Electronic Engineering, Faculty of Engineering, the University of Hong Kong, Pokfulam Road, Hong Kong, China. </w:t>
      </w:r>
    </w:p>
    <w:p w14:paraId="48324D18">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Kwai Hei Li, School of Microelectronics, Southern University of Science and Technology, Shenzhen 518055, China. </w:t>
      </w:r>
    </w:p>
    <w:p w14:paraId="4CC47A65">
      <w:pPr>
        <w:spacing w:after="240" w:afterLines="100"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Email: khli@sustech.edu.cn, zqchu@eee.hku.hk</w:t>
      </w:r>
    </w:p>
    <w:p w14:paraId="28984504">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Submitted to Photonics Research May 5, 2022 </w:t>
      </w:r>
    </w:p>
    <w:p w14:paraId="749C7980">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Accepted May 2016</w:t>
      </w:r>
    </w:p>
    <w:p w14:paraId="4861E13E">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br w:type="page"/>
      </w:r>
    </w:p>
    <w:p w14:paraId="1399305B">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Author Biographies</w:t>
      </w:r>
    </w:p>
    <w:p w14:paraId="4CC8798D">
      <w:pPr>
        <w:spacing w:line="480" w:lineRule="auto"/>
        <w:rPr>
          <w:rFonts w:ascii="Times New Roman" w:hAnsi="Times New Roman"/>
          <w:color w:val="222222"/>
          <w:sz w:val="24"/>
          <w:szCs w:val="24"/>
          <w:shd w:val="clear" w:color="auto" w:fill="FFFFFF"/>
        </w:rPr>
      </w:pPr>
    </w:p>
    <w:p w14:paraId="15BD3AA8">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Xiaoshuai An received his M.S. degree from the Harbin Institute of Technology, Shenzhen. He is currently a joint Ph.D. student at the Southern University of Science and Technology and the University of Hong Kong. His research interests include GaN-based monolithic photonic chips, wearable electronics, and microfluidics.</w:t>
      </w:r>
    </w:p>
    <w:p w14:paraId="17800B9C">
      <w:pPr>
        <w:spacing w:line="480" w:lineRule="auto"/>
        <w:jc w:val="both"/>
        <w:rPr>
          <w:rFonts w:ascii="Times New Roman" w:hAnsi="Times New Roman"/>
          <w:color w:val="222222"/>
          <w:sz w:val="24"/>
          <w:szCs w:val="24"/>
          <w:shd w:val="clear" w:color="auto" w:fill="FFFFFF"/>
        </w:rPr>
      </w:pPr>
    </w:p>
    <w:p w14:paraId="264A2B93">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Hongying Yang received her M.S. degree from the Southern University of Science and Technology. She is currently working toward the Ph.D. degree at the Southern University of Science and Technology. Her research interests include monolithic GaN chips and temperature sensing systems.</w:t>
      </w:r>
    </w:p>
    <w:p w14:paraId="06768052">
      <w:pPr>
        <w:spacing w:line="480" w:lineRule="auto"/>
        <w:rPr>
          <w:rFonts w:ascii="Times New Roman" w:hAnsi="Times New Roman"/>
          <w:color w:val="222222"/>
          <w:sz w:val="24"/>
          <w:szCs w:val="24"/>
          <w:shd w:val="clear" w:color="auto" w:fill="FFFFFF"/>
        </w:rPr>
      </w:pPr>
    </w:p>
    <w:p w14:paraId="0B257C12">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Yumeng Luo received her B.S. degree from the Southern University of Science and Technology. She is currently working toward the Ph.D. degree at the joint program of Southern University of Science and Technology and The Hong Kong University of Science and Technology. Her research interests include on-chip integration of GaN units and force sensing. </w:t>
      </w:r>
    </w:p>
    <w:p w14:paraId="38156D72">
      <w:pPr>
        <w:spacing w:line="480" w:lineRule="auto"/>
        <w:rPr>
          <w:rFonts w:ascii="Times New Roman" w:hAnsi="Times New Roman"/>
          <w:color w:val="222222"/>
          <w:sz w:val="24"/>
          <w:szCs w:val="24"/>
          <w:shd w:val="clear" w:color="auto" w:fill="FFFFFF"/>
        </w:rPr>
      </w:pPr>
    </w:p>
    <w:p w14:paraId="29147D04">
      <w:pPr>
        <w:spacing w:line="48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Zhiqin Chu is currently an Assistant Professor in the Department of Electrical and Electronic Engineering (Joint Appointment with the School of Biomedical Sciences) at the University of Hong Kong. His current research interests include quantum sensing, biophysics, biophotonics, and materials-biology interface.</w:t>
      </w:r>
    </w:p>
    <w:p w14:paraId="120CCAB0">
      <w:pPr>
        <w:spacing w:line="480" w:lineRule="auto"/>
        <w:rPr>
          <w:rFonts w:ascii="Times New Roman" w:hAnsi="Times New Roman"/>
          <w:color w:val="222222"/>
          <w:sz w:val="24"/>
          <w:szCs w:val="24"/>
          <w:shd w:val="clear" w:color="auto" w:fill="FFFFFF"/>
        </w:rPr>
      </w:pPr>
    </w:p>
    <w:p w14:paraId="0FC87950">
      <w:pPr>
        <w:spacing w:line="480" w:lineRule="auto"/>
        <w:rPr>
          <w:rFonts w:ascii="Times New Roman" w:hAnsi="Times New Roman"/>
          <w:color w:val="222222"/>
          <w:sz w:val="24"/>
          <w:szCs w:val="24"/>
          <w:shd w:val="clear" w:color="auto" w:fill="FFFFFF"/>
        </w:rPr>
        <w:sectPr>
          <w:type w:val="continuous"/>
          <w:pgSz w:w="12240" w:h="15840"/>
          <w:pgMar w:top="1440" w:right="1803" w:bottom="1440" w:left="1803" w:header="720" w:footer="720" w:gutter="0"/>
          <w:cols w:space="446" w:num="1"/>
          <w:docGrid w:linePitch="360" w:charSpace="0"/>
        </w:sectPr>
      </w:pPr>
      <w:r>
        <w:rPr>
          <w:rFonts w:ascii="Times New Roman" w:hAnsi="Times New Roman"/>
          <w:color w:val="222222"/>
          <w:sz w:val="24"/>
          <w:szCs w:val="24"/>
          <w:shd w:val="clear" w:color="auto" w:fill="FFFFFF"/>
        </w:rPr>
        <w:t>Kwai Hei Li is currently working as an assistant professor in the School of Microelectronics at the Southern University of Science and Technology. His current research interests include the design, fabrication, and characterization of III-nitride optoelectronic devices.</w:t>
      </w:r>
    </w:p>
    <w:p w14:paraId="03AFD9A6">
      <w:pPr>
        <w:spacing w:line="480" w:lineRule="auto"/>
        <w:rPr>
          <w:rFonts w:hint="eastAsia" w:ascii="Times New Roman" w:hAnsi="Times New Roman"/>
          <w:color w:val="222222"/>
          <w:sz w:val="24"/>
          <w:szCs w:val="24"/>
          <w:shd w:val="clear" w:color="auto" w:fill="FFFFFF"/>
        </w:rPr>
      </w:pPr>
    </w:p>
    <w:p w14:paraId="5F8C1250">
      <w:pPr>
        <w:rPr>
          <w:smallCaps/>
          <w:kern w:val="16"/>
          <w:position w:val="2"/>
          <w:sz w:val="44"/>
        </w:rPr>
      </w:pPr>
      <w:r>
        <w:rPr>
          <w:smallCaps/>
          <w:kern w:val="16"/>
          <w:position w:val="2"/>
          <w:sz w:val="44"/>
        </w:rPr>
        <w:br w:type="page"/>
      </w:r>
      <w:bookmarkStart w:id="6" w:name="_GoBack"/>
      <w:bookmarkEnd w:id="6"/>
    </w:p>
    <w:p w14:paraId="6511D092">
      <w:pPr>
        <w:rPr>
          <w:smallCaps/>
          <w:kern w:val="16"/>
          <w:position w:val="2"/>
          <w:sz w:val="44"/>
        </w:rPr>
      </w:pPr>
    </w:p>
    <w:p w14:paraId="5AE45A20">
      <w:pPr>
        <w:pStyle w:val="14"/>
        <w:spacing w:line="480" w:lineRule="auto"/>
        <w:rPr>
          <w:smallCaps w:val="0"/>
          <w:color w:val="auto"/>
          <w:kern w:val="16"/>
          <w:position w:val="2"/>
          <w:sz w:val="44"/>
        </w:rPr>
      </w:pPr>
      <w:r>
        <w:rPr>
          <w:smallCaps w:val="0"/>
          <w:color w:val="auto"/>
          <w:kern w:val="16"/>
          <w:position w:val="2"/>
          <w:sz w:val="44"/>
        </w:rPr>
        <w:t>Ultrafast Miniaturized GaN-based Optoelectronic Proximity Sensor</w:t>
      </w:r>
    </w:p>
    <w:p w14:paraId="0F4C2379">
      <w:pPr>
        <w:pStyle w:val="20"/>
        <w:spacing w:line="480" w:lineRule="auto"/>
        <w:rPr>
          <w:color w:val="000000" w:themeColor="text1"/>
          <w14:textFill>
            <w14:solidFill>
              <w14:schemeClr w14:val="tx1"/>
            </w14:solidFill>
          </w14:textFill>
        </w:rPr>
      </w:pPr>
      <w:r>
        <w:rPr>
          <w:rFonts w:ascii="Times New Roman" w:hAnsi="Times New Roman"/>
        </w:rPr>
        <w:t>In this work, a novel ultrafast optoelectronic proximity sensor based on a submillimeter-sized GaN monolithic chip is presented. Fabricated through wafer-scale microfabrication processes, the on-chip units adopting identical InGaN/GaN diode structures can function as emitters and receivers. The optoelectronic properties of the on-chip units are thoroughly investigated and the ability of the receivers to respond to changes in light intensity from the emitter is verified, revealing that the sensor is suitable for operation in reflection mode. Through a series of dynamic measurements, the sensor is highly sensitive to object movement at sub-centimeter distances with high repeatability. The sensor exhibits ultrafast microsecond response, and its real-time monitoring capability is also demonstrated by applying it to detect slight motions of moving objects at different frequencies, including the human heart rate, the vibration of the rotary pump, the oscillation of the speaker diaphragm, and the speed of the rotating disk. The compact and elegant integration scheme presented herein opens a new avenue for realizing a chip-scale proximity sensing device, making it a promising candidate for widespread practical applications.</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 xml:space="preserve"> 2022 Chinese Laser Press</w:t>
      </w:r>
    </w:p>
    <w:p w14:paraId="76F9823D">
      <w:pPr>
        <w:pStyle w:val="22"/>
        <w:spacing w:line="480" w:lineRule="auto"/>
        <w:rPr>
          <w:color w:val="000000" w:themeColor="text1"/>
          <w14:textFill>
            <w14:solidFill>
              <w14:schemeClr w14:val="tx1"/>
            </w14:solidFill>
          </w14:textFill>
        </w:rPr>
      </w:pPr>
    </w:p>
    <w:p w14:paraId="15D67D4F">
      <w:pPr>
        <w:pStyle w:val="64"/>
        <w:spacing w:line="480" w:lineRule="auto"/>
      </w:pPr>
      <w:r>
        <w:t>Proximity sensors capable of converting information on the movement of nearby objects into electrical signals without physical contact are of great significance in a wide range of applications, such as mobile robotics, human-machine interactions, and inspection in industrial manufacturing processes, production lines, and conveyors [1-4]. Various types of methods have been reported to achieve effective proximity sensing, the most common of which are based on the magnetic, capacitive, and inductive [5-9]. Alternatively, proximity detections via optical techniques have high potential. use due to their advantages of fast response, high sensitivity, and immunity to electromagnetic interference [10-12]. Operating in reflection/transmission modes, the optoelectronic sensors are typically implemented by assembling two basic components of an illumination source and a photodetector. The presence or absence of an object near the sensing elements varies the reflected/transmitted light, and the detected signals can be analyzed to determine its proximity status.</w:t>
      </w:r>
    </w:p>
    <w:p w14:paraId="2A5DAC03">
      <w:pPr>
        <w:pStyle w:val="64"/>
        <w:spacing w:line="480" w:lineRule="auto"/>
      </w:pPr>
      <w:r>
        <w:t>To meet the ongoing demand for highly portable miniaturized systems, the development of rapid, compact, robust, and lightweight proximity sensors has become more urgent. Recently, proximity measurement based on organic light-emitting diodes (OLED) and photodiodes (OPD) has been reported [13-15], revealing the potential for large-scale on-chip integration. Alternatively, inorganic GaN-based semiconductors and its alloys are the ideal material for developing light-emitting devices, which provide distinct performances over their organic counterparts in terms of efficiency, lifespan, response time, and physical and chemical stability [16-18]. Moreover, monolithic integration of multiple GaN-based optical and electrical components has been demonstrated to be an effective means to enhance the ease of fabrication, compactness, robustness, and functionality [19-22]. In particular, on-chip integration of high-performance GaN-based components, including light-emitting diodes (LEDs), high electron mobility transistors (HEMTs), waveguides, and photodiodes (PDs) have been reported to form micro-optoelectronic systems. [</w:t>
      </w:r>
      <w:r>
        <w:rPr>
          <w:rFonts w:eastAsia="Meiryo" w:cs="Times New Roman"/>
          <w:szCs w:val="21"/>
          <w:shd w:val="clear" w:color="auto" w:fill="FFFFFF"/>
        </w:rPr>
        <w:t>23-25]</w:t>
      </w:r>
      <w:r>
        <w:rPr>
          <w:rFonts w:cs="Times New Roman"/>
        </w:rPr>
        <w:t>. Although recent experime</w:t>
      </w:r>
      <w:r>
        <w:t xml:space="preserve">ntal studies on optical detection have been proposed together with the demonstrations of potential applications, such as stabilizing the intensity output of LED light sources [26] </w:t>
      </w:r>
      <w:r>
        <w:rPr>
          <w:rFonts w:hint="eastAsia"/>
          <w:lang w:eastAsia="zh-CN"/>
        </w:rPr>
        <w:t>and</w:t>
      </w:r>
      <w:r>
        <w:t xml:space="preserve"> detecting the heart pulse in contact mode [27], proximity sensors based on GaN material platforms remain unexploited. In this work, the fabrication of an ultracompact chip-scale sensor is demonstrated for proximity measurement. The InGaN-diode structures can function as emitters and receivers, fabricated on a GaN-on-sapphire wafer in a flip-chip configuration by a monolithic integration approach. The proposed sensor with multiple sensing units can operate in a non-contact mode, potentially enhancing its measurement flexibility in various practical applications. Apart from the optoelectronic characteristic of the on-chip components, extensive measurements are carried out to validate the proposed proximity instrument and demonstrate its real-time monitoring capability under different dynamic conditions. </w:t>
      </w:r>
    </w:p>
    <w:p w14:paraId="737FDB2C">
      <w:pPr>
        <w:pStyle w:val="64"/>
        <w:spacing w:line="480" w:lineRule="auto"/>
        <w:rPr>
          <w:rFonts w:cs="Times New Roman"/>
        </w:rPr>
      </w:pPr>
      <w:r>
        <w:t xml:space="preserve">On-chip sensing units with the same diode-based structure are simultaneously fabricated on a GaN-on-sapphire wafer using standard microfabrication techniques, as schematically depicted in Fig. 1(a). Grown by metal-organic chemical vapor deposition (MOCVD) on a 4-in sapphire substrate, the epitaxial structure consists of </w:t>
      </w:r>
      <w:r>
        <w:rPr>
          <w:rFonts w:hint="eastAsia"/>
          <w:lang w:eastAsia="zh-CN"/>
        </w:rPr>
        <w:t>3-</w:t>
      </w:r>
      <w:r>
        <w:rPr>
          <w:rFonts w:eastAsia="宋体" w:cs="Times New Roman"/>
        </w:rPr>
        <w:t>μ</w:t>
      </w:r>
      <w:r>
        <w:rPr>
          <w:rFonts w:cs="Times New Roman"/>
        </w:rPr>
        <w:t xml:space="preserve">m </w:t>
      </w:r>
      <w:r>
        <w:t xml:space="preserve">undoped GaN (u-GaN), </w:t>
      </w:r>
      <w:r>
        <w:rPr>
          <w:lang w:eastAsia="zh-CN"/>
        </w:rPr>
        <w:t>2.5</w:t>
      </w:r>
      <w:r>
        <w:rPr>
          <w:rFonts w:hint="eastAsia"/>
          <w:lang w:eastAsia="zh-CN"/>
        </w:rPr>
        <w:t>-</w:t>
      </w:r>
      <w:r>
        <w:rPr>
          <w:rFonts w:eastAsia="宋体" w:cs="Times New Roman"/>
        </w:rPr>
        <w:t>μ</w:t>
      </w:r>
      <w:r>
        <w:rPr>
          <w:rFonts w:cs="Times New Roman"/>
        </w:rPr>
        <w:t>m</w:t>
      </w:r>
      <w:r>
        <w:t xml:space="preserve"> Si-doped GaN (n-GaN), </w:t>
      </w:r>
      <w:r>
        <w:rPr>
          <w:rFonts w:cstheme="minorHAnsi"/>
          <w:szCs w:val="21"/>
          <w:shd w:val="clear" w:color="auto" w:fill="FFFFFF"/>
        </w:rPr>
        <w:t>14-pair In</w:t>
      </w:r>
      <w:r>
        <w:rPr>
          <w:rFonts w:cstheme="minorHAnsi"/>
          <w:szCs w:val="21"/>
          <w:shd w:val="clear" w:color="auto" w:fill="FFFFFF"/>
          <w:vertAlign w:val="subscript"/>
        </w:rPr>
        <w:t>0.16</w:t>
      </w:r>
      <w:r>
        <w:rPr>
          <w:rFonts w:cstheme="minorHAnsi"/>
          <w:szCs w:val="21"/>
          <w:shd w:val="clear" w:color="auto" w:fill="FFFFFF"/>
        </w:rPr>
        <w:t>Ga</w:t>
      </w:r>
      <w:r>
        <w:rPr>
          <w:rFonts w:cstheme="minorHAnsi"/>
          <w:szCs w:val="21"/>
          <w:shd w:val="clear" w:color="auto" w:fill="FFFFFF"/>
          <w:vertAlign w:val="subscript"/>
        </w:rPr>
        <w:t>0.84</w:t>
      </w:r>
      <w:r>
        <w:rPr>
          <w:rFonts w:cstheme="minorHAnsi"/>
          <w:szCs w:val="21"/>
          <w:shd w:val="clear" w:color="auto" w:fill="FFFFFF"/>
        </w:rPr>
        <w:t>N(2.5 nm)/GaN(10 nm)</w:t>
      </w:r>
      <w:r>
        <w:t xml:space="preserve"> multi-quantum wells (MQWs), </w:t>
      </w:r>
      <w:r>
        <w:rPr>
          <w:rFonts w:eastAsia="Meiryo" w:cstheme="minorHAnsi"/>
          <w:szCs w:val="21"/>
        </w:rPr>
        <w:t>and 0.2 μm of Mg-doped</w:t>
      </w:r>
      <w:r>
        <w:t xml:space="preserve"> (p-GaN). Processing of the wafers begins with the deposition of a 200-nm thick indium-tin-oxide (ITO) current spreading layer over p-GaN as a p-contact layer. The 310×310 μm</w:t>
      </w:r>
      <w:r>
        <w:rPr>
          <w:vertAlign w:val="superscript"/>
        </w:rPr>
        <w:t>2</w:t>
      </w:r>
      <w:r>
        <w:t xml:space="preserve"> mesa regions are formed by photolithography, and the unmasked GaN regions are etched to expose the n-GaN surface by inductively coupled plasma (ICP) etching. A Cr/Al/Ti/Pt/Au/Ti layer as electrodes is deposited by electron-beam evaporation. The remaining GaN regions between the units are fully removed via photolithography combined with ICP etching. A SiO</w:t>
      </w:r>
      <w:r>
        <w:rPr>
          <w:vertAlign w:val="subscript"/>
        </w:rPr>
        <w:t xml:space="preserve">2 </w:t>
      </w:r>
      <w:r>
        <w:t xml:space="preserve">passivation layer with a thickness of 0.36 μm is coated by plasma-enhanced chemical vapor deposition. A 3.16-um-thick </w:t>
      </w:r>
      <w:r>
        <w:rPr>
          <w:rFonts w:cs="Times New Roman"/>
          <w:szCs w:val="21"/>
          <w:shd w:val="clear" w:color="auto" w:fill="FFFFFF"/>
        </w:rPr>
        <w:t xml:space="preserve">distributed Bragg reflector </w:t>
      </w:r>
      <w:r>
        <w:rPr>
          <w:lang w:eastAsia="zh-CN"/>
        </w:rPr>
        <w:t>(</w:t>
      </w:r>
      <w:r>
        <w:t>DBR), which consists of 23 pairs of alternately stacked TiO</w:t>
      </w:r>
      <w:r>
        <w:rPr>
          <w:vertAlign w:val="subscript"/>
        </w:rPr>
        <w:t>2</w:t>
      </w:r>
      <w:r>
        <w:t xml:space="preserve"> and SiO</w:t>
      </w:r>
      <w:r>
        <w:rPr>
          <w:vertAlign w:val="subscript"/>
        </w:rPr>
        <w:t>2</w:t>
      </w:r>
      <w:r>
        <w:t xml:space="preserve"> layers, is deposited by an optical thin-film coater (Optorun OTFC-1300DBI). During the coating process, the reflectance of the sample is monitored and the layer thickness is modified according to the referenced reflectance signals, resulting in the thickness variation of TiO</w:t>
      </w:r>
      <w:r>
        <w:rPr>
          <w:vertAlign w:val="subscript"/>
        </w:rPr>
        <w:t>2</w:t>
      </w:r>
      <w:r>
        <w:t xml:space="preserve"> and SiO</w:t>
      </w:r>
      <w:r>
        <w:rPr>
          <w:vertAlign w:val="subscript"/>
        </w:rPr>
        <w:t>2</w:t>
      </w:r>
      <w:r>
        <w:t xml:space="preserve"> layers in the range of tens to a hundred </w:t>
      </w:r>
      <w:r>
        <w:rPr>
          <w:rFonts w:hint="eastAsia"/>
          <w:lang w:eastAsia="zh-CN"/>
        </w:rPr>
        <w:t>n</w:t>
      </w:r>
      <w:r>
        <w:rPr>
          <w:lang w:eastAsia="zh-CN"/>
        </w:rPr>
        <w:t>anometers</w:t>
      </w:r>
      <w:r>
        <w:t>. The p-pad and n-pad regions are then defined by photolithography, and metal pads are sequentially electron-beam dep</w:t>
      </w:r>
      <w:r>
        <w:rPr>
          <w:rFonts w:cs="Times New Roman"/>
        </w:rPr>
        <w:t>osited. The random rough surface of the unpolished sapphire substrate introduces scattering effects on the incoming light, which may lead to unpredictable characteristics of light propagation behavior. To avoid this, the sapphire substrate is polished to a thickness of 200 μm</w:t>
      </w:r>
      <w:r>
        <w:rPr>
          <w:rFonts w:eastAsia="PMingLiU" w:cs="Times New Roman"/>
          <w:lang w:eastAsia="zh-TW"/>
        </w:rPr>
        <w:t xml:space="preserve">. </w:t>
      </w:r>
      <w:r>
        <w:rPr>
          <w:rFonts w:cs="Times New Roman"/>
        </w:rPr>
        <w:t>The diced chip is packaged on an Al-based PCB by flip-chip bonding, as shown in Fig. 1(b). The figure inset shows an 880×880 μm</w:t>
      </w:r>
      <w:r>
        <w:rPr>
          <w:rFonts w:cs="Times New Roman"/>
          <w:vertAlign w:val="superscript"/>
        </w:rPr>
        <w:t>2</w:t>
      </w:r>
      <w:r>
        <w:rPr>
          <w:rFonts w:cs="Times New Roman"/>
        </w:rPr>
        <w:t xml:space="preserve"> chip, consisting of four identical units, each having a size of 310×310 μm</w:t>
      </w:r>
      <w:r>
        <w:rPr>
          <w:rFonts w:cs="Times New Roman"/>
          <w:vertAlign w:val="superscript"/>
        </w:rPr>
        <w:t>2</w:t>
      </w:r>
      <w:r>
        <w:rPr>
          <w:rFonts w:cs="Times New Roman"/>
        </w:rPr>
        <w:t>.</w:t>
      </w:r>
    </w:p>
    <w:p w14:paraId="5432F0D3">
      <w:pPr>
        <w:pStyle w:val="64"/>
        <w:spacing w:line="480" w:lineRule="auto"/>
      </w:pPr>
      <w:r>
        <w:t>Fig. 1(c) depicts the working mechanism of proximity measurement based on the proposed sensor. The on-chip units based on the InGaN diode structure can operate as an emitter and receiver, connected to a current source and ammeter, respectively. In the InGaN layers of the emitter, light emission is generated through the radiative recombination of the confined carriers. The emitted light can be absorbed by the InGaN layers in the receiver to produce an electron-hole pair due to the partial overlap between the emission and the absorption spectra [26,28,29]. The light propagating through the transparent sapphire substrate experiences varying degrees of reflection depending on the proximity conditions of the object, and the measured photocurrent can be used to reflect its position changes.</w:t>
      </w:r>
    </w:p>
    <w:p w14:paraId="5EEA3695">
      <w:pPr>
        <w:pStyle w:val="64"/>
        <w:spacing w:line="480" w:lineRule="auto"/>
        <w:ind w:firstLine="320" w:firstLineChars="160"/>
        <w:rPr>
          <w:b/>
          <w:bCs/>
          <w:smallCaps/>
          <w:sz w:val="24"/>
          <w:szCs w:val="24"/>
        </w:rPr>
      </w:pPr>
      <w:r>
        <w:t xml:space="preserve">The current-voltage (I-V) properties of the on-chip units are measured by a Keithley 2450 sourcemeter with a resolution of 50 pA. As an emitter, the forward voltage is measured to be 2.80 V at a driving current of 10 mA, as shown in Fig. 2(a). The dynamic resistance extracted from the slope of the linear region of the I-V curve is 15.1 Ω. </w:t>
      </w:r>
      <w:r>
        <w:rPr>
          <w:rFonts w:hint="eastAsia"/>
          <w:lang w:eastAsia="zh-CN"/>
        </w:rPr>
        <w:t>F</w:t>
      </w:r>
      <w:r>
        <w:rPr>
          <w:lang w:eastAsia="zh-CN"/>
        </w:rPr>
        <w:t xml:space="preserve">ig. 2(b) plots the </w:t>
      </w:r>
      <w:r>
        <w:rPr>
          <w:rFonts w:eastAsia="PMingLiU"/>
          <w:lang w:eastAsia="zh-TW"/>
        </w:rPr>
        <w:t>emission</w:t>
      </w:r>
      <w:r>
        <w:rPr>
          <w:rFonts w:hint="eastAsia" w:eastAsia="PMingLiU"/>
          <w:lang w:eastAsia="zh-TW"/>
        </w:rPr>
        <w:t xml:space="preserve"> </w:t>
      </w:r>
      <w:r>
        <w:rPr>
          <w:lang w:eastAsia="zh-CN"/>
        </w:rPr>
        <w:t xml:space="preserve">spectrum of the emitter with a peak wavelength of 452 nm. As shown in the same figure, the DBR as a bottom reflector provides the reflectance of &gt;0.96 for the spectral range of 410-500 nm. </w:t>
      </w:r>
      <w:r>
        <w:t>Since the same InGaN/GaN multi-quantum wells (MQWs) diode structure is used for light emission and detection, it is important to study the ability of the receiver to detect light from the emitter. Fig. 2(c) plots the photocurrent as functions of the voltage of the receiver under different emitter currents. The currents measured under reverse bias voltages are below 1 nA without illumination. The current level increases above 1 μA when the emitter current exceeds 1 mA. The etched sidewalls passivated with the oxide layer can effectively inhibit the leakage current, resulting in a stable reverse bias current. Moreover, the current at a reverse bias voltage of up to -20 V is less than 10</w:t>
      </w:r>
      <w:r>
        <w:rPr>
          <w:vertAlign w:val="superscript"/>
        </w:rPr>
        <w:t>-7</w:t>
      </w:r>
      <w:r>
        <w:t xml:space="preserve"> A and the receiver can function properly without damage after multiple voltage sweeps, as illustrated in Fig. 2(d). Extracted from Fig. 2(c), the photocurrent of the unbiased receiver as a function of the current of the emitter is plotted in Fig. 2(e). The highly linear behavior implies that the detected photocurrent can be used to indicate the changes in reflected light intensity. When the driving current of the emitter increases from 1 mA to 16 mA, the change in photocurrent rises monotonically from 1.2 μA to 33.7 μA.</w:t>
      </w:r>
    </w:p>
    <w:p w14:paraId="78EB9751">
      <w:pPr>
        <w:pStyle w:val="64"/>
        <w:spacing w:line="480" w:lineRule="auto"/>
        <w:ind w:firstLine="0"/>
        <w:jc w:val="center"/>
      </w:pPr>
      <w:r>
        <w:rPr>
          <w:lang w:eastAsia="zh-CN"/>
        </w:rPr>
        <w:drawing>
          <wp:inline distT="0" distB="0" distL="0" distR="0">
            <wp:extent cx="6496050" cy="33489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496050" cy="3348990"/>
                    </a:xfrm>
                    <a:prstGeom prst="rect">
                      <a:avLst/>
                    </a:prstGeom>
                    <a:noFill/>
                    <a:ln>
                      <a:noFill/>
                    </a:ln>
                  </pic:spPr>
                </pic:pic>
              </a:graphicData>
            </a:graphic>
          </wp:inline>
        </w:drawing>
      </w:r>
    </w:p>
    <w:p w14:paraId="0118E89A">
      <w:pPr>
        <w:pStyle w:val="28"/>
        <w:spacing w:line="480" w:lineRule="auto"/>
        <w:rPr>
          <w:color w:val="000000" w:themeColor="text1"/>
          <w14:textFill>
            <w14:solidFill>
              <w14:schemeClr w14:val="tx1"/>
            </w14:solidFill>
          </w14:textFill>
        </w:rPr>
      </w:pPr>
      <w:r>
        <w:rPr>
          <w:color w:val="000000" w:themeColor="text1"/>
          <w:lang w:eastAsia="zh-TW"/>
          <w14:textFill>
            <w14:solidFill>
              <w14:schemeClr w14:val="tx1"/>
            </w14:solidFill>
          </w14:textFill>
        </w:rPr>
        <w:t xml:space="preserve">Fig. 2. (a) I-V characteristic of the on-chip unit as an emitter. Inset shows the light output intensity as a function of injection current. </w:t>
      </w:r>
      <w:r>
        <w:rPr>
          <w:rFonts w:hint="eastAsia" w:eastAsia="PMingLiU"/>
          <w:color w:val="000000" w:themeColor="text1"/>
          <w:lang w:eastAsia="zh-TW"/>
          <w14:textFill>
            <w14:solidFill>
              <w14:schemeClr w14:val="tx1"/>
            </w14:solidFill>
          </w14:textFill>
        </w:rPr>
        <w:t xml:space="preserve">(b) </w:t>
      </w:r>
      <w:r>
        <w:rPr>
          <w:rFonts w:eastAsia="PMingLiU"/>
          <w:color w:val="000000" w:themeColor="text1"/>
          <w:lang w:eastAsia="zh-TW"/>
          <w14:textFill>
            <w14:solidFill>
              <w14:schemeClr w14:val="tx1"/>
            </w14:solidFill>
          </w14:textFill>
        </w:rPr>
        <w:t>Emission</w:t>
      </w:r>
      <w:r>
        <w:rPr>
          <w:rFonts w:hint="eastAsia" w:eastAsia="PMingLiU"/>
          <w:color w:val="000000" w:themeColor="text1"/>
          <w:lang w:eastAsia="zh-TW"/>
          <w14:textFill>
            <w14:solidFill>
              <w14:schemeClr w14:val="tx1"/>
            </w14:solidFill>
          </w14:textFill>
        </w:rPr>
        <w:t xml:space="preserve"> </w:t>
      </w:r>
      <w:r>
        <w:rPr>
          <w:rFonts w:eastAsia="PMingLiU"/>
          <w:color w:val="000000" w:themeColor="text1"/>
          <w:lang w:eastAsia="zh-TW"/>
          <w14:textFill>
            <w14:solidFill>
              <w14:schemeClr w14:val="tx1"/>
            </w14:solidFill>
          </w14:textFill>
        </w:rPr>
        <w:t xml:space="preserve">spectrum of the emitter operating at 10 mA and reflectance plot of the DBR measured at normal incidence. </w:t>
      </w:r>
      <w:r>
        <w:rPr>
          <w:color w:val="000000" w:themeColor="text1"/>
          <w:lang w:eastAsia="zh-TW"/>
          <w14:textFill>
            <w14:solidFill>
              <w14:schemeClr w14:val="tx1"/>
            </w14:solidFill>
          </w14:textFill>
        </w:rPr>
        <w:t xml:space="preserve">(c) I-V characteristic of the on-chip unit as a receiver when the emitter operates at different currents. </w:t>
      </w:r>
      <w:r>
        <w:rPr>
          <w:rFonts w:eastAsia="PMingLiU"/>
          <w:color w:val="000000" w:themeColor="text1"/>
          <w:lang w:eastAsia="zh-TW"/>
          <w14:textFill>
            <w14:solidFill>
              <w14:schemeClr w14:val="tx1"/>
            </w14:solidFill>
          </w14:textFill>
        </w:rPr>
        <w:t xml:space="preserve">(d) I-V characteristic of the receiver measured at reverse bias voltages of up to -20 V. </w:t>
      </w:r>
      <w:r>
        <w:rPr>
          <w:color w:val="000000" w:themeColor="text1"/>
          <w:lang w:eastAsia="zh-TW"/>
          <w14:textFill>
            <w14:solidFill>
              <w14:schemeClr w14:val="tx1"/>
            </w14:solidFill>
          </w14:textFill>
        </w:rPr>
        <w:t>(e) Plot of photocurrent of the receiver versus driving current of the emitter.</w:t>
      </w:r>
      <w:r>
        <w:rPr>
          <w:rFonts w:eastAsia="PMingLiU"/>
          <w:color w:val="000000" w:themeColor="text1"/>
          <w:lang w:eastAsia="zh-TW"/>
          <w14:textFill>
            <w14:solidFill>
              <w14:schemeClr w14:val="tx1"/>
            </w14:solidFill>
          </w14:textFill>
        </w:rPr>
        <w:t xml:space="preserve"> </w:t>
      </w:r>
      <w:r>
        <w:rPr>
          <w:color w:val="000000" w:themeColor="text1"/>
          <w:lang w:eastAsia="zh-TW"/>
          <w14:textFill>
            <w14:solidFill>
              <w14:schemeClr w14:val="tx1"/>
            </w14:solidFill>
          </w14:textFill>
        </w:rPr>
        <w:t>(f) Photocurrent as a function of the distance of the sensor from the films with varying reflectance. Inset shows photocurrent change versus the distance of the sensor from the films on a logarithmic scale.</w:t>
      </w:r>
    </w:p>
    <w:p w14:paraId="2710501F">
      <w:pPr>
        <w:pStyle w:val="64"/>
        <w:spacing w:line="480" w:lineRule="auto"/>
        <w:rPr>
          <w:rFonts w:eastAsia="PMingLiU"/>
          <w:lang w:eastAsia="zh-TW"/>
        </w:rPr>
      </w:pPr>
      <w:r>
        <w:t xml:space="preserve">To investigate the ability of the sensor to detect objects, an Al foil, blue- and black-colored films with different reflectance (R= 0.78, 0.21, and 0.06 </w:t>
      </w:r>
      <w:r>
        <w:rPr>
          <w:rFonts w:hint="eastAsia" w:eastAsia="PMingLiU"/>
          <w:lang w:eastAsia="zh-TW"/>
        </w:rPr>
        <w:t>a</w:t>
      </w:r>
      <w:r>
        <w:rPr>
          <w:rFonts w:eastAsia="PMingLiU"/>
          <w:lang w:eastAsia="zh-TW"/>
        </w:rPr>
        <w:t>t normal incidence</w:t>
      </w:r>
      <w:r>
        <w:t xml:space="preserve">) to blue emission are placed at different intervals from the sensor. During the measurement, the emitter is biased at 10 mA and the movements of Al foil and colored films are controlled by a motorized stage. From the curves plotted in Fig. 2(f), it can be seen that the change in measured photocurrent decreases with the increase of the distance from the sensor for both Al foil and colored films. </w:t>
      </w:r>
      <w:r>
        <w:rPr>
          <w:rFonts w:hint="eastAsia" w:eastAsia="PMingLiU"/>
          <w:lang w:eastAsia="zh-TW"/>
        </w:rPr>
        <w:t xml:space="preserve">Although the </w:t>
      </w:r>
      <w:r>
        <w:rPr>
          <w:rFonts w:eastAsia="PMingLiU"/>
          <w:lang w:eastAsia="zh-TW"/>
        </w:rPr>
        <w:t xml:space="preserve">reflectance of the </w:t>
      </w:r>
      <w:r>
        <w:rPr>
          <w:rFonts w:hint="eastAsia" w:eastAsia="PMingLiU"/>
          <w:lang w:eastAsia="zh-TW"/>
        </w:rPr>
        <w:t xml:space="preserve">Al foil </w:t>
      </w:r>
      <w:r>
        <w:rPr>
          <w:rFonts w:eastAsia="PMingLiU"/>
          <w:lang w:eastAsia="zh-TW"/>
        </w:rPr>
        <w:t xml:space="preserve">is known to decrease with increasing incidence angle [30], the Al foil can still introduce more significant changes in photocurrent compared with the colored films. </w:t>
      </w:r>
      <w:r>
        <w:t>The photocurrents are plotted on a logarithmic scale in the inset of Fig. 2(f), indicating that the sensor can respond to a distance of up to 3 mm from the sensor.</w:t>
      </w:r>
    </w:p>
    <w:p w14:paraId="0EF6B0E0">
      <w:pPr>
        <w:pStyle w:val="64"/>
        <w:spacing w:line="480" w:lineRule="auto"/>
      </w:pPr>
      <w:r>
        <w:t xml:space="preserve">The transient response of the sensor is investigated by biasing the emitter with a 50 % duty-cycle square wave at 50 kHz supplied by a signal generator (RIGOL DG1022Z) and the photovoltage signals are measured using a </w:t>
      </w:r>
      <w:bookmarkStart w:id="0" w:name="_Hlk105771062"/>
      <w:r>
        <w:t>Stanford Research Systems SR570 current preamplifier connected to a Tektronix MDO32 3-BW-100 oscilloscope</w:t>
      </w:r>
      <w:bookmarkEnd w:id="0"/>
      <w:r>
        <w:t>. Fig. 3(a) shows the results measured when the square wave signals with different high levels and with the same low level of 0 V are injected onto the emitter. For the applied voltage level of 2.8 V, the rise and fall times defined as the time required for signals to reach the steady maximum/minimum values are found to be 3.5 μs and 3.6 μs, which are the fastest response time of proximity sensors ever reported in the literature [31-35]. With increasing the high voltage levels to 3.0 V and 3.2 V, the rise and fall times are found to be nearly identical, as shown in Fig. 3(a). The fast response time of the proximity sensor can be attributed to the rapid photoelectric conversion in the emitter and detector employing the InGaN/GaN diode structure. The fast radiative recombination rate in the InGaN/GaN MQWs enables high-speed emitters, and the miniature device can effectively reduce the resistive-capacitive (RC) decay for the photoelectric conversion [36]. Different from hybrid assembly methods used in the reported proximity sensing units shown in Table 1, the monolithic integration design together with wafer-scale fabrication techniques can not only reduce the size of InGaN/GaN diode units to the sub-millimeter scale, but also make low-cost, large-scale and high-density integration possible. The total cost of each fabricated chip along with the PCB package is less than $ 0.50. It is also worth noting that the size and response/recovery times of the proposed sensor remain superior, compared to the commercial ones listed in Table 1.</w:t>
      </w:r>
    </w:p>
    <w:p w14:paraId="1A6DC43B">
      <w:pPr>
        <w:pStyle w:val="64"/>
        <w:spacing w:line="480" w:lineRule="auto"/>
      </w:pPr>
      <w:r>
        <w:t xml:space="preserve">To evaluate the dynamic characteristics of the sensor, a circular Al foil with a diameter of 6 mm is attached to the end of an optical post and </w:t>
      </w:r>
      <w:r>
        <w:rPr>
          <w:rFonts w:eastAsia="PMingLiU" w:cstheme="minorHAnsi"/>
          <w:szCs w:val="21"/>
          <w:shd w:val="clear" w:color="auto" w:fill="FFFFFF"/>
          <w:lang w:eastAsia="zh-TW"/>
        </w:rPr>
        <w:t xml:space="preserve">a motorized stage </w:t>
      </w:r>
      <w:r>
        <w:rPr>
          <w:rFonts w:hint="eastAsia" w:eastAsia="PMingLiU" w:cstheme="minorHAnsi"/>
          <w:szCs w:val="21"/>
          <w:shd w:val="clear" w:color="auto" w:fill="FFFFFF"/>
          <w:lang w:eastAsia="zh-TW"/>
        </w:rPr>
        <w:t>(</w:t>
      </w:r>
      <w:r>
        <w:rPr>
          <w:rFonts w:eastAsia="PMingLiU" w:cstheme="minorHAnsi"/>
          <w:szCs w:val="21"/>
          <w:shd w:val="clear" w:color="auto" w:fill="FFFFFF"/>
          <w:lang w:eastAsia="zh-TW"/>
        </w:rPr>
        <w:t>Zolix PSA200-11-X) equipped with a motion controller (Zolix MC600-4B)</w:t>
      </w:r>
      <w:r>
        <w:t xml:space="preserve"> is used to control the movement of the Al foil, as shown in Fig. 3(b). The instantaneous photocurrent response of the sensor is obtained by moving an Al foil back and forth repeatedly at </w:t>
      </w:r>
      <w:r>
        <w:rPr>
          <w:rFonts w:hint="eastAsia" w:eastAsia="PMingLiU"/>
          <w:lang w:eastAsia="zh-TW"/>
        </w:rPr>
        <w:t>distance</w:t>
      </w:r>
      <w:r>
        <w:rPr>
          <w:rFonts w:eastAsia="PMingLiU"/>
          <w:lang w:eastAsia="zh-TW"/>
        </w:rPr>
        <w:t>s (d) from the sensors</w:t>
      </w:r>
      <w:r>
        <w:t xml:space="preserve">, as illustrated in the inset in Fig. 3(c). For d in two different ranges of 0.005-0.04 mm and 0.1-3 mm, the speed is set to 0.05 mm/s and 1 mm/s, respectively. As shown in Fig. 3(c), in the five repetitive cycles of each routine, the photocurrents can consistently reach the lowest levels and return to the same initial value, revealing the high repeatability of the sensor. Moreover, symmetric profiles of measured photocurrents are obtained when detecting an object moving forth and back at different speeds from 0.5 to 10 mm/s, as shown in Fig. 3(d). This also implied that the speed does not affect the initial value and the measured readings can return to their initial values. The long-term durability and stability are examined by cyclic tests. Repeated back and forth movements between d=0.015 mm and d=0.4 mm and a speed of 1 mm/s </w:t>
      </w:r>
      <w:r>
        <w:rPr>
          <w:lang w:eastAsia="zh-CN"/>
        </w:rPr>
        <w:t>are</w:t>
      </w:r>
      <w:r>
        <w:t xml:space="preserve"> </w:t>
      </w:r>
      <w:r>
        <w:rPr>
          <w:lang w:eastAsia="zh-CN"/>
        </w:rPr>
        <w:t>applied to the Al foil. T</w:t>
      </w:r>
      <w:r>
        <w:t xml:space="preserve">here is a holding time of 1 s when the Al foil reaches its initial and final positions. As shown in Fig. 3(e), the readout signals are highly stable throughout 8000 cycles, and the photocurrent profiles of the three different </w:t>
      </w:r>
      <w:r>
        <w:rPr>
          <w:rFonts w:hint="eastAsia" w:eastAsia="PMingLiU"/>
          <w:lang w:eastAsia="zh-TW"/>
        </w:rPr>
        <w:t xml:space="preserve">periods </w:t>
      </w:r>
      <w:r>
        <w:t xml:space="preserve">in the figure inset are almost identical, which confirms the durability and stability of the sensor. </w:t>
      </w:r>
    </w:p>
    <w:p w14:paraId="2E0140CB">
      <w:pPr>
        <w:pStyle w:val="64"/>
        <w:spacing w:line="480" w:lineRule="auto"/>
      </w:pPr>
      <w:r>
        <w:t xml:space="preserve">Having identified that the proposed proximity sensor is highly sensitive to slight distance changes of objects with fast response, the real-time monitoring capability of the chip-scale device in practical applications is studied. Prior to measurement, the target object is affixed with a small piece of Al foil to increase the amount of reflected light. First, the sensor is mounted on a volunteer's neck and a clear oscillating heart rate signal with a frequency of about 1.3 Hz is obtained, as shown in Figs. 4(a) and 4(d). By enlarging the waveform shown in the inset of Fig. 4(d), detailed information of the blood pressure profile including a diastolic notch, systolic peak, and diastolic peak can be identified. Then, the sensor is fixed adjacent to the rotary pump, as displayed in Fig. 4(b). It is known that the frequency and amplitude of vibration signal </w:t>
      </w:r>
      <w:r>
        <w:rPr>
          <w:rFonts w:hint="eastAsia" w:eastAsia="PMingLiU"/>
          <w:lang w:eastAsia="zh-TW"/>
        </w:rPr>
        <w:t>a</w:t>
      </w:r>
      <w:r>
        <w:rPr>
          <w:rFonts w:eastAsia="PMingLiU"/>
          <w:lang w:eastAsia="zh-TW"/>
        </w:rPr>
        <w:t xml:space="preserve">re </w:t>
      </w:r>
      <w:r>
        <w:t>the key parameters to indicate the operation condition and fault diagnosis of the rotary pump [37], and such non-contact measurement is a direct and simple means. From the results shown in Fig. 4(e), the observation of the sudden increases in photocurrents represents a large extent of vibration at the instant of switching on and off the pump. Between the two distinct on and off signals, a constant frequency of ~30 Hz corresponding to the working frequency of the pump is obtained.</w:t>
      </w:r>
    </w:p>
    <w:p w14:paraId="2DF479C0">
      <w:pPr>
        <w:pStyle w:val="64"/>
        <w:spacing w:line="480" w:lineRule="auto"/>
        <w:rPr>
          <w:rFonts w:ascii="Cambria" w:hAnsi="Cambria" w:eastAsia="宋体"/>
          <w:b/>
          <w:smallCaps/>
          <w:spacing w:val="-8"/>
          <w:lang w:eastAsia="zh-CN"/>
        </w:rPr>
      </w:pPr>
      <w:r>
        <w:t>To further testify the ability to detect higher frequency oscillations, the sensor is mounted close to a commercial speaker with a diameter of 2.9 cm and a working frequency of several hundred Hz, as shown in Fig. 4(c). As illustrated in the plot in Fig. 4(f), the speaker diaphragm vibrating at frequencies of 400 Hz, 550 Hz, and 700 Hz can be observed. Apart from recognizing the object movement in the vertical direction, detections along the lateral direction are investigated. The sensor is placed close to a white- and black-painted disk equipped on a motorized spinner, as shown in Fig. 5(a). The photocurrent difference of &gt;1 μA is observed for the disk rotating at thousands of rotations per minute (rpm), and stepwise responses are displayed at high speeds up to 8000 rpm, as evident in Fig. 5(b).</w:t>
      </w:r>
    </w:p>
    <w:p w14:paraId="4E0A5D44">
      <w:pPr>
        <w:pStyle w:val="71"/>
        <w:spacing w:before="240" w:after="160" w:line="480" w:lineRule="auto"/>
        <w:rPr>
          <w:rFonts w:ascii="Cambria" w:hAnsi="Cambria" w:eastAsia="宋体"/>
          <w:b/>
          <w:smallCaps w:val="0"/>
          <w:color w:val="000000" w:themeColor="text1"/>
          <w:spacing w:val="-8"/>
          <w:lang w:eastAsia="zh-CN"/>
          <w14:textFill>
            <w14:solidFill>
              <w14:schemeClr w14:val="tx1"/>
            </w14:solidFill>
          </w14:textFill>
        </w:rPr>
      </w:pPr>
      <w:r>
        <w:rPr>
          <w:rFonts w:hint="eastAsia" w:ascii="Cambria" w:hAnsi="Cambria" w:eastAsia="宋体"/>
          <w:b/>
          <w:smallCaps w:val="0"/>
          <w:color w:val="000000" w:themeColor="text1"/>
          <w:spacing w:val="-8"/>
          <w:lang w:eastAsia="zh-CN"/>
          <w14:textFill>
            <w14:solidFill>
              <w14:schemeClr w14:val="tx1"/>
            </w14:solidFill>
          </w14:textFill>
        </w:rPr>
        <w:t>Table</w:t>
      </w:r>
      <w:r>
        <w:rPr>
          <w:rFonts w:ascii="Cambria" w:hAnsi="Cambria" w:eastAsia="宋体"/>
          <w:b/>
          <w:smallCaps w:val="0"/>
          <w:color w:val="000000" w:themeColor="text1"/>
          <w:spacing w:val="-8"/>
          <w:lang w:eastAsia="zh-CN"/>
          <w14:textFill>
            <w14:solidFill>
              <w14:schemeClr w14:val="tx1"/>
            </w14:solidFill>
          </w14:textFill>
        </w:rPr>
        <w:t xml:space="preserve"> 1. Comparison with other reported work and commercial products</w:t>
      </w:r>
    </w:p>
    <w:tbl>
      <w:tblPr>
        <w:tblStyle w:val="8"/>
        <w:tblW w:w="9650" w:type="dxa"/>
        <w:jc w:val="center"/>
        <w:tblLayout w:type="fixed"/>
        <w:tblCellMar>
          <w:top w:w="0" w:type="dxa"/>
          <w:left w:w="108" w:type="dxa"/>
          <w:bottom w:w="0" w:type="dxa"/>
          <w:right w:w="108" w:type="dxa"/>
        </w:tblCellMar>
      </w:tblPr>
      <w:tblGrid>
        <w:gridCol w:w="3256"/>
        <w:gridCol w:w="1417"/>
        <w:gridCol w:w="856"/>
        <w:gridCol w:w="1696"/>
        <w:gridCol w:w="1417"/>
        <w:gridCol w:w="1008"/>
      </w:tblGrid>
      <w:tr w14:paraId="2A1E5DC5">
        <w:tblPrEx>
          <w:tblCellMar>
            <w:top w:w="0" w:type="dxa"/>
            <w:left w:w="108" w:type="dxa"/>
            <w:bottom w:w="0" w:type="dxa"/>
            <w:right w:w="108" w:type="dxa"/>
          </w:tblCellMar>
        </w:tblPrEx>
        <w:trPr>
          <w:trHeight w:val="189" w:hRule="atLeast"/>
          <w:jc w:val="center"/>
        </w:trPr>
        <w:tc>
          <w:tcPr>
            <w:tcW w:w="3256" w:type="dxa"/>
            <w:tcBorders>
              <w:top w:val="single" w:color="auto" w:sz="4" w:space="0"/>
              <w:bottom w:val="single" w:color="auto" w:sz="4" w:space="0"/>
            </w:tcBorders>
          </w:tcPr>
          <w:p w14:paraId="7EA8DA6F">
            <w:pPr>
              <w:spacing w:line="48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Structure</w:t>
            </w:r>
          </w:p>
        </w:tc>
        <w:tc>
          <w:tcPr>
            <w:tcW w:w="1417" w:type="dxa"/>
            <w:tcBorders>
              <w:top w:val="single" w:color="auto" w:sz="4" w:space="0"/>
              <w:bottom w:val="single" w:color="auto" w:sz="4" w:space="0"/>
            </w:tcBorders>
          </w:tcPr>
          <w:p w14:paraId="2ED0C145">
            <w:pPr>
              <w:spacing w:line="480" w:lineRule="auto"/>
              <w:rPr>
                <w:rFonts w:ascii="Times New Roman" w:hAnsi="Times New Roman"/>
                <w:smallCaps/>
                <w:color w:val="000000" w:themeColor="text1"/>
                <w14:textFill>
                  <w14:solidFill>
                    <w14:schemeClr w14:val="tx1"/>
                  </w14:solidFill>
                </w14:textFill>
              </w:rPr>
            </w:pPr>
            <w:r>
              <w:rPr>
                <w:rFonts w:ascii="Times New Roman" w:hAnsi="Times New Roman"/>
                <w:color w:val="000000" w:themeColor="text1"/>
                <w:lang w:eastAsia="zh-TW"/>
                <w14:textFill>
                  <w14:solidFill>
                    <w14:schemeClr w14:val="tx1"/>
                  </w14:solidFill>
                </w14:textFill>
              </w:rPr>
              <w:t>Mechanism</w:t>
            </w:r>
          </w:p>
        </w:tc>
        <w:tc>
          <w:tcPr>
            <w:tcW w:w="856" w:type="dxa"/>
            <w:tcBorders>
              <w:top w:val="single" w:color="auto" w:sz="4" w:space="0"/>
              <w:bottom w:val="single" w:color="auto" w:sz="4" w:space="0"/>
            </w:tcBorders>
          </w:tcPr>
          <w:p w14:paraId="1993521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of units</w:t>
            </w:r>
          </w:p>
        </w:tc>
        <w:tc>
          <w:tcPr>
            <w:tcW w:w="1696" w:type="dxa"/>
            <w:tcBorders>
              <w:top w:val="single" w:color="auto" w:sz="4" w:space="0"/>
              <w:bottom w:val="single" w:color="auto" w:sz="4" w:space="0"/>
            </w:tcBorders>
          </w:tcPr>
          <w:p w14:paraId="43C187B6">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Size</w:t>
            </w:r>
          </w:p>
        </w:tc>
        <w:tc>
          <w:tcPr>
            <w:tcW w:w="1417" w:type="dxa"/>
            <w:tcBorders>
              <w:top w:val="single" w:color="auto" w:sz="4" w:space="0"/>
              <w:bottom w:val="single" w:color="auto" w:sz="4" w:space="0"/>
            </w:tcBorders>
          </w:tcPr>
          <w:p w14:paraId="728029E8">
            <w:pPr>
              <w:spacing w:line="480" w:lineRule="auto"/>
              <w:rPr>
                <w:rFonts w:ascii="Times New Roman" w:hAnsi="Times New Roman"/>
                <w:color w:val="000000" w:themeColor="text1"/>
                <w14:textFill>
                  <w14:solidFill>
                    <w14:schemeClr w14:val="tx1"/>
                  </w14:solidFill>
                </w14:textFill>
              </w:rPr>
            </w:pPr>
            <w:r>
              <w:rPr>
                <w:rFonts w:ascii="Times New Roman" w:hAnsi="Times New Roman" w:eastAsia="PMingLiU"/>
                <w:color w:val="000000" w:themeColor="text1"/>
                <w:lang w:eastAsia="zh-TW"/>
                <w14:textFill>
                  <w14:solidFill>
                    <w14:schemeClr w14:val="tx1"/>
                  </w14:solidFill>
                </w14:textFill>
              </w:rPr>
              <w:t>Res./Rec. times</w:t>
            </w:r>
            <w:r>
              <w:rPr>
                <w:rFonts w:ascii="Times New Roman" w:hAnsi="Times New Roman"/>
                <w:color w:val="000000" w:themeColor="text1"/>
                <w:vertAlign w:val="superscript"/>
                <w14:textFill>
                  <w14:solidFill>
                    <w14:schemeClr w14:val="tx1"/>
                  </w14:solidFill>
                </w14:textFill>
              </w:rPr>
              <w:t>a</w:t>
            </w:r>
          </w:p>
        </w:tc>
        <w:tc>
          <w:tcPr>
            <w:tcW w:w="1008" w:type="dxa"/>
            <w:tcBorders>
              <w:top w:val="single" w:color="auto" w:sz="4" w:space="0"/>
              <w:bottom w:val="single" w:color="auto" w:sz="4" w:space="0"/>
            </w:tcBorders>
          </w:tcPr>
          <w:p w14:paraId="39D48C7D">
            <w:pPr>
              <w:spacing w:line="480" w:lineRule="auto"/>
              <w:rPr>
                <w:rFonts w:ascii="Times New Roman" w:hAnsi="Times New Roman" w:eastAsia="PMingLiU"/>
                <w:color w:val="000000" w:themeColor="text1"/>
                <w:lang w:eastAsia="zh-TW"/>
                <w14:textFill>
                  <w14:solidFill>
                    <w14:schemeClr w14:val="tx1"/>
                  </w14:solidFill>
                </w14:textFill>
              </w:rPr>
            </w:pPr>
            <w:r>
              <w:rPr>
                <w:rFonts w:ascii="Times New Roman" w:hAnsi="Times New Roman" w:eastAsia="PMingLiU"/>
                <w:color w:val="000000" w:themeColor="text1"/>
                <w:lang w:eastAsia="zh-TW"/>
                <w14:textFill>
                  <w14:solidFill>
                    <w14:schemeClr w14:val="tx1"/>
                  </w14:solidFill>
                </w14:textFill>
              </w:rPr>
              <w:t>Price (USD)</w:t>
            </w:r>
          </w:p>
        </w:tc>
      </w:tr>
      <w:tr w14:paraId="45BD018A">
        <w:tblPrEx>
          <w:tblCellMar>
            <w:top w:w="0" w:type="dxa"/>
            <w:left w:w="108" w:type="dxa"/>
            <w:bottom w:w="0" w:type="dxa"/>
            <w:right w:w="108" w:type="dxa"/>
          </w:tblCellMar>
        </w:tblPrEx>
        <w:trPr>
          <w:trHeight w:val="156" w:hRule="atLeast"/>
          <w:jc w:val="center"/>
        </w:trPr>
        <w:tc>
          <w:tcPr>
            <w:tcW w:w="3256" w:type="dxa"/>
            <w:tcBorders>
              <w:top w:val="single" w:color="auto" w:sz="4" w:space="0"/>
            </w:tcBorders>
            <w:vAlign w:val="center"/>
          </w:tcPr>
          <w:p w14:paraId="6A00178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Graphene nanoplatelets, carbon black and silicone rubber [1]</w:t>
            </w:r>
          </w:p>
        </w:tc>
        <w:tc>
          <w:tcPr>
            <w:tcW w:w="1417" w:type="dxa"/>
            <w:tcBorders>
              <w:top w:val="single" w:color="auto" w:sz="4" w:space="0"/>
            </w:tcBorders>
            <w:vAlign w:val="center"/>
          </w:tcPr>
          <w:p w14:paraId="20942C8E">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Capacitive and resistive</w:t>
            </w:r>
          </w:p>
        </w:tc>
        <w:tc>
          <w:tcPr>
            <w:tcW w:w="856" w:type="dxa"/>
            <w:tcBorders>
              <w:top w:val="single" w:color="auto" w:sz="4" w:space="0"/>
            </w:tcBorders>
            <w:vAlign w:val="center"/>
          </w:tcPr>
          <w:p w14:paraId="6F7DFD21">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696" w:type="dxa"/>
            <w:tcBorders>
              <w:top w:val="single" w:color="auto" w:sz="4" w:space="0"/>
            </w:tcBorders>
            <w:vAlign w:val="center"/>
          </w:tcPr>
          <w:p w14:paraId="4F64C802">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8×12 mm</w:t>
            </w:r>
          </w:p>
        </w:tc>
        <w:tc>
          <w:tcPr>
            <w:tcW w:w="1417" w:type="dxa"/>
            <w:tcBorders>
              <w:top w:val="single" w:color="auto" w:sz="4" w:space="0"/>
            </w:tcBorders>
            <w:vAlign w:val="center"/>
          </w:tcPr>
          <w:p w14:paraId="6859D9A7">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0.27 s</w:t>
            </w:r>
          </w:p>
        </w:tc>
        <w:tc>
          <w:tcPr>
            <w:tcW w:w="1008" w:type="dxa"/>
            <w:tcBorders>
              <w:top w:val="single" w:color="auto" w:sz="4" w:space="0"/>
            </w:tcBorders>
            <w:vAlign w:val="center"/>
          </w:tcPr>
          <w:p w14:paraId="59FFCF35">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3DDF1173">
        <w:tblPrEx>
          <w:tblCellMar>
            <w:top w:w="0" w:type="dxa"/>
            <w:left w:w="108" w:type="dxa"/>
            <w:bottom w:w="0" w:type="dxa"/>
            <w:right w:w="108" w:type="dxa"/>
          </w:tblCellMar>
        </w:tblPrEx>
        <w:trPr>
          <w:trHeight w:val="80" w:hRule="atLeast"/>
          <w:jc w:val="center"/>
        </w:trPr>
        <w:tc>
          <w:tcPr>
            <w:tcW w:w="3256" w:type="dxa"/>
            <w:vAlign w:val="center"/>
          </w:tcPr>
          <w:p w14:paraId="7EF0EA70">
            <w:pPr>
              <w:spacing w:line="480" w:lineRule="auto"/>
              <w:rPr>
                <w:rFonts w:ascii="Times New Roman" w:hAnsi="Times New Roman"/>
                <w:i/>
                <w:i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Metal electrodes and graphene nanoplatelets [5]</w:t>
            </w:r>
          </w:p>
        </w:tc>
        <w:tc>
          <w:tcPr>
            <w:tcW w:w="1417" w:type="dxa"/>
            <w:vAlign w:val="center"/>
          </w:tcPr>
          <w:p w14:paraId="7B5ECCAF">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Capacitive and resistive</w:t>
            </w:r>
          </w:p>
        </w:tc>
        <w:tc>
          <w:tcPr>
            <w:tcW w:w="856" w:type="dxa"/>
            <w:vAlign w:val="center"/>
          </w:tcPr>
          <w:p w14:paraId="7EDF5B78">
            <w:pPr>
              <w:spacing w:line="480" w:lineRule="auto"/>
              <w:rPr>
                <w:rFonts w:ascii="Times New Roman" w:hAnsi="Times New Roman"/>
                <w:color w:val="000000" w:themeColor="text1"/>
                <w:vertAlign w:val="superscript"/>
                <w14:textFill>
                  <w14:solidFill>
                    <w14:schemeClr w14:val="tx1"/>
                  </w14:solidFill>
                </w14:textFill>
              </w:rPr>
            </w:pPr>
            <w:r>
              <w:rPr>
                <w:rFonts w:ascii="Times New Roman" w:hAnsi="Times New Roman"/>
                <w:color w:val="000000" w:themeColor="text1"/>
                <w14:textFill>
                  <w14:solidFill>
                    <w14:schemeClr w14:val="tx1"/>
                  </w14:solidFill>
                </w14:textFill>
              </w:rPr>
              <w:t>8×8</w:t>
            </w:r>
          </w:p>
        </w:tc>
        <w:tc>
          <w:tcPr>
            <w:tcW w:w="1696" w:type="dxa"/>
            <w:vAlign w:val="center"/>
          </w:tcPr>
          <w:p w14:paraId="59C4FB36">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Each unit: 5×10 mm</w:t>
            </w:r>
          </w:p>
        </w:tc>
        <w:tc>
          <w:tcPr>
            <w:tcW w:w="1417" w:type="dxa"/>
            <w:vAlign w:val="center"/>
          </w:tcPr>
          <w:p w14:paraId="74E620C1">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0.24 s</w:t>
            </w:r>
          </w:p>
        </w:tc>
        <w:tc>
          <w:tcPr>
            <w:tcW w:w="1008" w:type="dxa"/>
            <w:vAlign w:val="center"/>
          </w:tcPr>
          <w:p w14:paraId="3B8379A9">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5889A9D9">
        <w:tblPrEx>
          <w:tblCellMar>
            <w:top w:w="0" w:type="dxa"/>
            <w:left w:w="108" w:type="dxa"/>
            <w:bottom w:w="0" w:type="dxa"/>
            <w:right w:w="108" w:type="dxa"/>
          </w:tblCellMar>
        </w:tblPrEx>
        <w:trPr>
          <w:trHeight w:val="76" w:hRule="atLeast"/>
          <w:jc w:val="center"/>
        </w:trPr>
        <w:tc>
          <w:tcPr>
            <w:tcW w:w="3256" w:type="dxa"/>
            <w:vAlign w:val="center"/>
          </w:tcPr>
          <w:p w14:paraId="31AD4670">
            <w:pPr>
              <w:spacing w:line="480" w:lineRule="auto"/>
              <w:rPr>
                <w:rFonts w:ascii="Times New Roman" w:hAnsi="Times New Roman"/>
                <w:i/>
                <w:i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Organic thin film [35]</w:t>
            </w:r>
          </w:p>
        </w:tc>
        <w:tc>
          <w:tcPr>
            <w:tcW w:w="1417" w:type="dxa"/>
            <w:vAlign w:val="center"/>
          </w:tcPr>
          <w:p w14:paraId="5F741279">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Semiconductor</w:t>
            </w:r>
          </w:p>
        </w:tc>
        <w:tc>
          <w:tcPr>
            <w:tcW w:w="856" w:type="dxa"/>
            <w:vAlign w:val="center"/>
          </w:tcPr>
          <w:p w14:paraId="02F5995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6×6</w:t>
            </w:r>
          </w:p>
        </w:tc>
        <w:tc>
          <w:tcPr>
            <w:tcW w:w="1696" w:type="dxa"/>
            <w:vAlign w:val="center"/>
          </w:tcPr>
          <w:p w14:paraId="2308F307">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&gt;4 cm</w:t>
            </w:r>
          </w:p>
        </w:tc>
        <w:tc>
          <w:tcPr>
            <w:tcW w:w="1417" w:type="dxa"/>
            <w:vAlign w:val="center"/>
          </w:tcPr>
          <w:p w14:paraId="29602B83">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480 ms</w:t>
            </w:r>
          </w:p>
        </w:tc>
        <w:tc>
          <w:tcPr>
            <w:tcW w:w="1008" w:type="dxa"/>
            <w:vAlign w:val="center"/>
          </w:tcPr>
          <w:p w14:paraId="69721482">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02AD4994">
        <w:tblPrEx>
          <w:tblCellMar>
            <w:top w:w="0" w:type="dxa"/>
            <w:left w:w="108" w:type="dxa"/>
            <w:bottom w:w="0" w:type="dxa"/>
            <w:right w:w="108" w:type="dxa"/>
          </w:tblCellMar>
        </w:tblPrEx>
        <w:trPr>
          <w:trHeight w:val="156" w:hRule="atLeast"/>
          <w:jc w:val="center"/>
        </w:trPr>
        <w:tc>
          <w:tcPr>
            <w:tcW w:w="3256" w:type="dxa"/>
            <w:vAlign w:val="center"/>
          </w:tcPr>
          <w:p w14:paraId="3445D5E1">
            <w:pPr>
              <w:spacing w:line="480" w:lineRule="auto"/>
              <w:rPr>
                <w:rFonts w:ascii="Times New Roman" w:hAnsi="Times New Roman"/>
                <w:i/>
                <w:i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Commercial reflective photosensors [34]</w:t>
            </w:r>
          </w:p>
        </w:tc>
        <w:tc>
          <w:tcPr>
            <w:tcW w:w="1417" w:type="dxa"/>
            <w:vAlign w:val="center"/>
          </w:tcPr>
          <w:p w14:paraId="762AEFBA">
            <w:pPr>
              <w:spacing w:line="480" w:lineRule="auto"/>
              <w:rPr>
                <w:rFonts w:ascii="Times New Roman" w:hAnsi="Times New Roman"/>
                <w:color w:val="000000" w:themeColor="text1"/>
                <w:vertAlign w:val="superscript"/>
                <w14:textFill>
                  <w14:solidFill>
                    <w14:schemeClr w14:val="tx1"/>
                  </w14:solidFill>
                </w14:textFill>
              </w:rPr>
            </w:pPr>
            <w:r>
              <w:rPr>
                <w:rFonts w:ascii="Times New Roman" w:hAnsi="Times New Roman"/>
                <w:color w:val="000000" w:themeColor="text1"/>
                <w14:textFill>
                  <w14:solidFill>
                    <w14:schemeClr w14:val="tx1"/>
                  </w14:solidFill>
                </w14:textFill>
              </w:rPr>
              <w:t>Optoelectronic</w:t>
            </w:r>
          </w:p>
        </w:tc>
        <w:tc>
          <w:tcPr>
            <w:tcW w:w="856" w:type="dxa"/>
            <w:vAlign w:val="center"/>
          </w:tcPr>
          <w:p w14:paraId="683BAE5A">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1696" w:type="dxa"/>
            <w:vAlign w:val="center"/>
          </w:tcPr>
          <w:p w14:paraId="549C8F3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Each unit 4.9×6.4×6.5 mm</w:t>
            </w:r>
          </w:p>
        </w:tc>
        <w:tc>
          <w:tcPr>
            <w:tcW w:w="1417" w:type="dxa"/>
            <w:vAlign w:val="center"/>
          </w:tcPr>
          <w:p w14:paraId="152FB0CA">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 ms</w:t>
            </w:r>
          </w:p>
        </w:tc>
        <w:tc>
          <w:tcPr>
            <w:tcW w:w="1008" w:type="dxa"/>
            <w:vAlign w:val="center"/>
          </w:tcPr>
          <w:p w14:paraId="619DED81">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00B1C489">
        <w:tblPrEx>
          <w:tblCellMar>
            <w:top w:w="0" w:type="dxa"/>
            <w:left w:w="108" w:type="dxa"/>
            <w:bottom w:w="0" w:type="dxa"/>
            <w:right w:w="108" w:type="dxa"/>
          </w:tblCellMar>
        </w:tblPrEx>
        <w:trPr>
          <w:trHeight w:val="156" w:hRule="atLeast"/>
          <w:jc w:val="center"/>
        </w:trPr>
        <w:tc>
          <w:tcPr>
            <w:tcW w:w="3256" w:type="dxa"/>
            <w:vAlign w:val="center"/>
          </w:tcPr>
          <w:p w14:paraId="4CEC72D4">
            <w:pPr>
              <w:spacing w:line="480" w:lineRule="auto"/>
              <w:rPr>
                <w:rFonts w:ascii="Times New Roman" w:hAnsi="Times New Roman"/>
                <w:i/>
                <w:i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Organic photodetector on LED [11]</w:t>
            </w:r>
          </w:p>
        </w:tc>
        <w:tc>
          <w:tcPr>
            <w:tcW w:w="1417" w:type="dxa"/>
            <w:vAlign w:val="center"/>
          </w:tcPr>
          <w:p w14:paraId="25FE1479">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Optoelectronic</w:t>
            </w:r>
          </w:p>
        </w:tc>
        <w:tc>
          <w:tcPr>
            <w:tcW w:w="856" w:type="dxa"/>
            <w:vAlign w:val="center"/>
          </w:tcPr>
          <w:p w14:paraId="1F642E31">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696" w:type="dxa"/>
            <w:vAlign w:val="center"/>
          </w:tcPr>
          <w:p w14:paraId="614CC52C">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Active region: 3.57 mm</w:t>
            </w:r>
            <w:r>
              <w:rPr>
                <w:rFonts w:ascii="Times New Roman" w:hAnsi="Times New Roman"/>
                <w:color w:val="000000" w:themeColor="text1"/>
                <w:vertAlign w:val="superscript"/>
                <w14:textFill>
                  <w14:solidFill>
                    <w14:schemeClr w14:val="tx1"/>
                  </w14:solidFill>
                </w14:textFill>
              </w:rPr>
              <w:t>2</w:t>
            </w:r>
          </w:p>
        </w:tc>
        <w:tc>
          <w:tcPr>
            <w:tcW w:w="1417" w:type="dxa"/>
            <w:vAlign w:val="center"/>
          </w:tcPr>
          <w:p w14:paraId="59350BBD">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 cs/20 cs</w:t>
            </w:r>
          </w:p>
        </w:tc>
        <w:tc>
          <w:tcPr>
            <w:tcW w:w="1008" w:type="dxa"/>
            <w:vAlign w:val="center"/>
          </w:tcPr>
          <w:p w14:paraId="63103AEF">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104BC1BD">
        <w:tblPrEx>
          <w:tblCellMar>
            <w:top w:w="0" w:type="dxa"/>
            <w:left w:w="108" w:type="dxa"/>
            <w:bottom w:w="0" w:type="dxa"/>
            <w:right w:w="108" w:type="dxa"/>
          </w:tblCellMar>
        </w:tblPrEx>
        <w:trPr>
          <w:trHeight w:val="76" w:hRule="atLeast"/>
          <w:jc w:val="center"/>
        </w:trPr>
        <w:tc>
          <w:tcPr>
            <w:tcW w:w="3256" w:type="dxa"/>
            <w:vAlign w:val="center"/>
          </w:tcPr>
          <w:p w14:paraId="3ECD69DA">
            <w:pPr>
              <w:spacing w:line="480" w:lineRule="auto"/>
              <w:rPr>
                <w:rFonts w:ascii="Times New Roman" w:hAnsi="Times New Roman"/>
                <w:i/>
                <w:i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Electrostatic gating [33]</w:t>
            </w:r>
          </w:p>
        </w:tc>
        <w:tc>
          <w:tcPr>
            <w:tcW w:w="1417" w:type="dxa"/>
            <w:vAlign w:val="center"/>
          </w:tcPr>
          <w:p w14:paraId="69629EDE">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Electrostatic</w:t>
            </w:r>
          </w:p>
        </w:tc>
        <w:tc>
          <w:tcPr>
            <w:tcW w:w="856" w:type="dxa"/>
            <w:vAlign w:val="center"/>
          </w:tcPr>
          <w:p w14:paraId="0775ABAE">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696" w:type="dxa"/>
            <w:vAlign w:val="center"/>
          </w:tcPr>
          <w:p w14:paraId="4847DD72">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Not shown</w:t>
            </w:r>
          </w:p>
        </w:tc>
        <w:tc>
          <w:tcPr>
            <w:tcW w:w="1417" w:type="dxa"/>
            <w:vAlign w:val="center"/>
          </w:tcPr>
          <w:p w14:paraId="080730D7">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5.42 s/11.65 s</w:t>
            </w:r>
          </w:p>
        </w:tc>
        <w:tc>
          <w:tcPr>
            <w:tcW w:w="1008" w:type="dxa"/>
            <w:vAlign w:val="center"/>
          </w:tcPr>
          <w:p w14:paraId="16E95417">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1996515A">
        <w:tblPrEx>
          <w:tblCellMar>
            <w:top w:w="0" w:type="dxa"/>
            <w:left w:w="108" w:type="dxa"/>
            <w:bottom w:w="0" w:type="dxa"/>
            <w:right w:w="108" w:type="dxa"/>
          </w:tblCellMar>
        </w:tblPrEx>
        <w:trPr>
          <w:trHeight w:val="76" w:hRule="atLeast"/>
          <w:jc w:val="center"/>
        </w:trPr>
        <w:tc>
          <w:tcPr>
            <w:tcW w:w="3256" w:type="dxa"/>
            <w:vAlign w:val="center"/>
          </w:tcPr>
          <w:p w14:paraId="455418CC">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LEDs and photodiode [12]</w:t>
            </w:r>
          </w:p>
        </w:tc>
        <w:tc>
          <w:tcPr>
            <w:tcW w:w="1417" w:type="dxa"/>
            <w:vAlign w:val="center"/>
          </w:tcPr>
          <w:p w14:paraId="4648193C">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Optoelectronic</w:t>
            </w:r>
          </w:p>
        </w:tc>
        <w:tc>
          <w:tcPr>
            <w:tcW w:w="856" w:type="dxa"/>
            <w:vAlign w:val="center"/>
          </w:tcPr>
          <w:p w14:paraId="56FCE571">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1696" w:type="dxa"/>
            <w:vAlign w:val="center"/>
          </w:tcPr>
          <w:p w14:paraId="3EFB074D">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20×30×40 mm</w:t>
            </w:r>
          </w:p>
        </w:tc>
        <w:tc>
          <w:tcPr>
            <w:tcW w:w="1417" w:type="dxa"/>
            <w:vAlign w:val="center"/>
          </w:tcPr>
          <w:p w14:paraId="3F53FA5A">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&lt;1 ms</w:t>
            </w:r>
          </w:p>
        </w:tc>
        <w:tc>
          <w:tcPr>
            <w:tcW w:w="1008" w:type="dxa"/>
            <w:vAlign w:val="center"/>
          </w:tcPr>
          <w:p w14:paraId="13B81F52">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310E7174">
        <w:tblPrEx>
          <w:tblCellMar>
            <w:top w:w="0" w:type="dxa"/>
            <w:left w:w="108" w:type="dxa"/>
            <w:bottom w:w="0" w:type="dxa"/>
            <w:right w:w="108" w:type="dxa"/>
          </w:tblCellMar>
        </w:tblPrEx>
        <w:trPr>
          <w:trHeight w:val="80" w:hRule="atLeast"/>
          <w:jc w:val="center"/>
        </w:trPr>
        <w:tc>
          <w:tcPr>
            <w:tcW w:w="3256" w:type="dxa"/>
            <w:vAlign w:val="center"/>
          </w:tcPr>
          <w:p w14:paraId="36BBA4E4">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CA30CAN25NA</w:t>
            </w:r>
          </w:p>
        </w:tc>
        <w:tc>
          <w:tcPr>
            <w:tcW w:w="1417" w:type="dxa"/>
            <w:vAlign w:val="center"/>
          </w:tcPr>
          <w:p w14:paraId="57B18556">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Capacitive</w:t>
            </w:r>
          </w:p>
        </w:tc>
        <w:tc>
          <w:tcPr>
            <w:tcW w:w="856" w:type="dxa"/>
            <w:vAlign w:val="center"/>
          </w:tcPr>
          <w:p w14:paraId="50550B29">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696" w:type="dxa"/>
            <w:vAlign w:val="center"/>
          </w:tcPr>
          <w:p w14:paraId="6999F258">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30×81 mm (Φ×L)</w:t>
            </w:r>
          </w:p>
        </w:tc>
        <w:tc>
          <w:tcPr>
            <w:tcW w:w="1417" w:type="dxa"/>
            <w:vAlign w:val="center"/>
          </w:tcPr>
          <w:p w14:paraId="51F2FAA0">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&lt;10 ms</w:t>
            </w:r>
          </w:p>
        </w:tc>
        <w:tc>
          <w:tcPr>
            <w:tcW w:w="1008" w:type="dxa"/>
            <w:vAlign w:val="center"/>
          </w:tcPr>
          <w:p w14:paraId="7185B21A">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~$ 10</w:t>
            </w:r>
          </w:p>
        </w:tc>
      </w:tr>
      <w:tr w14:paraId="21154838">
        <w:tblPrEx>
          <w:tblCellMar>
            <w:top w:w="0" w:type="dxa"/>
            <w:left w:w="108" w:type="dxa"/>
            <w:bottom w:w="0" w:type="dxa"/>
            <w:right w:w="108" w:type="dxa"/>
          </w:tblCellMar>
        </w:tblPrEx>
        <w:trPr>
          <w:trHeight w:val="80" w:hRule="atLeast"/>
          <w:jc w:val="center"/>
        </w:trPr>
        <w:tc>
          <w:tcPr>
            <w:tcW w:w="3256" w:type="dxa"/>
            <w:vAlign w:val="center"/>
          </w:tcPr>
          <w:p w14:paraId="12233919">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Panasonic-EQ-501</w:t>
            </w:r>
          </w:p>
        </w:tc>
        <w:tc>
          <w:tcPr>
            <w:tcW w:w="1417" w:type="dxa"/>
            <w:vAlign w:val="center"/>
          </w:tcPr>
          <w:p w14:paraId="6C523245">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Optoelectronic</w:t>
            </w:r>
          </w:p>
        </w:tc>
        <w:tc>
          <w:tcPr>
            <w:tcW w:w="856" w:type="dxa"/>
            <w:vAlign w:val="center"/>
          </w:tcPr>
          <w:p w14:paraId="285F7821">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696" w:type="dxa"/>
            <w:vAlign w:val="center"/>
          </w:tcPr>
          <w:p w14:paraId="71905597">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68×68×26 mm</w:t>
            </w:r>
          </w:p>
        </w:tc>
        <w:tc>
          <w:tcPr>
            <w:tcW w:w="1417" w:type="dxa"/>
            <w:vAlign w:val="center"/>
          </w:tcPr>
          <w:p w14:paraId="49306642">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&lt;20 ms</w:t>
            </w:r>
          </w:p>
        </w:tc>
        <w:tc>
          <w:tcPr>
            <w:tcW w:w="1008" w:type="dxa"/>
            <w:vAlign w:val="center"/>
          </w:tcPr>
          <w:p w14:paraId="60CFDB19">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~$ 70</w:t>
            </w:r>
          </w:p>
        </w:tc>
      </w:tr>
      <w:tr w14:paraId="3CAEB9E7">
        <w:tblPrEx>
          <w:tblCellMar>
            <w:top w:w="0" w:type="dxa"/>
            <w:left w:w="108" w:type="dxa"/>
            <w:bottom w:w="0" w:type="dxa"/>
            <w:right w:w="108" w:type="dxa"/>
          </w:tblCellMar>
        </w:tblPrEx>
        <w:trPr>
          <w:trHeight w:val="80" w:hRule="atLeast"/>
          <w:jc w:val="center"/>
        </w:trPr>
        <w:tc>
          <w:tcPr>
            <w:tcW w:w="3256" w:type="dxa"/>
            <w:vAlign w:val="center"/>
          </w:tcPr>
          <w:p w14:paraId="488042A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ORMON-E2J-W10MA</w:t>
            </w:r>
          </w:p>
        </w:tc>
        <w:tc>
          <w:tcPr>
            <w:tcW w:w="1417" w:type="dxa"/>
            <w:vAlign w:val="center"/>
          </w:tcPr>
          <w:p w14:paraId="7B8A680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Capacitive</w:t>
            </w:r>
          </w:p>
        </w:tc>
        <w:tc>
          <w:tcPr>
            <w:tcW w:w="856" w:type="dxa"/>
            <w:vAlign w:val="center"/>
          </w:tcPr>
          <w:p w14:paraId="07C66A9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696" w:type="dxa"/>
            <w:vAlign w:val="center"/>
          </w:tcPr>
          <w:p w14:paraId="61F4727B">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20×5.5×30 mm</w:t>
            </w:r>
          </w:p>
        </w:tc>
        <w:tc>
          <w:tcPr>
            <w:tcW w:w="1417" w:type="dxa"/>
            <w:vAlign w:val="center"/>
          </w:tcPr>
          <w:p w14:paraId="79D8BF08">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 Hz/min</w:t>
            </w:r>
          </w:p>
        </w:tc>
        <w:tc>
          <w:tcPr>
            <w:tcW w:w="1008" w:type="dxa"/>
            <w:vAlign w:val="center"/>
          </w:tcPr>
          <w:p w14:paraId="0B259AC2">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~$ 40</w:t>
            </w:r>
          </w:p>
        </w:tc>
      </w:tr>
      <w:tr w14:paraId="6CA1206B">
        <w:tblPrEx>
          <w:tblCellMar>
            <w:top w:w="0" w:type="dxa"/>
            <w:left w:w="108" w:type="dxa"/>
            <w:bottom w:w="0" w:type="dxa"/>
            <w:right w:w="108" w:type="dxa"/>
          </w:tblCellMar>
        </w:tblPrEx>
        <w:trPr>
          <w:trHeight w:val="80" w:hRule="atLeast"/>
          <w:jc w:val="center"/>
        </w:trPr>
        <w:tc>
          <w:tcPr>
            <w:tcW w:w="3256" w:type="dxa"/>
            <w:vAlign w:val="center"/>
          </w:tcPr>
          <w:p w14:paraId="161E99F4">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SUNX-EX-28A</w:t>
            </w:r>
          </w:p>
        </w:tc>
        <w:tc>
          <w:tcPr>
            <w:tcW w:w="1417" w:type="dxa"/>
            <w:vAlign w:val="center"/>
          </w:tcPr>
          <w:p w14:paraId="2F04E09C">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Optoelectronic</w:t>
            </w:r>
          </w:p>
        </w:tc>
        <w:tc>
          <w:tcPr>
            <w:tcW w:w="856" w:type="dxa"/>
            <w:vAlign w:val="center"/>
          </w:tcPr>
          <w:p w14:paraId="692998A3">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696" w:type="dxa"/>
            <w:vAlign w:val="center"/>
          </w:tcPr>
          <w:p w14:paraId="7BD1887E">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8.2×10.5×22 mm</w:t>
            </w:r>
          </w:p>
        </w:tc>
        <w:tc>
          <w:tcPr>
            <w:tcW w:w="1417" w:type="dxa"/>
            <w:vAlign w:val="center"/>
          </w:tcPr>
          <w:p w14:paraId="306E3D77">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&lt;0.5 ms</w:t>
            </w:r>
          </w:p>
        </w:tc>
        <w:tc>
          <w:tcPr>
            <w:tcW w:w="1008" w:type="dxa"/>
            <w:vAlign w:val="center"/>
          </w:tcPr>
          <w:p w14:paraId="1038C318">
            <w:pPr>
              <w:spacing w:line="48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~$ 30</w:t>
            </w:r>
          </w:p>
        </w:tc>
      </w:tr>
      <w:tr w14:paraId="0DC79AA2">
        <w:tblPrEx>
          <w:tblCellMar>
            <w:top w:w="0" w:type="dxa"/>
            <w:left w:w="108" w:type="dxa"/>
            <w:bottom w:w="0" w:type="dxa"/>
            <w:right w:w="108" w:type="dxa"/>
          </w:tblCellMar>
        </w:tblPrEx>
        <w:trPr>
          <w:trHeight w:val="80" w:hRule="atLeast"/>
          <w:jc w:val="center"/>
        </w:trPr>
        <w:tc>
          <w:tcPr>
            <w:tcW w:w="3256" w:type="dxa"/>
            <w:tcBorders>
              <w:bottom w:val="single" w:color="auto" w:sz="4" w:space="0"/>
            </w:tcBorders>
            <w:vAlign w:val="center"/>
          </w:tcPr>
          <w:p w14:paraId="7C65AB9E">
            <w:pPr>
              <w:spacing w:line="480" w:lineRule="auto"/>
              <w:rPr>
                <w:rFonts w:ascii="Times New Roman" w:hAnsi="Times New Roman"/>
                <w:b/>
                <w:bCs/>
                <w:i/>
                <w:i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GaN optoelectronic devices</w:t>
            </w:r>
          </w:p>
        </w:tc>
        <w:tc>
          <w:tcPr>
            <w:tcW w:w="1417" w:type="dxa"/>
            <w:tcBorders>
              <w:bottom w:val="single" w:color="auto" w:sz="4" w:space="0"/>
            </w:tcBorders>
            <w:vAlign w:val="center"/>
          </w:tcPr>
          <w:p w14:paraId="6375CB40">
            <w:pPr>
              <w:spacing w:line="480" w:lineRule="auto"/>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Optoelectronic</w:t>
            </w:r>
          </w:p>
        </w:tc>
        <w:tc>
          <w:tcPr>
            <w:tcW w:w="856" w:type="dxa"/>
            <w:tcBorders>
              <w:bottom w:val="single" w:color="auto" w:sz="4" w:space="0"/>
            </w:tcBorders>
            <w:vAlign w:val="center"/>
          </w:tcPr>
          <w:p w14:paraId="39034405">
            <w:pPr>
              <w:spacing w:line="480" w:lineRule="auto"/>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2×2</w:t>
            </w:r>
          </w:p>
        </w:tc>
        <w:tc>
          <w:tcPr>
            <w:tcW w:w="1696" w:type="dxa"/>
            <w:tcBorders>
              <w:bottom w:val="single" w:color="auto" w:sz="4" w:space="0"/>
            </w:tcBorders>
            <w:vAlign w:val="center"/>
          </w:tcPr>
          <w:p w14:paraId="4D5551A0">
            <w:pPr>
              <w:spacing w:line="480" w:lineRule="auto"/>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0.88×0.88×0.21 mm</w:t>
            </w:r>
          </w:p>
        </w:tc>
        <w:tc>
          <w:tcPr>
            <w:tcW w:w="1417" w:type="dxa"/>
            <w:tcBorders>
              <w:bottom w:val="single" w:color="auto" w:sz="4" w:space="0"/>
            </w:tcBorders>
            <w:vAlign w:val="center"/>
          </w:tcPr>
          <w:p w14:paraId="5D2950D9">
            <w:pPr>
              <w:spacing w:line="480" w:lineRule="auto"/>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3.5 μs/3.6 μs</w:t>
            </w:r>
          </w:p>
        </w:tc>
        <w:tc>
          <w:tcPr>
            <w:tcW w:w="1008" w:type="dxa"/>
            <w:tcBorders>
              <w:bottom w:val="single" w:color="auto" w:sz="4" w:space="0"/>
            </w:tcBorders>
            <w:vAlign w:val="center"/>
          </w:tcPr>
          <w:p w14:paraId="150F79FD">
            <w:pPr>
              <w:spacing w:line="480" w:lineRule="auto"/>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&lt;$ 0.5</w:t>
            </w:r>
          </w:p>
        </w:tc>
      </w:tr>
    </w:tbl>
    <w:p w14:paraId="3D83E369">
      <w:pPr>
        <w:pStyle w:val="6"/>
        <w:spacing w:line="480" w:lineRule="auto"/>
        <w:ind w:firstLine="0"/>
        <w:rPr>
          <w:rFonts w:ascii="Times New Roman" w:hAnsi="Times New Roman"/>
          <w:color w:val="000000" w:themeColor="text1"/>
          <w14:textFill>
            <w14:solidFill>
              <w14:schemeClr w14:val="tx1"/>
            </w14:solidFill>
          </w14:textFill>
        </w:rPr>
      </w:pPr>
      <w:r>
        <w:rPr>
          <w:rFonts w:ascii="Times New Roman" w:hAnsi="Times New Roman"/>
          <w:color w:val="000000" w:themeColor="text1"/>
          <w:vertAlign w:val="superscript"/>
          <w14:textFill>
            <w14:solidFill>
              <w14:schemeClr w14:val="tx1"/>
            </w14:solidFill>
          </w14:textFill>
        </w:rPr>
        <w:t>a</w:t>
      </w:r>
      <w:r>
        <w:rPr>
          <w:rFonts w:ascii="Times New Roman" w:hAnsi="Times New Roman"/>
          <w:color w:val="000000" w:themeColor="text1"/>
          <w14:textFill>
            <w14:solidFill>
              <w14:schemeClr w14:val="tx1"/>
            </w14:solidFill>
          </w14:textFill>
        </w:rPr>
        <w:t xml:space="preserve"> Response/Recovery times</w:t>
      </w:r>
    </w:p>
    <w:p w14:paraId="79A51B04">
      <w:pPr>
        <w:pStyle w:val="64"/>
        <w:spacing w:line="480" w:lineRule="auto"/>
        <w:ind w:firstLine="0"/>
        <w:jc w:val="center"/>
      </w:pPr>
    </w:p>
    <w:p w14:paraId="34ECA53C">
      <w:pPr>
        <w:pStyle w:val="64"/>
        <w:spacing w:line="480" w:lineRule="auto"/>
        <w:ind w:firstLine="0"/>
        <w:jc w:val="center"/>
      </w:pPr>
      <w:r>
        <w:rPr>
          <w:lang w:eastAsia="zh-CN"/>
        </w:rPr>
        <w:drawing>
          <wp:inline distT="0" distB="0" distL="0" distR="0">
            <wp:extent cx="6111875" cy="3517265"/>
            <wp:effectExtent l="0" t="0" r="317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16417" cy="3519746"/>
                    </a:xfrm>
                    <a:prstGeom prst="rect">
                      <a:avLst/>
                    </a:prstGeom>
                    <a:noFill/>
                    <a:ln>
                      <a:noFill/>
                    </a:ln>
                  </pic:spPr>
                </pic:pic>
              </a:graphicData>
            </a:graphic>
          </wp:inline>
        </w:drawing>
      </w:r>
    </w:p>
    <w:p w14:paraId="758BCF87">
      <w:pPr>
        <w:pStyle w:val="28"/>
        <w:spacing w:line="480" w:lineRule="auto"/>
        <w:rPr>
          <w:color w:val="000000" w:themeColor="text1"/>
          <w14:textFill>
            <w14:solidFill>
              <w14:schemeClr w14:val="tx1"/>
            </w14:solidFill>
          </w14:textFill>
        </w:rPr>
      </w:pPr>
      <w:r>
        <w:rPr>
          <w:color w:val="000000" w:themeColor="text1"/>
          <w14:textFill>
            <w14:solidFill>
              <w14:schemeClr w14:val="tx1"/>
            </w14:solidFill>
          </w14:textFill>
        </w:rPr>
        <w:t xml:space="preserve">Fig. 3. (a) Transient response of the sensor. The emitter is biased with square waves with high voltage levels of 2.8 V, 3.0 V, and 3.2 V. (b) Optical image of the experimental setup used to measure the dynamic response of the sensor. The inset shows a close-up image. (c) Dynamic response measured from an Al foil moving back and forth repeatedly at different distances from the surface of the sensor. Inset shows the schematic of experimental measurement. (d) Measured photocurrent under one cyclic movement of Al foil between d=0.035 mm and d= 3 mm at different speeds. (e) Measured photocurrent distribution of the sensor over 8000 cycles under the conditions of back-and-forth motion between d=0.015 and d=0.4 mm and a speed of 1 m/s. The emitter current is fixed at 10 mA for the measurement for (c)-(e). </w:t>
      </w:r>
    </w:p>
    <w:p w14:paraId="0FA55AFE">
      <w:pPr>
        <w:pStyle w:val="28"/>
        <w:spacing w:line="480" w:lineRule="auto"/>
        <w:rPr>
          <w:color w:val="000000" w:themeColor="text1"/>
          <w14:textFill>
            <w14:solidFill>
              <w14:schemeClr w14:val="tx1"/>
            </w14:solidFill>
          </w14:textFill>
        </w:rPr>
      </w:pPr>
    </w:p>
    <w:p w14:paraId="55A079F2">
      <w:pPr>
        <w:pStyle w:val="23"/>
        <w:spacing w:line="480" w:lineRule="auto"/>
        <w:rPr>
          <w:color w:val="000000" w:themeColor="text1"/>
          <w14:textFill>
            <w14:solidFill>
              <w14:schemeClr w14:val="tx1"/>
            </w14:solidFill>
          </w14:textFill>
        </w:rPr>
      </w:pPr>
    </w:p>
    <w:p w14:paraId="385915A4">
      <w:pPr>
        <w:pStyle w:val="64"/>
        <w:spacing w:line="480" w:lineRule="auto"/>
        <w:jc w:val="center"/>
      </w:pPr>
    </w:p>
    <w:p w14:paraId="3556E56D">
      <w:pPr>
        <w:pStyle w:val="28"/>
        <w:spacing w:line="480" w:lineRule="auto"/>
        <w:jc w:val="center"/>
        <w:rPr>
          <w:color w:val="000000" w:themeColor="text1"/>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5998845" cy="288290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010185" cy="2888857"/>
                    </a:xfrm>
                    <a:prstGeom prst="rect">
                      <a:avLst/>
                    </a:prstGeom>
                    <a:noFill/>
                    <a:ln>
                      <a:noFill/>
                    </a:ln>
                  </pic:spPr>
                </pic:pic>
              </a:graphicData>
            </a:graphic>
          </wp:inline>
        </w:drawing>
      </w:r>
    </w:p>
    <w:p w14:paraId="46734BF0">
      <w:pPr>
        <w:pStyle w:val="28"/>
        <w:spacing w:line="480" w:lineRule="auto"/>
        <w:rPr>
          <w:color w:val="000000" w:themeColor="text1"/>
          <w14:textFill>
            <w14:solidFill>
              <w14:schemeClr w14:val="tx1"/>
            </w14:solidFill>
          </w14:textFill>
        </w:rPr>
      </w:pPr>
      <w:r>
        <w:rPr>
          <w:color w:val="000000" w:themeColor="text1"/>
          <w14:textFill>
            <w14:solidFill>
              <w14:schemeClr w14:val="tx1"/>
            </w14:solidFill>
          </w14:textFill>
        </w:rPr>
        <w:t>Fig. 4. Sensor for real-time monitoring. Optical images of the sensor mounted on (a) volunteer's neck, and close to (b) mechanical pump, (c) speaker diaphragm. (d)-(f) Photocurrent profiles measured from the corresponding conditions in (a)-(c). The driving current of the emitter is fixed at 10 m</w:t>
      </w:r>
      <w:r>
        <w:rPr>
          <w:rFonts w:hint="eastAsia"/>
          <w:color w:val="000000" w:themeColor="text1"/>
          <w:lang w:eastAsia="zh-CN"/>
          <w14:textFill>
            <w14:solidFill>
              <w14:schemeClr w14:val="tx1"/>
            </w14:solidFill>
          </w14:textFill>
        </w:rPr>
        <w:t>A</w:t>
      </w:r>
      <w:r>
        <w:rPr>
          <w:color w:val="000000" w:themeColor="text1"/>
          <w14:textFill>
            <w14:solidFill>
              <w14:schemeClr w14:val="tx1"/>
            </w14:solidFill>
          </w14:textFill>
        </w:rPr>
        <w:t>.</w:t>
      </w:r>
    </w:p>
    <w:p w14:paraId="16C85EAA">
      <w:pPr>
        <w:pStyle w:val="28"/>
        <w:spacing w:line="480" w:lineRule="auto"/>
        <w:rPr>
          <w:color w:val="000000" w:themeColor="text1"/>
          <w14:textFill>
            <w14:solidFill>
              <w14:schemeClr w14:val="tx1"/>
            </w14:solidFill>
          </w14:textFill>
        </w:rPr>
      </w:pPr>
    </w:p>
    <w:p w14:paraId="657C69C5">
      <w:pPr>
        <w:pStyle w:val="24"/>
        <w:spacing w:line="480" w:lineRule="auto"/>
        <w:rPr>
          <w:lang w:eastAsia="en-US"/>
        </w:rPr>
        <w:sectPr>
          <w:type w:val="continuous"/>
          <w:pgSz w:w="12240" w:h="15840"/>
          <w:pgMar w:top="1080" w:right="994" w:bottom="1267" w:left="994" w:header="720" w:footer="720" w:gutter="0"/>
          <w:cols w:space="446" w:num="1"/>
          <w:docGrid w:linePitch="360" w:charSpace="0"/>
        </w:sectPr>
      </w:pPr>
    </w:p>
    <w:p w14:paraId="1305CA68">
      <w:pPr>
        <w:pStyle w:val="64"/>
        <w:spacing w:line="480" w:lineRule="auto"/>
        <w:ind w:firstLine="400" w:firstLineChars="200"/>
      </w:pPr>
    </w:p>
    <w:p w14:paraId="11F7FF20">
      <w:pPr>
        <w:pStyle w:val="64"/>
        <w:spacing w:line="480" w:lineRule="auto"/>
        <w:ind w:firstLine="0"/>
        <w:jc w:val="center"/>
        <w:rPr>
          <w:rFonts w:eastAsia="PMingLiU" w:cs="Times New Roman"/>
          <w:sz w:val="48"/>
          <w:szCs w:val="48"/>
          <w:lang w:eastAsia="zh-TW"/>
        </w:rPr>
      </w:pPr>
      <w:r>
        <w:rPr>
          <w:rFonts w:eastAsia="PMingLiU" w:cs="Times New Roman"/>
          <w:sz w:val="48"/>
          <w:szCs w:val="48"/>
          <w:lang w:eastAsia="zh-CN"/>
        </w:rPr>
        <w:drawing>
          <wp:inline distT="0" distB="0" distL="0" distR="0">
            <wp:extent cx="3113405" cy="1781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13405" cy="1781175"/>
                    </a:xfrm>
                    <a:prstGeom prst="rect">
                      <a:avLst/>
                    </a:prstGeom>
                    <a:noFill/>
                    <a:ln>
                      <a:noFill/>
                    </a:ln>
                  </pic:spPr>
                </pic:pic>
              </a:graphicData>
            </a:graphic>
          </wp:inline>
        </w:drawing>
      </w:r>
    </w:p>
    <w:p w14:paraId="117C48D9">
      <w:pPr>
        <w:pStyle w:val="28"/>
        <w:spacing w:line="480" w:lineRule="auto"/>
        <w:rPr>
          <w:color w:val="000000" w:themeColor="text1"/>
          <w14:textFill>
            <w14:solidFill>
              <w14:schemeClr w14:val="tx1"/>
            </w14:solidFill>
          </w14:textFill>
        </w:rPr>
      </w:pPr>
      <w:r>
        <w:rPr>
          <w:color w:val="000000" w:themeColor="text1"/>
          <w14:textFill>
            <w14:solidFill>
              <w14:schemeClr w14:val="tx1"/>
            </w14:solidFill>
          </w14:textFill>
        </w:rPr>
        <w:t xml:space="preserve">Fig. 5. (a) Optical images of the sensor mounted close to rotating disk half painted in black and white. </w:t>
      </w:r>
      <w:r>
        <w:rPr>
          <w:color w:val="000000" w:themeColor="text1"/>
          <w:lang w:eastAsia="zh-CN"/>
          <w14:textFill>
            <w14:solidFill>
              <w14:schemeClr w14:val="tx1"/>
            </w14:solidFill>
          </w14:textFill>
        </w:rPr>
        <w:t xml:space="preserve">(b) </w:t>
      </w:r>
      <w:r>
        <w:rPr>
          <w:color w:val="000000" w:themeColor="text1"/>
          <w14:textFill>
            <w14:solidFill>
              <w14:schemeClr w14:val="tx1"/>
            </w14:solidFill>
          </w14:textFill>
        </w:rPr>
        <w:t>Photocurrent profiles measured from the disk at different rotating speeds when the emitter current is 10 m</w:t>
      </w:r>
      <w:r>
        <w:rPr>
          <w:rFonts w:hint="eastAsia"/>
          <w:color w:val="000000" w:themeColor="text1"/>
          <w:lang w:eastAsia="zh-CN"/>
          <w14:textFill>
            <w14:solidFill>
              <w14:schemeClr w14:val="tx1"/>
            </w14:solidFill>
          </w14:textFill>
        </w:rPr>
        <w:t>A</w:t>
      </w:r>
      <w:r>
        <w:rPr>
          <w:color w:val="000000" w:themeColor="text1"/>
          <w14:textFill>
            <w14:solidFill>
              <w14:schemeClr w14:val="tx1"/>
            </w14:solidFill>
          </w14:textFill>
        </w:rPr>
        <w:t>.</w:t>
      </w:r>
    </w:p>
    <w:p w14:paraId="0E1993D2">
      <w:pPr>
        <w:pStyle w:val="64"/>
        <w:spacing w:line="480" w:lineRule="auto"/>
      </w:pPr>
      <w:r>
        <w:t>When an on-chip unit acts as an emitter, the others can act as receivers in response to objects in their vicinity. To study this, Al foils of different shapes are placed on the detecting units using the micro-positioners (SIGNATONE S-725). As shown in Fig. 6, a sharp contrast of photocurrent levels between the covered and uncovered units can be obtained. For the coverage of a single unit, the photocurrent changes show more than 0.15 μA, which is more than 3 times larger than that of the uncovered ones, as shown in Figs. 6(b)-(d). Notably, increasing the number of covered units can promote the amount of reflected light, resulting in readout levels exceeding 0.20 μA and 0.25 μA for double and triple-covered units, respectively, as shown in Figs. 6(e)-(g). With the obvious contrast between the measured photocurrents, the sensor can be used to detect small objects overlaid on the units.</w:t>
      </w:r>
    </w:p>
    <w:p w14:paraId="271F2BE9">
      <w:pPr>
        <w:pStyle w:val="64"/>
        <w:spacing w:line="480" w:lineRule="auto"/>
      </w:pPr>
      <w:r>
        <w:t>In summary, an ultracompact sensor based on the same InGaN/GaN MQW diode structure as the emitters and receiver is demonstrated for proximity measurement. The electrical and optical properties of the on-chip units are investigated, demonstrating the ability to detect objects in the sub-centimeter range. The sensor with microsecond response times can respond to the object movements in different dynamic conditions. Fabricated through extendable wafer-scale processes, the proposed proximity sensor provides submillimeter size, fast response, ease of operation, and high repeatability, which makes it well-suited for practical applications required real-time monitoring.</w:t>
      </w:r>
    </w:p>
    <w:p w14:paraId="671AE0F0">
      <w:pPr>
        <w:pStyle w:val="64"/>
        <w:spacing w:line="480" w:lineRule="auto"/>
        <w:ind w:firstLine="0"/>
      </w:pPr>
    </w:p>
    <w:p w14:paraId="4335DFCE">
      <w:pPr>
        <w:pStyle w:val="64"/>
        <w:spacing w:line="480" w:lineRule="auto"/>
        <w:ind w:firstLine="0"/>
        <w:jc w:val="center"/>
      </w:pPr>
    </w:p>
    <w:p w14:paraId="30FF5343">
      <w:pPr>
        <w:pStyle w:val="64"/>
        <w:spacing w:line="480" w:lineRule="auto"/>
        <w:ind w:firstLine="0"/>
        <w:jc w:val="center"/>
      </w:pPr>
      <w:r>
        <w:rPr>
          <w:lang w:eastAsia="zh-CN"/>
        </w:rPr>
        <w:drawing>
          <wp:inline distT="0" distB="0" distL="0" distR="0">
            <wp:extent cx="6501130" cy="25273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501130" cy="2527300"/>
                    </a:xfrm>
                    <a:prstGeom prst="rect">
                      <a:avLst/>
                    </a:prstGeom>
                    <a:noFill/>
                    <a:ln>
                      <a:noFill/>
                    </a:ln>
                  </pic:spPr>
                </pic:pic>
              </a:graphicData>
            </a:graphic>
          </wp:inline>
        </w:drawing>
      </w:r>
    </w:p>
    <w:p w14:paraId="4D8C8248">
      <w:pPr>
        <w:pStyle w:val="28"/>
        <w:spacing w:line="480" w:lineRule="auto"/>
        <w:rPr>
          <w:color w:val="000000" w:themeColor="text1"/>
          <w14:textFill>
            <w14:solidFill>
              <w14:schemeClr w14:val="tx1"/>
            </w14:solidFill>
          </w14:textFill>
        </w:rPr>
      </w:pPr>
      <w:r>
        <w:rPr>
          <w:color w:val="000000" w:themeColor="text1"/>
          <w:lang w:eastAsia="zh-TW"/>
          <w14:textFill>
            <w14:solidFill>
              <w14:schemeClr w14:val="tx1"/>
            </w14:solidFill>
          </w14:textFill>
        </w:rPr>
        <w:t>Fig. 6. (a) Optical images showing the selective area coverage of the Al foils on the sensor using the micro-positioners. Distributions of photocurrent changes of units acting as receivers when Al foil is overlaid on (b)-(d) single, (e)-(f) double, and (g) triple units. The emitter operates at a low current of 1 mA.</w:t>
      </w:r>
    </w:p>
    <w:p w14:paraId="33CF5072">
      <w:pPr>
        <w:pStyle w:val="61"/>
        <w:spacing w:line="480" w:lineRule="auto"/>
        <w:jc w:val="both"/>
        <w:rPr>
          <w:color w:val="000000" w:themeColor="text1"/>
          <w:szCs w:val="20"/>
          <w14:textFill>
            <w14:solidFill>
              <w14:schemeClr w14:val="tx1"/>
            </w14:solidFill>
          </w14:textFill>
        </w:rPr>
      </w:pPr>
      <w:r>
        <w:rPr>
          <w:rFonts w:cs="Arial"/>
          <w:b/>
          <w:i w:val="0"/>
          <w:color w:val="000000" w:themeColor="text1"/>
          <w:szCs w:val="20"/>
          <w14:textFill>
            <w14:solidFill>
              <w14:schemeClr w14:val="tx1"/>
            </w14:solidFill>
          </w14:textFill>
        </w:rPr>
        <w:t>Funding sources and acknowledgments</w:t>
      </w:r>
      <w:r>
        <w:rPr>
          <w:rFonts w:cs="Arial"/>
          <w:b/>
          <w:color w:val="000000" w:themeColor="text1"/>
          <w:szCs w:val="20"/>
          <w14:textFill>
            <w14:solidFill>
              <w14:schemeClr w14:val="tx1"/>
            </w14:solidFill>
          </w14:textFill>
        </w:rPr>
        <w:t>.</w:t>
      </w:r>
      <w:r>
        <w:rPr>
          <w:rFonts w:asciiTheme="majorHAnsi" w:hAnsiTheme="majorHAnsi"/>
          <w:i w:val="0"/>
          <w:color w:val="000000" w:themeColor="text1"/>
          <w:szCs w:val="20"/>
          <w14:textFill>
            <w14:solidFill>
              <w14:schemeClr w14:val="tx1"/>
            </w14:solidFill>
          </w14:textFill>
        </w:rPr>
        <w:t xml:space="preserve"> National Natural Science Foundation of China under Grant 62004088 and Grant 12074170; Shenzhen Natural Science Foundation Stability Support Program Project under Grant 20200925160044004; HKSAR Research Grants Council (RGC) Early Career Scheme under Grant 27202919; NSQKJJ under Grant K20799112.</w:t>
      </w:r>
      <w:r>
        <w:rPr>
          <w:color w:val="000000" w:themeColor="text1"/>
          <w:szCs w:val="20"/>
          <w14:textFill>
            <w14:solidFill>
              <w14:schemeClr w14:val="tx1"/>
            </w14:solidFill>
          </w14:textFill>
        </w:rPr>
        <w:t xml:space="preserve"> </w:t>
      </w:r>
    </w:p>
    <w:p w14:paraId="334DEB53">
      <w:pPr>
        <w:spacing w:line="480" w:lineRule="auto"/>
        <w:rPr>
          <w:color w:val="000000" w:themeColor="text1"/>
          <w14:textFill>
            <w14:solidFill>
              <w14:schemeClr w14:val="tx1"/>
            </w14:solidFill>
          </w14:textFill>
        </w:rPr>
      </w:pPr>
    </w:p>
    <w:p w14:paraId="4F49A030">
      <w:pPr>
        <w:pStyle w:val="61"/>
        <w:spacing w:line="480" w:lineRule="auto"/>
        <w:jc w:val="both"/>
        <w:rPr>
          <w:color w:val="000000" w:themeColor="text1"/>
          <w:szCs w:val="20"/>
          <w14:textFill>
            <w14:solidFill>
              <w14:schemeClr w14:val="tx1"/>
            </w14:solidFill>
          </w14:textFill>
        </w:rPr>
      </w:pPr>
      <w:r>
        <w:rPr>
          <w:rFonts w:cs="Arial"/>
          <w:b/>
          <w:i w:val="0"/>
          <w:color w:val="000000" w:themeColor="text1"/>
          <w:szCs w:val="20"/>
          <w14:textFill>
            <w14:solidFill>
              <w14:schemeClr w14:val="tx1"/>
            </w14:solidFill>
          </w14:textFill>
        </w:rPr>
        <w:t>Disclosures.</w:t>
      </w:r>
      <w:r>
        <w:rPr>
          <w:rFonts w:asciiTheme="majorHAnsi" w:hAnsiTheme="majorHAnsi"/>
          <w:i w:val="0"/>
          <w:color w:val="000000" w:themeColor="text1"/>
          <w:szCs w:val="20"/>
          <w14:textFill>
            <w14:solidFill>
              <w14:schemeClr w14:val="tx1"/>
            </w14:solidFill>
          </w14:textFill>
        </w:rPr>
        <w:t xml:space="preserve"> The authors declare no conflicts of interest.</w:t>
      </w:r>
      <w:r>
        <w:rPr>
          <w:color w:val="000000" w:themeColor="text1"/>
          <w:szCs w:val="20"/>
          <w14:textFill>
            <w14:solidFill>
              <w14:schemeClr w14:val="tx1"/>
            </w14:solidFill>
          </w14:textFill>
        </w:rPr>
        <w:t xml:space="preserve"> </w:t>
      </w:r>
    </w:p>
    <w:p w14:paraId="78D9EFC2">
      <w:pPr>
        <w:spacing w:line="480" w:lineRule="auto"/>
        <w:rPr>
          <w:color w:val="000000" w:themeColor="text1"/>
          <w14:textFill>
            <w14:solidFill>
              <w14:schemeClr w14:val="tx1"/>
            </w14:solidFill>
          </w14:textFill>
        </w:rPr>
      </w:pPr>
    </w:p>
    <w:p w14:paraId="06392916">
      <w:pPr>
        <w:spacing w:before="120" w:line="480" w:lineRule="auto"/>
        <w:jc w:val="both"/>
        <w:rPr>
          <w:rFonts w:asciiTheme="majorHAnsi" w:hAnsiTheme="majorHAnsi" w:cstheme="minorBidi"/>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 xml:space="preserve">Data Availability. </w:t>
      </w:r>
      <w:r>
        <w:rPr>
          <w:rFonts w:asciiTheme="majorHAnsi" w:hAnsiTheme="majorHAnsi" w:cstheme="minorBidi"/>
          <w:color w:val="000000" w:themeColor="text1"/>
          <w:sz w:val="20"/>
          <w:szCs w:val="20"/>
          <w14:textFill>
            <w14:solidFill>
              <w14:schemeClr w14:val="tx1"/>
            </w14:solidFill>
          </w14:textFill>
        </w:rPr>
        <w:t>Data underlying the results presented</w:t>
      </w:r>
      <w:r>
        <w:rPr>
          <w:rFonts w:hint="eastAsia" w:asciiTheme="majorHAnsi" w:hAnsiTheme="majorHAnsi" w:cstheme="minorBidi"/>
          <w:color w:val="000000" w:themeColor="text1"/>
          <w:sz w:val="20"/>
          <w:szCs w:val="20"/>
          <w:lang w:eastAsia="zh-CN"/>
          <w14:textFill>
            <w14:solidFill>
              <w14:schemeClr w14:val="tx1"/>
            </w14:solidFill>
          </w14:textFill>
        </w:rPr>
        <w:t xml:space="preserve"> </w:t>
      </w:r>
      <w:r>
        <w:rPr>
          <w:rFonts w:asciiTheme="majorHAnsi" w:hAnsiTheme="majorHAnsi" w:cstheme="minorBidi"/>
          <w:color w:val="000000" w:themeColor="text1"/>
          <w:sz w:val="20"/>
          <w:szCs w:val="20"/>
          <w14:textFill>
            <w14:solidFill>
              <w14:schemeClr w14:val="tx1"/>
            </w14:solidFill>
          </w14:textFill>
        </w:rPr>
        <w:t>in this paper are not publicly available at this time but may</w:t>
      </w:r>
      <w:r>
        <w:rPr>
          <w:rFonts w:hint="eastAsia" w:asciiTheme="majorHAnsi" w:hAnsiTheme="majorHAnsi" w:cstheme="minorBidi"/>
          <w:color w:val="000000" w:themeColor="text1"/>
          <w:sz w:val="20"/>
          <w:szCs w:val="20"/>
          <w:lang w:eastAsia="zh-CN"/>
          <w14:textFill>
            <w14:solidFill>
              <w14:schemeClr w14:val="tx1"/>
            </w14:solidFill>
          </w14:textFill>
        </w:rPr>
        <w:t xml:space="preserve"> </w:t>
      </w:r>
      <w:r>
        <w:rPr>
          <w:rFonts w:asciiTheme="majorHAnsi" w:hAnsiTheme="majorHAnsi" w:cstheme="minorBidi"/>
          <w:color w:val="000000" w:themeColor="text1"/>
          <w:sz w:val="20"/>
          <w:szCs w:val="20"/>
          <w14:textFill>
            <w14:solidFill>
              <w14:schemeClr w14:val="tx1"/>
            </w14:solidFill>
          </w14:textFill>
        </w:rPr>
        <w:t>be obtained from the authors upon reasonable request.</w:t>
      </w:r>
    </w:p>
    <w:p w14:paraId="50841E0F">
      <w:pPr>
        <w:pStyle w:val="26"/>
        <w:spacing w:line="480" w:lineRule="auto"/>
        <w:rPr>
          <w:rFonts w:ascii="Arial" w:hAnsi="Arial" w:cs="Arial"/>
          <w:color w:val="000000" w:themeColor="text1"/>
          <w:sz w:val="20"/>
          <w:szCs w:val="20"/>
          <w14:textFill>
            <w14:solidFill>
              <w14:schemeClr w14:val="tx1"/>
            </w14:solidFill>
          </w14:textFill>
        </w:rPr>
      </w:pPr>
      <w:bookmarkStart w:id="1" w:name="_Hlk214741896"/>
      <w:r>
        <w:rPr>
          <w:rFonts w:ascii="Arial" w:hAnsi="Arial" w:cs="Arial"/>
          <w:color w:val="000000" w:themeColor="text1"/>
          <w:sz w:val="20"/>
          <w:szCs w:val="20"/>
          <w14:textFill>
            <w14:solidFill>
              <w14:schemeClr w14:val="tx1"/>
            </w14:solidFill>
          </w14:textFill>
        </w:rPr>
        <w:t>REFERENCES</w:t>
      </w:r>
    </w:p>
    <w:p w14:paraId="4B3E5869">
      <w:pPr>
        <w:pStyle w:val="78"/>
        <w:spacing w:line="480" w:lineRule="auto"/>
        <w:ind w:left="320" w:hanging="320" w:hangingChars="200"/>
        <w:rPr>
          <w:color w:val="000000" w:themeColor="text1"/>
          <w:sz w:val="17"/>
          <w:szCs w:val="17"/>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ADDIN EN.REFLIST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ADDIN EN.REFLIST </w:instrText>
      </w:r>
      <w:r>
        <w:rPr>
          <w:color w:val="000000" w:themeColor="text1"/>
          <w14:textFill>
            <w14:solidFill>
              <w14:schemeClr w14:val="tx1"/>
            </w14:solidFill>
          </w14:textFill>
        </w:rPr>
        <w:fldChar w:fldCharType="separate"/>
      </w:r>
      <w:r>
        <w:rPr>
          <w:color w:val="000000" w:themeColor="text1"/>
          <w:sz w:val="17"/>
          <w:szCs w:val="17"/>
          <w14:textFill>
            <w14:solidFill>
              <w14:schemeClr w14:val="tx1"/>
            </w14:solidFill>
          </w14:textFill>
        </w:rPr>
        <w:t xml:space="preserve">1.H. K. Lee, S. I. Chang, and E. Yoon, IEEE Sens. J. </w:t>
      </w:r>
      <w:r>
        <w:rPr>
          <w:b/>
          <w:color w:val="000000" w:themeColor="text1"/>
          <w:sz w:val="17"/>
          <w:szCs w:val="17"/>
          <w14:textFill>
            <w14:solidFill>
              <w14:schemeClr w14:val="tx1"/>
            </w14:solidFill>
          </w14:textFill>
        </w:rPr>
        <w:t>9,</w:t>
      </w:r>
      <w:r>
        <w:rPr>
          <w:color w:val="000000" w:themeColor="text1"/>
          <w:sz w:val="17"/>
          <w:szCs w:val="17"/>
          <w14:textFill>
            <w14:solidFill>
              <w14:schemeClr w14:val="tx1"/>
            </w14:solidFill>
          </w14:textFill>
        </w:rPr>
        <w:t xml:space="preserve"> 1748-1755 (2009).</w:t>
      </w:r>
    </w:p>
    <w:p w14:paraId="754D51D6">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2.A. Braun, R. Wichert, A. Kuijper, and D. W. Fellner, J. Ambient Intell. Smart Environ. </w:t>
      </w:r>
      <w:r>
        <w:rPr>
          <w:b/>
          <w:color w:val="000000" w:themeColor="text1"/>
          <w:sz w:val="17"/>
          <w:szCs w:val="17"/>
          <w14:textFill>
            <w14:solidFill>
              <w14:schemeClr w14:val="tx1"/>
            </w14:solidFill>
          </w14:textFill>
        </w:rPr>
        <w:t>7,</w:t>
      </w:r>
      <w:r>
        <w:rPr>
          <w:color w:val="000000" w:themeColor="text1"/>
          <w:sz w:val="17"/>
          <w:szCs w:val="17"/>
          <w14:textFill>
            <w14:solidFill>
              <w14:schemeClr w14:val="tx1"/>
            </w14:solidFill>
          </w14:textFill>
        </w:rPr>
        <w:t xml:space="preserve"> 483-510 (2015).</w:t>
      </w:r>
    </w:p>
    <w:p w14:paraId="2845EEF9">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3.Y. Huang, X. Cai, W. Kan, S. Qiu, X. Guo, C. Liu, and P. Liu, Rev. Sci. Instrum. </w:t>
      </w:r>
      <w:r>
        <w:rPr>
          <w:b/>
          <w:color w:val="000000" w:themeColor="text1"/>
          <w:sz w:val="17"/>
          <w:szCs w:val="17"/>
          <w14:textFill>
            <w14:solidFill>
              <w14:schemeClr w14:val="tx1"/>
            </w14:solidFill>
          </w14:textFill>
        </w:rPr>
        <w:t>88,</w:t>
      </w:r>
      <w:r>
        <w:rPr>
          <w:color w:val="000000" w:themeColor="text1"/>
          <w:sz w:val="17"/>
          <w:szCs w:val="17"/>
          <w14:textFill>
            <w14:solidFill>
              <w14:schemeClr w14:val="tx1"/>
            </w14:solidFill>
          </w14:textFill>
        </w:rPr>
        <w:t xml:space="preserve"> 085005 (2017).</w:t>
      </w:r>
    </w:p>
    <w:p w14:paraId="3DB2F1BC">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4.Y. Ye, C. Y. Zhang, C. L. He, X. Wang, J. J. Huang, and J. H. Deng, IEEE Access </w:t>
      </w:r>
      <w:r>
        <w:rPr>
          <w:b/>
          <w:color w:val="000000" w:themeColor="text1"/>
          <w:sz w:val="17"/>
          <w:szCs w:val="17"/>
          <w14:textFill>
            <w14:solidFill>
              <w14:schemeClr w14:val="tx1"/>
            </w14:solidFill>
          </w14:textFill>
        </w:rPr>
        <w:t>8,</w:t>
      </w:r>
      <w:r>
        <w:rPr>
          <w:color w:val="000000" w:themeColor="text1"/>
          <w:sz w:val="17"/>
          <w:szCs w:val="17"/>
          <w14:textFill>
            <w14:solidFill>
              <w14:schemeClr w14:val="tx1"/>
            </w14:solidFill>
          </w14:textFill>
        </w:rPr>
        <w:t xml:space="preserve"> 45325-45342 (2020).</w:t>
      </w:r>
    </w:p>
    <w:p w14:paraId="6A1BD079">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5.S. H. Qiu, Y. Huang, X. Y. He, Z. G. Sun, P. Liu, and C. X. Liu, Meas. Sci. Technol. </w:t>
      </w:r>
      <w:r>
        <w:rPr>
          <w:b/>
          <w:color w:val="000000" w:themeColor="text1"/>
          <w:sz w:val="17"/>
          <w:szCs w:val="17"/>
          <w14:textFill>
            <w14:solidFill>
              <w14:schemeClr w14:val="tx1"/>
            </w14:solidFill>
          </w14:textFill>
        </w:rPr>
        <w:t>26,</w:t>
      </w:r>
      <w:r>
        <w:rPr>
          <w:color w:val="000000" w:themeColor="text1"/>
          <w:sz w:val="17"/>
          <w:szCs w:val="17"/>
          <w14:textFill>
            <w14:solidFill>
              <w14:schemeClr w14:val="tx1"/>
            </w14:solidFill>
          </w14:textFill>
        </w:rPr>
        <w:t xml:space="preserve"> 105101 (2015).</w:t>
      </w:r>
    </w:p>
    <w:p w14:paraId="3BEC4DB0">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6.D. J. Sadler, and C. H. Ahn, Sensor Actuat a-Phys </w:t>
      </w:r>
      <w:r>
        <w:rPr>
          <w:b/>
          <w:color w:val="000000" w:themeColor="text1"/>
          <w:sz w:val="17"/>
          <w:szCs w:val="17"/>
          <w14:textFill>
            <w14:solidFill>
              <w14:schemeClr w14:val="tx1"/>
            </w14:solidFill>
          </w14:textFill>
        </w:rPr>
        <w:t>91,</w:t>
      </w:r>
      <w:r>
        <w:rPr>
          <w:color w:val="000000" w:themeColor="text1"/>
          <w:sz w:val="17"/>
          <w:szCs w:val="17"/>
          <w14:textFill>
            <w14:solidFill>
              <w14:schemeClr w14:val="tx1"/>
            </w14:solidFill>
          </w14:textFill>
        </w:rPr>
        <w:t xml:space="preserve"> 340-345 (2001).</w:t>
      </w:r>
    </w:p>
    <w:p w14:paraId="3E5338B3">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7.A. Bonen, R. E. Saad, K. C. Smith, and B. Benhabib, </w:t>
      </w:r>
      <w:bookmarkStart w:id="2" w:name="_Hlk106615785"/>
      <w:r>
        <w:rPr>
          <w:color w:val="000000" w:themeColor="text1"/>
          <w:sz w:val="17"/>
          <w:szCs w:val="17"/>
          <w14:textFill>
            <w14:solidFill>
              <w14:schemeClr w14:val="tx1"/>
            </w14:solidFill>
          </w14:textFill>
        </w:rPr>
        <w:t>IEEE Trans. Robot.</w:t>
      </w:r>
      <w:bookmarkEnd w:id="2"/>
      <w:r>
        <w:rPr>
          <w:color w:val="000000" w:themeColor="text1"/>
          <w:sz w:val="17"/>
          <w:szCs w:val="17"/>
          <w14:textFill>
            <w14:solidFill>
              <w14:schemeClr w14:val="tx1"/>
            </w14:solidFill>
          </w14:textFill>
        </w:rPr>
        <w:t xml:space="preserve"> </w:t>
      </w:r>
      <w:r>
        <w:rPr>
          <w:b/>
          <w:color w:val="000000" w:themeColor="text1"/>
          <w:sz w:val="17"/>
          <w:szCs w:val="17"/>
          <w14:textFill>
            <w14:solidFill>
              <w14:schemeClr w14:val="tx1"/>
            </w14:solidFill>
          </w14:textFill>
        </w:rPr>
        <w:t>13,</w:t>
      </w:r>
      <w:r>
        <w:rPr>
          <w:color w:val="000000" w:themeColor="text1"/>
          <w:sz w:val="17"/>
          <w:szCs w:val="17"/>
          <w14:textFill>
            <w14:solidFill>
              <w14:schemeClr w14:val="tx1"/>
            </w14:solidFill>
          </w14:textFill>
        </w:rPr>
        <w:t xml:space="preserve"> 377-386 (1997).</w:t>
      </w:r>
    </w:p>
    <w:p w14:paraId="78696A6C">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8.X. Lü, X. Li, F. Zhang, S. Wang, D. Xue, L. Qi, H. Wang, X. Li, W. Bao, and R. Chen, IEEE Sens. J. </w:t>
      </w:r>
      <w:r>
        <w:rPr>
          <w:b/>
          <w:color w:val="000000" w:themeColor="text1"/>
          <w:sz w:val="17"/>
          <w:szCs w:val="17"/>
          <w14:textFill>
            <w14:solidFill>
              <w14:schemeClr w14:val="tx1"/>
            </w14:solidFill>
          </w14:textFill>
        </w:rPr>
        <w:t>18,</w:t>
      </w:r>
      <w:r>
        <w:rPr>
          <w:color w:val="000000" w:themeColor="text1"/>
          <w:sz w:val="17"/>
          <w:szCs w:val="17"/>
          <w14:textFill>
            <w14:solidFill>
              <w14:schemeClr w14:val="tx1"/>
            </w14:solidFill>
          </w14:textFill>
        </w:rPr>
        <w:t xml:space="preserve"> 7015-7022 (2017).</w:t>
      </w:r>
    </w:p>
    <w:p w14:paraId="3F084F4E">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9.J. Castellanos-Ramos, A. Trujillo-León, R. Navas-González, F. Barbero-Recio, J. A. Sánchez-Durán, Ó. Oballe-Peinado, and F. Vidal-Verdú, IEEE Trans. Instrum. Meas. </w:t>
      </w:r>
      <w:r>
        <w:rPr>
          <w:b/>
          <w:color w:val="000000" w:themeColor="text1"/>
          <w:sz w:val="17"/>
          <w:szCs w:val="17"/>
          <w14:textFill>
            <w14:solidFill>
              <w14:schemeClr w14:val="tx1"/>
            </w14:solidFill>
          </w14:textFill>
        </w:rPr>
        <w:t>69,</w:t>
      </w:r>
      <w:r>
        <w:rPr>
          <w:color w:val="000000" w:themeColor="text1"/>
          <w:sz w:val="17"/>
          <w:szCs w:val="17"/>
          <w14:textFill>
            <w14:solidFill>
              <w14:schemeClr w14:val="tx1"/>
            </w14:solidFill>
          </w14:textFill>
        </w:rPr>
        <w:t xml:space="preserve"> 4238-4250 (2019).</w:t>
      </w:r>
    </w:p>
    <w:p w14:paraId="044691A8">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10.L. Sant, A. Fant, S. Stojanovic, S. Fabbro, and J. L. Ceballos, IEEE J. Solid-State Circuits </w:t>
      </w:r>
      <w:r>
        <w:rPr>
          <w:b/>
          <w:color w:val="000000" w:themeColor="text1"/>
          <w:sz w:val="17"/>
          <w:szCs w:val="17"/>
          <w14:textFill>
            <w14:solidFill>
              <w14:schemeClr w14:val="tx1"/>
            </w14:solidFill>
          </w14:textFill>
        </w:rPr>
        <w:t>51,</w:t>
      </w:r>
      <w:r>
        <w:rPr>
          <w:color w:val="000000" w:themeColor="text1"/>
          <w:sz w:val="17"/>
          <w:szCs w:val="17"/>
          <w14:textFill>
            <w14:solidFill>
              <w14:schemeClr w14:val="tx1"/>
            </w14:solidFill>
          </w14:textFill>
        </w:rPr>
        <w:t xml:space="preserve"> 1674-1683 (2016).</w:t>
      </w:r>
    </w:p>
    <w:p w14:paraId="37E884CF">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11.C. H. Chen, C. F. Lin, K. H. Wang, H. C. Liu, H. W. Zan, H. F. Meng, W. Hortschitz, H. Steiner, A. Kainz, and T. Sauter, Org. Electron. </w:t>
      </w:r>
      <w:r>
        <w:rPr>
          <w:b/>
          <w:color w:val="000000" w:themeColor="text1"/>
          <w:sz w:val="17"/>
          <w:szCs w:val="17"/>
          <w14:textFill>
            <w14:solidFill>
              <w14:schemeClr w14:val="tx1"/>
            </w14:solidFill>
          </w14:textFill>
        </w:rPr>
        <w:t>49,</w:t>
      </w:r>
      <w:r>
        <w:rPr>
          <w:color w:val="000000" w:themeColor="text1"/>
          <w:sz w:val="17"/>
          <w:szCs w:val="17"/>
          <w14:textFill>
            <w14:solidFill>
              <w14:schemeClr w14:val="tx1"/>
            </w14:solidFill>
          </w14:textFill>
        </w:rPr>
        <w:t xml:space="preserve"> 305-312 (2017).</w:t>
      </w:r>
    </w:p>
    <w:p w14:paraId="2E7C12B8">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12.K. Koyama, M. Shimojo, T. Senoo, and M. Ishikawa, IEEE Rob. Autom. Lett. </w:t>
      </w:r>
      <w:r>
        <w:rPr>
          <w:b/>
          <w:color w:val="000000" w:themeColor="text1"/>
          <w:sz w:val="17"/>
          <w:szCs w:val="17"/>
          <w14:textFill>
            <w14:solidFill>
              <w14:schemeClr w14:val="tx1"/>
            </w14:solidFill>
          </w14:textFill>
        </w:rPr>
        <w:t>3,</w:t>
      </w:r>
      <w:r>
        <w:rPr>
          <w:color w:val="000000" w:themeColor="text1"/>
          <w:sz w:val="17"/>
          <w:szCs w:val="17"/>
          <w14:textFill>
            <w14:solidFill>
              <w14:schemeClr w14:val="tx1"/>
            </w14:solidFill>
          </w14:textFill>
        </w:rPr>
        <w:t xml:space="preserve"> 3224-3231 (2018).</w:t>
      </w:r>
    </w:p>
    <w:p w14:paraId="7AE97EEA">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13.L. Bürgi, R. Pfeiffer, M. Mücklich, P. Metzler, M. Kiy, and C. Winnewisser, Org. Electron. </w:t>
      </w:r>
      <w:r>
        <w:rPr>
          <w:b/>
          <w:color w:val="000000" w:themeColor="text1"/>
          <w:sz w:val="17"/>
          <w:szCs w:val="17"/>
          <w14:textFill>
            <w14:solidFill>
              <w14:schemeClr w14:val="tx1"/>
            </w14:solidFill>
          </w14:textFill>
        </w:rPr>
        <w:t>7,</w:t>
      </w:r>
      <w:r>
        <w:rPr>
          <w:color w:val="000000" w:themeColor="text1"/>
          <w:sz w:val="17"/>
          <w:szCs w:val="17"/>
          <w14:textFill>
            <w14:solidFill>
              <w14:schemeClr w14:val="tx1"/>
            </w14:solidFill>
          </w14:textFill>
        </w:rPr>
        <w:t xml:space="preserve"> 114-120 (2006).</w:t>
      </w:r>
    </w:p>
    <w:p w14:paraId="08CCBA2E">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14.M. Prosa, E. Benvenuti, D. Kallweit, P. Pellacani, M. Toerker, M. Bolognesi, L. Lopez-Sanchez, V. Ragona, F. Marabelli, and S. Toffanin, Adv. Funct. Mater. </w:t>
      </w:r>
      <w:r>
        <w:rPr>
          <w:b/>
          <w:color w:val="000000" w:themeColor="text1"/>
          <w:sz w:val="17"/>
          <w:szCs w:val="17"/>
          <w14:textFill>
            <w14:solidFill>
              <w14:schemeClr w14:val="tx1"/>
            </w14:solidFill>
          </w14:textFill>
        </w:rPr>
        <w:t>31,</w:t>
      </w:r>
      <w:r>
        <w:rPr>
          <w:color w:val="000000" w:themeColor="text1"/>
          <w:sz w:val="17"/>
          <w:szCs w:val="17"/>
          <w14:textFill>
            <w14:solidFill>
              <w14:schemeClr w14:val="tx1"/>
            </w14:solidFill>
          </w14:textFill>
        </w:rPr>
        <w:t xml:space="preserve"> 2104927 (2021).</w:t>
      </w:r>
    </w:p>
    <w:p w14:paraId="2FAF7B25">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15.H. L. Tam, W. H. Choi, and F. R. Zhu, </w:t>
      </w:r>
      <w:bookmarkStart w:id="3" w:name="_Hlk106615335"/>
      <w:r>
        <w:rPr>
          <w:color w:val="000000" w:themeColor="text1"/>
          <w:sz w:val="17"/>
          <w:szCs w:val="17"/>
          <w14:textFill>
            <w14:solidFill>
              <w14:schemeClr w14:val="tx1"/>
            </w14:solidFill>
          </w14:textFill>
        </w:rPr>
        <w:t>Electronics-Switz</w:t>
      </w:r>
      <w:bookmarkEnd w:id="3"/>
      <w:r>
        <w:rPr>
          <w:color w:val="000000" w:themeColor="text1"/>
          <w:sz w:val="17"/>
          <w:szCs w:val="17"/>
          <w14:textFill>
            <w14:solidFill>
              <w14:schemeClr w14:val="tx1"/>
            </w14:solidFill>
          </w14:textFill>
        </w:rPr>
        <w:t xml:space="preserve"> </w:t>
      </w:r>
      <w:r>
        <w:rPr>
          <w:b/>
          <w:color w:val="000000" w:themeColor="text1"/>
          <w:sz w:val="17"/>
          <w:szCs w:val="17"/>
          <w14:textFill>
            <w14:solidFill>
              <w14:schemeClr w14:val="tx1"/>
            </w14:solidFill>
          </w14:textFill>
        </w:rPr>
        <w:t>4,</w:t>
      </w:r>
      <w:r>
        <w:rPr>
          <w:color w:val="000000" w:themeColor="text1"/>
          <w:sz w:val="17"/>
          <w:szCs w:val="17"/>
          <w14:textFill>
            <w14:solidFill>
              <w14:schemeClr w14:val="tx1"/>
            </w14:solidFill>
          </w14:textFill>
        </w:rPr>
        <w:t xml:space="preserve"> 623-632 (2015).</w:t>
      </w:r>
    </w:p>
    <w:p w14:paraId="2C3CCE4D">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16.A. Laubsch, M. Sabathil, J. Baur, M. Peter, and B. Hahn, IEEE Trans. Electron Devices </w:t>
      </w:r>
      <w:r>
        <w:rPr>
          <w:b/>
          <w:color w:val="000000" w:themeColor="text1"/>
          <w:sz w:val="17"/>
          <w:szCs w:val="17"/>
          <w14:textFill>
            <w14:solidFill>
              <w14:schemeClr w14:val="tx1"/>
            </w14:solidFill>
          </w14:textFill>
        </w:rPr>
        <w:t>57,</w:t>
      </w:r>
      <w:r>
        <w:rPr>
          <w:color w:val="000000" w:themeColor="text1"/>
          <w:sz w:val="17"/>
          <w:szCs w:val="17"/>
          <w14:textFill>
            <w14:solidFill>
              <w14:schemeClr w14:val="tx1"/>
            </w14:solidFill>
          </w14:textFill>
        </w:rPr>
        <w:t xml:space="preserve"> 79-87 (2009).</w:t>
      </w:r>
    </w:p>
    <w:p w14:paraId="6370F387">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17.M. Meneghini, L. R. Trevisanello, G. Meneghesso, and E. Zanoni, IEEE Trans. Device Mater. Reliab. </w:t>
      </w:r>
      <w:r>
        <w:rPr>
          <w:b/>
          <w:color w:val="000000" w:themeColor="text1"/>
          <w:sz w:val="17"/>
          <w:szCs w:val="17"/>
          <w14:textFill>
            <w14:solidFill>
              <w14:schemeClr w14:val="tx1"/>
            </w14:solidFill>
          </w14:textFill>
        </w:rPr>
        <w:t>8,</w:t>
      </w:r>
      <w:r>
        <w:rPr>
          <w:color w:val="000000" w:themeColor="text1"/>
          <w:sz w:val="17"/>
          <w:szCs w:val="17"/>
          <w14:textFill>
            <w14:solidFill>
              <w14:schemeClr w14:val="tx1"/>
            </w14:solidFill>
          </w14:textFill>
        </w:rPr>
        <w:t xml:space="preserve"> 323-331 (2008).</w:t>
      </w:r>
    </w:p>
    <w:p w14:paraId="4EB0C7F8">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18.M. Meneghini, A. Tazzoli, G. Mura, G. Meneghesso, and E. Zanoni, IEEE Trans. Electron Devices </w:t>
      </w:r>
      <w:r>
        <w:rPr>
          <w:b/>
          <w:color w:val="000000" w:themeColor="text1"/>
          <w:sz w:val="17"/>
          <w:szCs w:val="17"/>
          <w14:textFill>
            <w14:solidFill>
              <w14:schemeClr w14:val="tx1"/>
            </w14:solidFill>
          </w14:textFill>
        </w:rPr>
        <w:t>57,</w:t>
      </w:r>
      <w:r>
        <w:rPr>
          <w:color w:val="000000" w:themeColor="text1"/>
          <w:sz w:val="17"/>
          <w:szCs w:val="17"/>
          <w14:textFill>
            <w14:solidFill>
              <w14:schemeClr w14:val="tx1"/>
            </w14:solidFill>
          </w14:textFill>
        </w:rPr>
        <w:t xml:space="preserve"> 108-118 (2009).</w:t>
      </w:r>
    </w:p>
    <w:p w14:paraId="2FA9FFCC">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19.D. Chen, D. Li, G. Zeng, F.-C. Hu, Y.-C. Li, Y.-C. Chen, X.-X. Li, J. Tang, C. Shen, and N. Chi, IEEE Electron Device Lett. </w:t>
      </w:r>
      <w:r>
        <w:rPr>
          <w:b/>
          <w:color w:val="000000" w:themeColor="text1"/>
          <w:sz w:val="17"/>
          <w:szCs w:val="17"/>
          <w14:textFill>
            <w14:solidFill>
              <w14:schemeClr w14:val="tx1"/>
            </w14:solidFill>
          </w14:textFill>
        </w:rPr>
        <w:t>43,</w:t>
      </w:r>
      <w:r>
        <w:rPr>
          <w:color w:val="000000" w:themeColor="text1"/>
          <w:sz w:val="17"/>
          <w:szCs w:val="17"/>
          <w14:textFill>
            <w14:solidFill>
              <w14:schemeClr w14:val="tx1"/>
            </w14:solidFill>
          </w14:textFill>
        </w:rPr>
        <w:t xml:space="preserve"> 80-83 (2021).</w:t>
      </w:r>
    </w:p>
    <w:p w14:paraId="1F320231">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20.S. Hwangbo, L. Hu, A. T. Hoang, J. Y. Choi, and J.-H. Ahn, Nat. Nanotechnol.</w:t>
      </w:r>
      <w:r>
        <w:rPr>
          <w:b/>
          <w:color w:val="000000" w:themeColor="text1"/>
          <w:sz w:val="17"/>
          <w:szCs w:val="17"/>
          <w14:textFill>
            <w14:solidFill>
              <w14:schemeClr w14:val="tx1"/>
            </w14:solidFill>
          </w14:textFill>
        </w:rPr>
        <w:t>,</w:t>
      </w:r>
      <w:r>
        <w:rPr>
          <w:color w:val="000000" w:themeColor="text1"/>
          <w:sz w:val="17"/>
          <w:szCs w:val="17"/>
          <w14:textFill>
            <w14:solidFill>
              <w14:schemeClr w14:val="tx1"/>
            </w14:solidFill>
          </w14:textFill>
        </w:rPr>
        <w:t xml:space="preserve"> 1-7 (2022).</w:t>
      </w:r>
    </w:p>
    <w:p w14:paraId="53182274">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21.Y. Wang, X. Wang, B. Zhu, Z. Shi, J. Yuan, X. Gao, Y. Liu, X. Sun, D. Li, and H. Amano, Light Sci. Appl. </w:t>
      </w:r>
      <w:r>
        <w:rPr>
          <w:b/>
          <w:color w:val="000000" w:themeColor="text1"/>
          <w:sz w:val="17"/>
          <w:szCs w:val="17"/>
          <w14:textFill>
            <w14:solidFill>
              <w14:schemeClr w14:val="tx1"/>
            </w14:solidFill>
          </w14:textFill>
        </w:rPr>
        <w:t>7,</w:t>
      </w:r>
      <w:r>
        <w:rPr>
          <w:color w:val="000000" w:themeColor="text1"/>
          <w:sz w:val="17"/>
          <w:szCs w:val="17"/>
          <w14:textFill>
            <w14:solidFill>
              <w14:schemeClr w14:val="tx1"/>
            </w14:solidFill>
          </w14:textFill>
        </w:rPr>
        <w:t xml:space="preserve"> 1-7 (2018).</w:t>
      </w:r>
    </w:p>
    <w:p w14:paraId="62C54445">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22.B. Jia, X. Gao, Z. Ye, P. Liu, F. Hu, H. Zhu, and Y. Wang, Energy Technol. </w:t>
      </w:r>
      <w:r>
        <w:rPr>
          <w:b/>
          <w:color w:val="000000" w:themeColor="text1"/>
          <w:sz w:val="17"/>
          <w:szCs w:val="17"/>
          <w14:textFill>
            <w14:solidFill>
              <w14:schemeClr w14:val="tx1"/>
            </w14:solidFill>
          </w14:textFill>
        </w:rPr>
        <w:t>10,</w:t>
      </w:r>
      <w:r>
        <w:rPr>
          <w:color w:val="000000" w:themeColor="text1"/>
          <w:sz w:val="17"/>
          <w:szCs w:val="17"/>
          <w14:textFill>
            <w14:solidFill>
              <w14:schemeClr w14:val="tx1"/>
            </w14:solidFill>
          </w14:textFill>
        </w:rPr>
        <w:t xml:space="preserve"> 2100793.</w:t>
      </w:r>
    </w:p>
    <w:p w14:paraId="4C01A536">
      <w:pPr>
        <w:pStyle w:val="78"/>
        <w:spacing w:line="480" w:lineRule="auto"/>
        <w:ind w:left="340" w:hanging="340" w:hangingChars="200"/>
        <w:rPr>
          <w:rFonts w:eastAsia="PMingLiU"/>
          <w:color w:val="000000" w:themeColor="text1"/>
          <w:sz w:val="17"/>
          <w:szCs w:val="17"/>
          <w:lang w:eastAsia="zh-TW"/>
          <w14:textFill>
            <w14:solidFill>
              <w14:schemeClr w14:val="tx1"/>
            </w14:solidFill>
          </w14:textFill>
        </w:rPr>
      </w:pPr>
      <w:r>
        <w:rPr>
          <w:rFonts w:hint="eastAsia" w:eastAsia="PMingLiU"/>
          <w:color w:val="000000" w:themeColor="text1"/>
          <w:sz w:val="17"/>
          <w:szCs w:val="17"/>
          <w:lang w:eastAsia="zh-TW"/>
          <w14:textFill>
            <w14:solidFill>
              <w14:schemeClr w14:val="tx1"/>
            </w14:solidFill>
          </w14:textFill>
        </w:rPr>
        <w:t>2</w:t>
      </w:r>
      <w:r>
        <w:rPr>
          <w:rFonts w:eastAsia="PMingLiU"/>
          <w:color w:val="000000" w:themeColor="text1"/>
          <w:sz w:val="17"/>
          <w:szCs w:val="17"/>
          <w:lang w:eastAsia="zh-TW"/>
          <w14:textFill>
            <w14:solidFill>
              <w14:schemeClr w14:val="tx1"/>
            </w14:solidFill>
          </w14:textFill>
        </w:rPr>
        <w:t>3</w:t>
      </w:r>
      <w:r>
        <w:rPr>
          <w:rFonts w:hint="eastAsia" w:eastAsia="PMingLiU"/>
          <w:color w:val="000000" w:themeColor="text1"/>
          <w:sz w:val="17"/>
          <w:szCs w:val="17"/>
          <w:lang w:eastAsia="zh-TW"/>
          <w14:textFill>
            <w14:solidFill>
              <w14:schemeClr w14:val="tx1"/>
            </w14:solidFill>
          </w14:textFill>
        </w:rPr>
        <w:t>.</w:t>
      </w:r>
      <w:r>
        <w:rPr>
          <w:color w:val="000000" w:themeColor="text1"/>
          <w:sz w:val="17"/>
          <w:szCs w:val="17"/>
          <w14:textFill>
            <w14:solidFill>
              <w14:schemeClr w14:val="tx1"/>
            </w14:solidFill>
          </w14:textFill>
        </w:rPr>
        <w:t xml:space="preserve"> Z. Li, J. Waldron, T. Detchprohm, C. Wetzel, R. Karlicek Jr, and T. Chow, "Monolithic integration of light-emitting diodes and power metal-oxide-semiconductor channel high-electron-mobility transistors for light-emitting power integrated circuits in GaN on sapphire substrate," Appl. Phys. Lett. </w:t>
      </w:r>
      <w:r>
        <w:rPr>
          <w:b/>
          <w:color w:val="000000" w:themeColor="text1"/>
          <w:sz w:val="17"/>
          <w:szCs w:val="17"/>
          <w14:textFill>
            <w14:solidFill>
              <w14:schemeClr w14:val="tx1"/>
            </w14:solidFill>
          </w14:textFill>
        </w:rPr>
        <w:t>102</w:t>
      </w:r>
      <w:r>
        <w:rPr>
          <w:color w:val="000000" w:themeColor="text1"/>
          <w:sz w:val="17"/>
          <w:szCs w:val="17"/>
          <w14:textFill>
            <w14:solidFill>
              <w14:schemeClr w14:val="tx1"/>
            </w14:solidFill>
          </w14:textFill>
        </w:rPr>
        <w:t>, 192107 (2013).</w:t>
      </w:r>
    </w:p>
    <w:p w14:paraId="762BE48D">
      <w:pPr>
        <w:pStyle w:val="78"/>
        <w:spacing w:line="480" w:lineRule="auto"/>
        <w:ind w:left="340" w:hanging="340" w:hangingChars="200"/>
        <w:rPr>
          <w:rFonts w:eastAsia="PMingLiU"/>
          <w:color w:val="000000" w:themeColor="text1"/>
          <w:sz w:val="17"/>
          <w:szCs w:val="17"/>
          <w:lang w:eastAsia="zh-TW"/>
          <w14:textFill>
            <w14:solidFill>
              <w14:schemeClr w14:val="tx1"/>
            </w14:solidFill>
          </w14:textFill>
        </w:rPr>
      </w:pPr>
      <w:r>
        <w:rPr>
          <w:rFonts w:hint="eastAsia" w:eastAsia="PMingLiU"/>
          <w:color w:val="000000" w:themeColor="text1"/>
          <w:sz w:val="17"/>
          <w:szCs w:val="17"/>
          <w:lang w:eastAsia="zh-TW"/>
          <w14:textFill>
            <w14:solidFill>
              <w14:schemeClr w14:val="tx1"/>
            </w14:solidFill>
          </w14:textFill>
        </w:rPr>
        <w:t>2</w:t>
      </w:r>
      <w:r>
        <w:rPr>
          <w:rFonts w:eastAsia="PMingLiU"/>
          <w:color w:val="000000" w:themeColor="text1"/>
          <w:sz w:val="17"/>
          <w:szCs w:val="17"/>
          <w:lang w:eastAsia="zh-TW"/>
          <w14:textFill>
            <w14:solidFill>
              <w14:schemeClr w14:val="tx1"/>
            </w14:solidFill>
          </w14:textFill>
        </w:rPr>
        <w:t>4</w:t>
      </w:r>
      <w:r>
        <w:rPr>
          <w:rFonts w:hint="eastAsia" w:eastAsia="PMingLiU"/>
          <w:color w:val="000000" w:themeColor="text1"/>
          <w:sz w:val="17"/>
          <w:szCs w:val="17"/>
          <w:lang w:eastAsia="zh-TW"/>
          <w14:textFill>
            <w14:solidFill>
              <w14:schemeClr w14:val="tx1"/>
            </w14:solidFill>
          </w14:textFill>
        </w:rPr>
        <w:t>.</w:t>
      </w:r>
      <w:r>
        <w:rPr>
          <w:color w:val="000000" w:themeColor="text1"/>
          <w:sz w:val="17"/>
          <w:szCs w:val="17"/>
          <w14:textFill>
            <w14:solidFill>
              <w14:schemeClr w14:val="tx1"/>
            </w14:solidFill>
          </w14:textFill>
        </w:rPr>
        <w:t xml:space="preserve"> Y.-J. Lee, Z.-P. Yang, P.-G. Chen, Y.-A. Hsieh, Y.-C. Yao, M.-H. Liao, M.-H. Lee, M.-T. Wang, and J.-M. Hwang, "Monolithic integration of GaN-based light-emitting diodes and metal-oxide-semiconductor field-effect transistors," Opt Express </w:t>
      </w:r>
      <w:r>
        <w:rPr>
          <w:b/>
          <w:color w:val="000000" w:themeColor="text1"/>
          <w:sz w:val="17"/>
          <w:szCs w:val="17"/>
          <w14:textFill>
            <w14:solidFill>
              <w14:schemeClr w14:val="tx1"/>
            </w14:solidFill>
          </w14:textFill>
        </w:rPr>
        <w:t>22</w:t>
      </w:r>
      <w:r>
        <w:rPr>
          <w:color w:val="000000" w:themeColor="text1"/>
          <w:sz w:val="17"/>
          <w:szCs w:val="17"/>
          <w14:textFill>
            <w14:solidFill>
              <w14:schemeClr w14:val="tx1"/>
            </w14:solidFill>
          </w14:textFill>
        </w:rPr>
        <w:t>, A1589-A1595 (2014).</w:t>
      </w:r>
    </w:p>
    <w:p w14:paraId="0CEBF08F">
      <w:pPr>
        <w:pStyle w:val="78"/>
        <w:spacing w:line="480" w:lineRule="auto"/>
        <w:ind w:left="340" w:hanging="340" w:hangingChars="200"/>
        <w:rPr>
          <w:rFonts w:eastAsia="PMingLiU"/>
          <w:color w:val="000000" w:themeColor="text1"/>
          <w:sz w:val="17"/>
          <w:szCs w:val="17"/>
          <w:lang w:eastAsia="zh-TW"/>
          <w14:textFill>
            <w14:solidFill>
              <w14:schemeClr w14:val="tx1"/>
            </w14:solidFill>
          </w14:textFill>
        </w:rPr>
      </w:pPr>
      <w:r>
        <w:rPr>
          <w:rFonts w:hint="eastAsia" w:eastAsia="PMingLiU"/>
          <w:color w:val="000000" w:themeColor="text1"/>
          <w:sz w:val="17"/>
          <w:szCs w:val="17"/>
          <w:lang w:eastAsia="zh-TW"/>
          <w14:textFill>
            <w14:solidFill>
              <w14:schemeClr w14:val="tx1"/>
            </w14:solidFill>
          </w14:textFill>
        </w:rPr>
        <w:t>2</w:t>
      </w:r>
      <w:r>
        <w:rPr>
          <w:rFonts w:eastAsia="PMingLiU"/>
          <w:color w:val="000000" w:themeColor="text1"/>
          <w:sz w:val="17"/>
          <w:szCs w:val="17"/>
          <w:lang w:eastAsia="zh-TW"/>
          <w14:textFill>
            <w14:solidFill>
              <w14:schemeClr w14:val="tx1"/>
            </w14:solidFill>
          </w14:textFill>
        </w:rPr>
        <w:t>5</w:t>
      </w:r>
      <w:r>
        <w:rPr>
          <w:rFonts w:hint="eastAsia" w:eastAsia="PMingLiU"/>
          <w:color w:val="000000" w:themeColor="text1"/>
          <w:sz w:val="17"/>
          <w:szCs w:val="17"/>
          <w:lang w:eastAsia="zh-TW"/>
          <w14:textFill>
            <w14:solidFill>
              <w14:schemeClr w14:val="tx1"/>
            </w14:solidFill>
          </w14:textFill>
        </w:rPr>
        <w:t>.</w:t>
      </w:r>
      <w:r>
        <w:rPr>
          <w:color w:val="000000" w:themeColor="text1"/>
          <w:sz w:val="17"/>
          <w:szCs w:val="17"/>
          <w14:textFill>
            <w14:solidFill>
              <w14:schemeClr w14:val="tx1"/>
            </w14:solidFill>
          </w14:textFill>
        </w:rPr>
        <w:t xml:space="preserve"> C. Liu, Y. Cai, Z. Liu, J. Ma, and K. M. Lau, "Metal-interconnection-free integration of InGaN/GaN light emitting diodes with AlGaN/GaN high electron mobility transistors," Appl. Phys. Lett. </w:t>
      </w:r>
      <w:r>
        <w:rPr>
          <w:b/>
          <w:color w:val="000000" w:themeColor="text1"/>
          <w:sz w:val="17"/>
          <w:szCs w:val="17"/>
          <w14:textFill>
            <w14:solidFill>
              <w14:schemeClr w14:val="tx1"/>
            </w14:solidFill>
          </w14:textFill>
        </w:rPr>
        <w:t>106</w:t>
      </w:r>
      <w:r>
        <w:rPr>
          <w:color w:val="000000" w:themeColor="text1"/>
          <w:sz w:val="17"/>
          <w:szCs w:val="17"/>
          <w14:textFill>
            <w14:solidFill>
              <w14:schemeClr w14:val="tx1"/>
            </w14:solidFill>
          </w14:textFill>
        </w:rPr>
        <w:t>, 181110 (2015).</w:t>
      </w:r>
    </w:p>
    <w:p w14:paraId="527850D3">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26.K. H. Li, Y. F. Cheung, W. Jin, W. Y. Fu, A. T. L. Lee, S. C. Tan, S. Y. Hui, and H. W. Choi, "Ingan rgb light-emitting diodes with monolithically integrated photodetectors for stabilizing color chromaticity," IEEE Trans. Ind. Electron. </w:t>
      </w:r>
      <w:r>
        <w:rPr>
          <w:b/>
          <w:color w:val="000000" w:themeColor="text1"/>
          <w:sz w:val="17"/>
          <w:szCs w:val="17"/>
          <w14:textFill>
            <w14:solidFill>
              <w14:schemeClr w14:val="tx1"/>
            </w14:solidFill>
          </w14:textFill>
        </w:rPr>
        <w:t>67,</w:t>
      </w:r>
      <w:r>
        <w:rPr>
          <w:color w:val="000000" w:themeColor="text1"/>
          <w:sz w:val="17"/>
          <w:szCs w:val="17"/>
          <w14:textFill>
            <w14:solidFill>
              <w14:schemeClr w14:val="tx1"/>
            </w14:solidFill>
          </w14:textFill>
        </w:rPr>
        <w:t xml:space="preserve"> 5154-5160 (2019).</w:t>
      </w:r>
    </w:p>
    <w:p w14:paraId="6CC1954D">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27. L. Chen, Y. Wu, and K. Li, "Monolithic InGaN/GaN photonic chips for heart pulse monitoring," Opt. Lett. </w:t>
      </w:r>
      <w:r>
        <w:rPr>
          <w:b/>
          <w:color w:val="000000" w:themeColor="text1"/>
          <w:sz w:val="17"/>
          <w:szCs w:val="17"/>
          <w14:textFill>
            <w14:solidFill>
              <w14:schemeClr w14:val="tx1"/>
            </w14:solidFill>
          </w14:textFill>
        </w:rPr>
        <w:t>45</w:t>
      </w:r>
      <w:r>
        <w:rPr>
          <w:color w:val="000000" w:themeColor="text1"/>
          <w:sz w:val="17"/>
          <w:szCs w:val="17"/>
          <w14:textFill>
            <w14:solidFill>
              <w14:schemeClr w14:val="tx1"/>
            </w14:solidFill>
          </w14:textFill>
        </w:rPr>
        <w:t>, 4992-4995 (2020).</w:t>
      </w:r>
    </w:p>
    <w:p w14:paraId="5989A554">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28.R. Martin, P. Middleton, K. O’donnell, and W. Van der Stricht, "Exciton localization and the stokes’ shift in ingan epilayers," Appl. Phys. Lett. </w:t>
      </w:r>
      <w:r>
        <w:rPr>
          <w:b/>
          <w:color w:val="000000" w:themeColor="text1"/>
          <w:sz w:val="17"/>
          <w:szCs w:val="17"/>
          <w14:textFill>
            <w14:solidFill>
              <w14:schemeClr w14:val="tx1"/>
            </w14:solidFill>
          </w14:textFill>
        </w:rPr>
        <w:t>74,</w:t>
      </w:r>
      <w:r>
        <w:rPr>
          <w:color w:val="000000" w:themeColor="text1"/>
          <w:sz w:val="17"/>
          <w:szCs w:val="17"/>
          <w14:textFill>
            <w14:solidFill>
              <w14:schemeClr w14:val="tx1"/>
            </w14:solidFill>
          </w14:textFill>
        </w:rPr>
        <w:t xml:space="preserve"> 263-265 (1999).</w:t>
      </w:r>
    </w:p>
    <w:p w14:paraId="1098792F">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29.J. Yan, L. Wang, B. Jia, Z. Ye, H. Zhu, H. Choi, and Y. Wang, "Uniting gan electronics and photonics on a single chip,"</w:t>
      </w:r>
      <w:r>
        <w:rPr>
          <w:color w:val="000000" w:themeColor="text1"/>
          <w14:textFill>
            <w14:solidFill>
              <w14:schemeClr w14:val="tx1"/>
            </w14:solidFill>
          </w14:textFill>
        </w:rPr>
        <w:t xml:space="preserve"> </w:t>
      </w:r>
      <w:bookmarkStart w:id="4" w:name="_Hlk106615837"/>
      <w:r>
        <w:rPr>
          <w:color w:val="000000" w:themeColor="text1"/>
          <w:sz w:val="17"/>
          <w:szCs w:val="17"/>
          <w14:textFill>
            <w14:solidFill>
              <w14:schemeClr w14:val="tx1"/>
            </w14:solidFill>
          </w14:textFill>
        </w:rPr>
        <w:t>J. Light. Technol</w:t>
      </w:r>
      <w:bookmarkEnd w:id="4"/>
      <w:r>
        <w:rPr>
          <w:color w:val="000000" w:themeColor="text1"/>
          <w:sz w:val="17"/>
          <w:szCs w:val="17"/>
          <w14:textFill>
            <w14:solidFill>
              <w14:schemeClr w14:val="tx1"/>
            </w14:solidFill>
          </w14:textFill>
        </w:rPr>
        <w:t xml:space="preserve">. </w:t>
      </w:r>
      <w:r>
        <w:rPr>
          <w:b/>
          <w:color w:val="000000" w:themeColor="text1"/>
          <w:sz w:val="17"/>
          <w:szCs w:val="17"/>
          <w14:textFill>
            <w14:solidFill>
              <w14:schemeClr w14:val="tx1"/>
            </w14:solidFill>
          </w14:textFill>
        </w:rPr>
        <w:t>39,</w:t>
      </w:r>
      <w:r>
        <w:rPr>
          <w:color w:val="000000" w:themeColor="text1"/>
          <w:sz w:val="17"/>
          <w:szCs w:val="17"/>
          <w14:textFill>
            <w14:solidFill>
              <w14:schemeClr w14:val="tx1"/>
            </w14:solidFill>
          </w14:textFill>
        </w:rPr>
        <w:t xml:space="preserve"> 6269-6275 (2021).</w:t>
      </w:r>
    </w:p>
    <w:p w14:paraId="446DC89B">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30. M. Janecek and W. W. Moses, "Optical reflectance measurements for commonly used reflectors,"</w:t>
      </w:r>
      <w:r>
        <w:rPr>
          <w:color w:val="000000" w:themeColor="text1"/>
          <w14:textFill>
            <w14:solidFill>
              <w14:schemeClr w14:val="tx1"/>
            </w14:solidFill>
          </w14:textFill>
        </w:rPr>
        <w:t xml:space="preserve"> </w:t>
      </w:r>
      <w:r>
        <w:rPr>
          <w:color w:val="000000" w:themeColor="text1"/>
          <w:sz w:val="17"/>
          <w:szCs w:val="17"/>
          <w14:textFill>
            <w14:solidFill>
              <w14:schemeClr w14:val="tx1"/>
            </w14:solidFill>
          </w14:textFill>
        </w:rPr>
        <w:t xml:space="preserve">IEEE Trans. Nucl. Sci. </w:t>
      </w:r>
      <w:r>
        <w:rPr>
          <w:b/>
          <w:color w:val="000000" w:themeColor="text1"/>
          <w:sz w:val="17"/>
          <w:szCs w:val="17"/>
          <w14:textFill>
            <w14:solidFill>
              <w14:schemeClr w14:val="tx1"/>
            </w14:solidFill>
          </w14:textFill>
        </w:rPr>
        <w:t>55</w:t>
      </w:r>
      <w:r>
        <w:rPr>
          <w:color w:val="000000" w:themeColor="text1"/>
          <w:sz w:val="17"/>
          <w:szCs w:val="17"/>
          <w14:textFill>
            <w14:solidFill>
              <w14:schemeClr w14:val="tx1"/>
            </w14:solidFill>
          </w14:textFill>
        </w:rPr>
        <w:t>, 2432-2437 (2008).</w:t>
      </w:r>
    </w:p>
    <w:p w14:paraId="42B5B58E">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31.Y. C. Cai, J. Shen, C. W. Yang, Y. Wan, H. L. Tang, A. A. Aljarb, C. L. Chen, J. H. Fu, X. Wei, K. W. Huang, Y. Han, S. J. Jonas, X. C. Dong, and V. Tung, "Mixed-dimensional mxene-hydrogel heterostructures for electronic skin sensors with ultrabroad working range," Sci. Adv. </w:t>
      </w:r>
      <w:r>
        <w:rPr>
          <w:b/>
          <w:color w:val="000000" w:themeColor="text1"/>
          <w:sz w:val="17"/>
          <w:szCs w:val="17"/>
          <w14:textFill>
            <w14:solidFill>
              <w14:schemeClr w14:val="tx1"/>
            </w14:solidFill>
          </w14:textFill>
        </w:rPr>
        <w:t>6,</w:t>
      </w:r>
      <w:r>
        <w:rPr>
          <w:color w:val="000000" w:themeColor="text1"/>
          <w:sz w:val="17"/>
          <w:szCs w:val="17"/>
          <w14:textFill>
            <w14:solidFill>
              <w14:schemeClr w14:val="tx1"/>
            </w14:solidFill>
          </w14:textFill>
        </w:rPr>
        <w:t xml:space="preserve"> 12 (2020).</w:t>
      </w:r>
    </w:p>
    <w:p w14:paraId="5002DADB">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32.Y. R. Kim, T. L. Phan, K. W. Cho, W. T. Kang, K. Kim, Y. H. Lee, and W. J. Yu, "Infrared proximity sensors based on photo-induced tunneling in van der waals integration," Adv. Funct. Mater. </w:t>
      </w:r>
      <w:r>
        <w:rPr>
          <w:b/>
          <w:color w:val="000000" w:themeColor="text1"/>
          <w:sz w:val="17"/>
          <w:szCs w:val="17"/>
          <w14:textFill>
            <w14:solidFill>
              <w14:schemeClr w14:val="tx1"/>
            </w14:solidFill>
          </w14:textFill>
        </w:rPr>
        <w:t>31,</w:t>
      </w:r>
      <w:r>
        <w:rPr>
          <w:color w:val="000000" w:themeColor="text1"/>
          <w:sz w:val="17"/>
          <w:szCs w:val="17"/>
          <w14:textFill>
            <w14:solidFill>
              <w14:schemeClr w14:val="tx1"/>
            </w14:solidFill>
          </w14:textFill>
        </w:rPr>
        <w:t xml:space="preserve"> 9 (2021).</w:t>
      </w:r>
    </w:p>
    <w:p w14:paraId="1892EE56">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33.V. Kedambaimoole, N. Kumar, V. Shirhatti, S. Nuthalapati, S. Kumar, M. M. Nayak, P. Sen, D. Akinwande, and K. Rajanna, "Reduced graphene oxide tattoo as wearable proximity sensor," Adv. Electron. Mater. </w:t>
      </w:r>
      <w:r>
        <w:rPr>
          <w:b/>
          <w:color w:val="000000" w:themeColor="text1"/>
          <w:sz w:val="17"/>
          <w:szCs w:val="17"/>
          <w14:textFill>
            <w14:solidFill>
              <w14:schemeClr w14:val="tx1"/>
            </w14:solidFill>
          </w14:textFill>
        </w:rPr>
        <w:t>7,</w:t>
      </w:r>
      <w:r>
        <w:rPr>
          <w:color w:val="000000" w:themeColor="text1"/>
          <w:sz w:val="17"/>
          <w:szCs w:val="17"/>
          <w14:textFill>
            <w14:solidFill>
              <w14:schemeClr w14:val="tx1"/>
            </w14:solidFill>
          </w14:textFill>
        </w:rPr>
        <w:t xml:space="preserve"> 9 (2021).</w:t>
      </w:r>
    </w:p>
    <w:p w14:paraId="530DC031">
      <w:pPr>
        <w:spacing w:line="480" w:lineRule="auto"/>
        <w:ind w:left="340" w:hanging="340" w:hangingChars="200"/>
        <w:rPr>
          <w:rFonts w:cs="Calibri"/>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34.H. Hasegawa, Y. Suzuki, A. G. Ming, K. Koyama, M. Ishikawa, and M. Shimojo, "Net-structure proximity sensor: High-speed and free-form sensor with analog computing circuit,"</w:t>
      </w:r>
      <w:bookmarkStart w:id="5" w:name="_Hlk106615864"/>
      <w:r>
        <w:rPr>
          <w:color w:val="000000" w:themeColor="text1"/>
          <w14:textFill>
            <w14:solidFill>
              <w14:schemeClr w14:val="tx1"/>
            </w14:solidFill>
          </w14:textFill>
        </w:rPr>
        <w:t xml:space="preserve"> </w:t>
      </w:r>
      <w:r>
        <w:rPr>
          <w:rFonts w:cs="Calibri"/>
          <w:color w:val="000000" w:themeColor="text1"/>
          <w:sz w:val="17"/>
          <w:szCs w:val="17"/>
          <w14:textFill>
            <w14:solidFill>
              <w14:schemeClr w14:val="tx1"/>
            </w14:solidFill>
          </w14:textFill>
        </w:rPr>
        <w:t>IEEE ASME Trans. Mechatron.</w:t>
      </w:r>
      <w:bookmarkEnd w:id="5"/>
    </w:p>
    <w:p w14:paraId="57CE067F">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 </w:t>
      </w:r>
      <w:r>
        <w:rPr>
          <w:b/>
          <w:color w:val="000000" w:themeColor="text1"/>
          <w:sz w:val="17"/>
          <w:szCs w:val="17"/>
          <w14:textFill>
            <w14:solidFill>
              <w14:schemeClr w14:val="tx1"/>
            </w14:solidFill>
          </w14:textFill>
        </w:rPr>
        <w:t>20,</w:t>
      </w:r>
      <w:r>
        <w:rPr>
          <w:color w:val="000000" w:themeColor="text1"/>
          <w:sz w:val="17"/>
          <w:szCs w:val="17"/>
          <w14:textFill>
            <w14:solidFill>
              <w14:schemeClr w14:val="tx1"/>
            </w14:solidFill>
          </w14:textFill>
        </w:rPr>
        <w:t xml:space="preserve"> 3232-3241 (2015).</w:t>
      </w:r>
    </w:p>
    <w:p w14:paraId="15DC2B41">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35.G. S. Lv, H. T. Wang, Y. H. Tong, L. Dong, X. L. Zhao, P. F. Zhao, Q. X. Tang, and Y. C. Liu, "Flexible, conformable organic semiconductor proximity sensor array for electronic skin," Adv. Mater. Interfaces </w:t>
      </w:r>
      <w:r>
        <w:rPr>
          <w:b/>
          <w:bCs/>
          <w:color w:val="000000" w:themeColor="text1"/>
          <w:sz w:val="17"/>
          <w:szCs w:val="17"/>
          <w14:textFill>
            <w14:solidFill>
              <w14:schemeClr w14:val="tx1"/>
            </w14:solidFill>
          </w14:textFill>
        </w:rPr>
        <w:t>7</w:t>
      </w:r>
      <w:r>
        <w:rPr>
          <w:color w:val="000000" w:themeColor="text1"/>
          <w:sz w:val="17"/>
          <w:szCs w:val="17"/>
          <w14:textFill>
            <w14:solidFill>
              <w14:schemeClr w14:val="tx1"/>
            </w14:solidFill>
          </w14:textFill>
        </w:rPr>
        <w:t>, 2000306 (2020).</w:t>
      </w:r>
    </w:p>
    <w:p w14:paraId="3A740C6B">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36.K. H. Li, W. Y. Fu, Y. F. Cheung, K. K. Y. Wong, Y. Wang, K. M. Lau, and H. W. Choi, "Monolithically integrated ingan/gan light-emitting diodes, photodetectors, and waveguides on si substrate," Optica </w:t>
      </w:r>
      <w:r>
        <w:rPr>
          <w:b/>
          <w:color w:val="000000" w:themeColor="text1"/>
          <w:sz w:val="17"/>
          <w:szCs w:val="17"/>
          <w14:textFill>
            <w14:solidFill>
              <w14:schemeClr w14:val="tx1"/>
            </w14:solidFill>
          </w14:textFill>
        </w:rPr>
        <w:t>5,</w:t>
      </w:r>
      <w:r>
        <w:rPr>
          <w:color w:val="000000" w:themeColor="text1"/>
          <w:sz w:val="17"/>
          <w:szCs w:val="17"/>
          <w14:textFill>
            <w14:solidFill>
              <w14:schemeClr w14:val="tx1"/>
            </w14:solidFill>
          </w14:textFill>
        </w:rPr>
        <w:t xml:space="preserve"> 564-569 (2018).</w:t>
      </w:r>
    </w:p>
    <w:p w14:paraId="110D3A5E">
      <w:pPr>
        <w:pStyle w:val="78"/>
        <w:spacing w:line="480" w:lineRule="auto"/>
        <w:ind w:left="340" w:hanging="340" w:hangingChars="200"/>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 xml:space="preserve">37. E. Egusquiza, C. Valero, D. Valentin, A. Presas, and C. G. Rodriguez, "Condition monitoring of pump-turbines. New challenges," Measurement </w:t>
      </w:r>
      <w:r>
        <w:rPr>
          <w:b/>
          <w:color w:val="000000" w:themeColor="text1"/>
          <w:sz w:val="17"/>
          <w:szCs w:val="17"/>
          <w14:textFill>
            <w14:solidFill>
              <w14:schemeClr w14:val="tx1"/>
            </w14:solidFill>
          </w14:textFill>
        </w:rPr>
        <w:t>67</w:t>
      </w:r>
      <w:r>
        <w:rPr>
          <w:color w:val="000000" w:themeColor="text1"/>
          <w:sz w:val="17"/>
          <w:szCs w:val="17"/>
          <w14:textFill>
            <w14:solidFill>
              <w14:schemeClr w14:val="tx1"/>
            </w14:solidFill>
          </w14:textFill>
        </w:rPr>
        <w:t>, 151-163 (2015).</w:t>
      </w:r>
    </w:p>
    <w:p w14:paraId="39F69F39">
      <w:pPr>
        <w:pStyle w:val="78"/>
        <w:spacing w:line="480" w:lineRule="auto"/>
        <w:ind w:left="320" w:hanging="320" w:hangingChars="200"/>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14:paraId="77823DE2">
      <w:pPr>
        <w:pStyle w:val="26"/>
        <w:spacing w:line="480" w:lineRule="auto"/>
        <w:rPr>
          <w:sz w:val="17"/>
          <w:szCs w:val="17"/>
        </w:rPr>
      </w:pPr>
      <w:r>
        <w:rPr>
          <w:color w:val="000000" w:themeColor="text1"/>
          <w14:textFill>
            <w14:solidFill>
              <w14:schemeClr w14:val="tx1"/>
            </w14:solidFill>
          </w14:textFill>
        </w:rPr>
        <w:fldChar w:fldCharType="end"/>
      </w:r>
      <w:bookmarkEnd w:id="1"/>
    </w:p>
    <w:sectPr>
      <w:type w:val="continuous"/>
      <w:pgSz w:w="12240" w:h="15840"/>
      <w:pgMar w:top="1080" w:right="994" w:bottom="1267" w:left="994" w:header="720" w:footer="720" w:gutter="0"/>
      <w:cols w:space="446"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algun Gothic">
    <w:panose1 w:val="020B0503020000020004"/>
    <w:charset w:val="81"/>
    <w:family w:val="swiss"/>
    <w:pitch w:val="default"/>
    <w:sig w:usb0="9000002F" w:usb1="29D77CFB" w:usb2="00000012" w:usb3="00000000" w:csb0="00080001" w:csb1="00000000"/>
  </w:font>
  <w:font w:name="AdvOTdbe06fba">
    <w:altName w:val="AMGDT"/>
    <w:panose1 w:val="00000000000000000000"/>
    <w:charset w:val="00"/>
    <w:family w:val="roman"/>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AdvOT9cb306be.B">
    <w:altName w:val="Arial"/>
    <w:panose1 w:val="00000000000000000000"/>
    <w:charset w:val="00"/>
    <w:family w:val="swiss"/>
    <w:pitch w:val="default"/>
    <w:sig w:usb0="00000000" w:usb1="00000000" w:usb2="00000000" w:usb3="00000000" w:csb0="00000001" w:csb1="00000000"/>
  </w:font>
  <w:font w:name="AdvOT8910dd71">
    <w:altName w:val="Arial"/>
    <w:panose1 w:val="00000000000000000000"/>
    <w:charset w:val="00"/>
    <w:family w:val="swiss"/>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Meiryo">
    <w:altName w:val="MS Gothic"/>
    <w:panose1 w:val="00000000000000000000"/>
    <w:charset w:val="80"/>
    <w:family w:val="swiss"/>
    <w:pitch w:val="default"/>
    <w:sig w:usb0="00000000" w:usb1="00000000" w:usb2="08000012" w:usb3="00000000" w:csb0="0002009F" w:csb1="00000000"/>
  </w:font>
  <w:font w:name="MS Gothic">
    <w:panose1 w:val="020B0609070205080204"/>
    <w:charset w:val="80"/>
    <w:family w:val="auto"/>
    <w:pitch w:val="default"/>
    <w:sig w:usb0="E00002FF" w:usb1="6AC7FDFB" w:usb2="08000012" w:usb3="00000000" w:csb0="4002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017EF2"/>
    <w:multiLevelType w:val="multilevel"/>
    <w:tmpl w:val="03017EF2"/>
    <w:lvl w:ilvl="0" w:tentative="0">
      <w:start w:val="1"/>
      <w:numFmt w:val="decimal"/>
      <w:pStyle w:val="29"/>
      <w:suff w:val="space"/>
      <w:lvlText w:val="%1."/>
      <w:lvlJc w:val="left"/>
      <w:pPr>
        <w:ind w:left="216" w:hanging="216"/>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4010ED4"/>
    <w:multiLevelType w:val="multilevel"/>
    <w:tmpl w:val="14010ED4"/>
    <w:lvl w:ilvl="0" w:tentative="0">
      <w:start w:val="1"/>
      <w:numFmt w:val="decimal"/>
      <w:pStyle w:val="66"/>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720" w:hanging="72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2">
    <w:nsid w:val="1D772220"/>
    <w:multiLevelType w:val="multilevel"/>
    <w:tmpl w:val="1D772220"/>
    <w:lvl w:ilvl="0" w:tentative="0">
      <w:start w:val="1"/>
      <w:numFmt w:val="decimal"/>
      <w:pStyle w:val="60"/>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1"/>
  <w:bordersDoNotSurroundFooter w:val="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attachedTemplate r:id="rId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wMjMxtTS0MDOxtDRW0lEKTi0uzszPAykwNKkFAHbdtl8tAAAA"/>
    <w:docVar w:name="EN.InstantFormat" w:val="&lt;ENInstantFormat&gt;&lt;Enabled&gt;0&lt;/Enabled&gt;&lt;ScanUnformatted&gt;1&lt;/ScanUnformatted&gt;&lt;ScanChanges&gt;1&lt;/ScanChanges&gt;&lt;Suspended&gt;1&lt;/Suspended&gt;&lt;/ENInstantFormat&gt;"/>
    <w:docVar w:name="EN.Layout" w:val="&lt;ENLayout&gt;&lt;Style&gt;The Optical Society (OSA) Letters without title&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rdazr0pzp9wvevzfh5ww56xtd9rws5pwvv&quot;&gt;My EndNote Library&lt;record-ids&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41&lt;/item&gt;&lt;item&gt;42&lt;/item&gt;&lt;item&gt;43&lt;/item&gt;&lt;item&gt;44&lt;/item&gt;&lt;item&gt;45&lt;/item&gt;&lt;item&gt;46&lt;/item&gt;&lt;item&gt;72&lt;/item&gt;&lt;item&gt;73&lt;/item&gt;&lt;item&gt;74&lt;/item&gt;&lt;item&gt;75&lt;/item&gt;&lt;/record-ids&gt;&lt;/item&gt;&lt;/Libraries&gt;"/>
  </w:docVars>
  <w:rsids>
    <w:rsidRoot w:val="000A334D"/>
    <w:rsid w:val="000039A9"/>
    <w:rsid w:val="00004D1B"/>
    <w:rsid w:val="00005C65"/>
    <w:rsid w:val="00011C57"/>
    <w:rsid w:val="00011E1A"/>
    <w:rsid w:val="000125B9"/>
    <w:rsid w:val="00023D5C"/>
    <w:rsid w:val="00030C7B"/>
    <w:rsid w:val="00030F83"/>
    <w:rsid w:val="00032586"/>
    <w:rsid w:val="00036A6B"/>
    <w:rsid w:val="0004025B"/>
    <w:rsid w:val="00040A77"/>
    <w:rsid w:val="0004113D"/>
    <w:rsid w:val="00041B78"/>
    <w:rsid w:val="000428B9"/>
    <w:rsid w:val="00046CD2"/>
    <w:rsid w:val="000473DE"/>
    <w:rsid w:val="00053C8B"/>
    <w:rsid w:val="00053E2F"/>
    <w:rsid w:val="00053F21"/>
    <w:rsid w:val="000542E1"/>
    <w:rsid w:val="0005476E"/>
    <w:rsid w:val="00054A94"/>
    <w:rsid w:val="00056994"/>
    <w:rsid w:val="0005772E"/>
    <w:rsid w:val="00064F98"/>
    <w:rsid w:val="00071560"/>
    <w:rsid w:val="00074886"/>
    <w:rsid w:val="00076547"/>
    <w:rsid w:val="00084AC2"/>
    <w:rsid w:val="000868B4"/>
    <w:rsid w:val="00090E6C"/>
    <w:rsid w:val="00092EDB"/>
    <w:rsid w:val="00093B27"/>
    <w:rsid w:val="00094C32"/>
    <w:rsid w:val="000962BD"/>
    <w:rsid w:val="00097B01"/>
    <w:rsid w:val="000A334D"/>
    <w:rsid w:val="000A6836"/>
    <w:rsid w:val="000B3412"/>
    <w:rsid w:val="000B49A7"/>
    <w:rsid w:val="000C3B89"/>
    <w:rsid w:val="000C451A"/>
    <w:rsid w:val="000C50F5"/>
    <w:rsid w:val="000C5332"/>
    <w:rsid w:val="000C7BA4"/>
    <w:rsid w:val="000C7EE5"/>
    <w:rsid w:val="000D09D5"/>
    <w:rsid w:val="000D0B61"/>
    <w:rsid w:val="000D656F"/>
    <w:rsid w:val="000E3B5F"/>
    <w:rsid w:val="000F14EF"/>
    <w:rsid w:val="000F1DDB"/>
    <w:rsid w:val="000F3C90"/>
    <w:rsid w:val="00103348"/>
    <w:rsid w:val="001051BD"/>
    <w:rsid w:val="001104D4"/>
    <w:rsid w:val="0012157B"/>
    <w:rsid w:val="00122070"/>
    <w:rsid w:val="001253C0"/>
    <w:rsid w:val="0012704D"/>
    <w:rsid w:val="0013139A"/>
    <w:rsid w:val="00132097"/>
    <w:rsid w:val="00133559"/>
    <w:rsid w:val="00134B53"/>
    <w:rsid w:val="00140C2F"/>
    <w:rsid w:val="001410E9"/>
    <w:rsid w:val="001420EE"/>
    <w:rsid w:val="001422FA"/>
    <w:rsid w:val="00142E47"/>
    <w:rsid w:val="00143036"/>
    <w:rsid w:val="00143BF0"/>
    <w:rsid w:val="00145DE6"/>
    <w:rsid w:val="00151D07"/>
    <w:rsid w:val="001526A3"/>
    <w:rsid w:val="00153C17"/>
    <w:rsid w:val="001562D9"/>
    <w:rsid w:val="00157642"/>
    <w:rsid w:val="001576D5"/>
    <w:rsid w:val="0016207B"/>
    <w:rsid w:val="0016218C"/>
    <w:rsid w:val="001628C0"/>
    <w:rsid w:val="0016771D"/>
    <w:rsid w:val="0017290D"/>
    <w:rsid w:val="00173990"/>
    <w:rsid w:val="00174153"/>
    <w:rsid w:val="001753F9"/>
    <w:rsid w:val="00181343"/>
    <w:rsid w:val="001900DE"/>
    <w:rsid w:val="001A1237"/>
    <w:rsid w:val="001A16CD"/>
    <w:rsid w:val="001A2592"/>
    <w:rsid w:val="001A42A0"/>
    <w:rsid w:val="001A472F"/>
    <w:rsid w:val="001A5A7B"/>
    <w:rsid w:val="001A5FED"/>
    <w:rsid w:val="001A785E"/>
    <w:rsid w:val="001B0491"/>
    <w:rsid w:val="001B211F"/>
    <w:rsid w:val="001B31D4"/>
    <w:rsid w:val="001B3CCD"/>
    <w:rsid w:val="001B54BC"/>
    <w:rsid w:val="001B74F2"/>
    <w:rsid w:val="001C27F5"/>
    <w:rsid w:val="001C6AAE"/>
    <w:rsid w:val="001C6EC6"/>
    <w:rsid w:val="001D0626"/>
    <w:rsid w:val="001D1EC3"/>
    <w:rsid w:val="001D1F35"/>
    <w:rsid w:val="001D29BD"/>
    <w:rsid w:val="001D2BEB"/>
    <w:rsid w:val="001D3EF6"/>
    <w:rsid w:val="001E35C1"/>
    <w:rsid w:val="001E3C48"/>
    <w:rsid w:val="001E54FD"/>
    <w:rsid w:val="001E75D8"/>
    <w:rsid w:val="001F4A37"/>
    <w:rsid w:val="001F5036"/>
    <w:rsid w:val="001F657A"/>
    <w:rsid w:val="00200216"/>
    <w:rsid w:val="00200BFA"/>
    <w:rsid w:val="002013B3"/>
    <w:rsid w:val="002018E4"/>
    <w:rsid w:val="00203630"/>
    <w:rsid w:val="002051E9"/>
    <w:rsid w:val="002070D5"/>
    <w:rsid w:val="00210EF1"/>
    <w:rsid w:val="00212FF8"/>
    <w:rsid w:val="0021556D"/>
    <w:rsid w:val="00223A24"/>
    <w:rsid w:val="00224292"/>
    <w:rsid w:val="002246D2"/>
    <w:rsid w:val="00227273"/>
    <w:rsid w:val="00227498"/>
    <w:rsid w:val="0023169E"/>
    <w:rsid w:val="002340DC"/>
    <w:rsid w:val="00236F5A"/>
    <w:rsid w:val="00243A9D"/>
    <w:rsid w:val="00245015"/>
    <w:rsid w:val="002453A5"/>
    <w:rsid w:val="00245EE6"/>
    <w:rsid w:val="00255DD1"/>
    <w:rsid w:val="00257140"/>
    <w:rsid w:val="002601BF"/>
    <w:rsid w:val="00262D85"/>
    <w:rsid w:val="0026389B"/>
    <w:rsid w:val="00264D78"/>
    <w:rsid w:val="00265BB6"/>
    <w:rsid w:val="00267998"/>
    <w:rsid w:val="00275149"/>
    <w:rsid w:val="00275663"/>
    <w:rsid w:val="00276A23"/>
    <w:rsid w:val="00280759"/>
    <w:rsid w:val="0028093E"/>
    <w:rsid w:val="00285A4D"/>
    <w:rsid w:val="00285B56"/>
    <w:rsid w:val="00286097"/>
    <w:rsid w:val="00286ABB"/>
    <w:rsid w:val="00295F0B"/>
    <w:rsid w:val="002A2B44"/>
    <w:rsid w:val="002A3A39"/>
    <w:rsid w:val="002A67BA"/>
    <w:rsid w:val="002C0E33"/>
    <w:rsid w:val="002C353D"/>
    <w:rsid w:val="002D0C2C"/>
    <w:rsid w:val="002D1F03"/>
    <w:rsid w:val="002D22DA"/>
    <w:rsid w:val="002D451F"/>
    <w:rsid w:val="002E0E78"/>
    <w:rsid w:val="002E2040"/>
    <w:rsid w:val="002E5FB1"/>
    <w:rsid w:val="002E6C65"/>
    <w:rsid w:val="002F0059"/>
    <w:rsid w:val="002F05E1"/>
    <w:rsid w:val="002F0AC1"/>
    <w:rsid w:val="002F2188"/>
    <w:rsid w:val="002F43E7"/>
    <w:rsid w:val="002F7EAB"/>
    <w:rsid w:val="003003BB"/>
    <w:rsid w:val="0030069A"/>
    <w:rsid w:val="0030279A"/>
    <w:rsid w:val="00307934"/>
    <w:rsid w:val="003123C0"/>
    <w:rsid w:val="00322BA2"/>
    <w:rsid w:val="00323712"/>
    <w:rsid w:val="0032420A"/>
    <w:rsid w:val="00324CBE"/>
    <w:rsid w:val="00326B0A"/>
    <w:rsid w:val="00331B7F"/>
    <w:rsid w:val="003335F7"/>
    <w:rsid w:val="003349D3"/>
    <w:rsid w:val="00334FA1"/>
    <w:rsid w:val="0033525B"/>
    <w:rsid w:val="00337545"/>
    <w:rsid w:val="00337E8F"/>
    <w:rsid w:val="00340806"/>
    <w:rsid w:val="0034121E"/>
    <w:rsid w:val="00343468"/>
    <w:rsid w:val="00343AD7"/>
    <w:rsid w:val="00343BC5"/>
    <w:rsid w:val="00351D38"/>
    <w:rsid w:val="0035356C"/>
    <w:rsid w:val="00356978"/>
    <w:rsid w:val="00356F79"/>
    <w:rsid w:val="003575A3"/>
    <w:rsid w:val="003646AA"/>
    <w:rsid w:val="00372E92"/>
    <w:rsid w:val="00373B85"/>
    <w:rsid w:val="00375E25"/>
    <w:rsid w:val="00377B91"/>
    <w:rsid w:val="003819A5"/>
    <w:rsid w:val="003852E1"/>
    <w:rsid w:val="00386656"/>
    <w:rsid w:val="00386929"/>
    <w:rsid w:val="003870D4"/>
    <w:rsid w:val="003871DF"/>
    <w:rsid w:val="003873D3"/>
    <w:rsid w:val="00390706"/>
    <w:rsid w:val="003915CA"/>
    <w:rsid w:val="00392C6D"/>
    <w:rsid w:val="0039363E"/>
    <w:rsid w:val="003A0574"/>
    <w:rsid w:val="003A0E71"/>
    <w:rsid w:val="003A4AB1"/>
    <w:rsid w:val="003A7266"/>
    <w:rsid w:val="003B0D77"/>
    <w:rsid w:val="003B11AF"/>
    <w:rsid w:val="003B242B"/>
    <w:rsid w:val="003B248F"/>
    <w:rsid w:val="003B2E19"/>
    <w:rsid w:val="003B36FE"/>
    <w:rsid w:val="003B4E2E"/>
    <w:rsid w:val="003C05D5"/>
    <w:rsid w:val="003C29C1"/>
    <w:rsid w:val="003C385F"/>
    <w:rsid w:val="003D1860"/>
    <w:rsid w:val="003D224F"/>
    <w:rsid w:val="003D488F"/>
    <w:rsid w:val="003D77BC"/>
    <w:rsid w:val="003E30A5"/>
    <w:rsid w:val="003E3F4D"/>
    <w:rsid w:val="003E5443"/>
    <w:rsid w:val="003E5DC5"/>
    <w:rsid w:val="003F0509"/>
    <w:rsid w:val="003F3A30"/>
    <w:rsid w:val="003F5B1E"/>
    <w:rsid w:val="003F6394"/>
    <w:rsid w:val="003F662B"/>
    <w:rsid w:val="003F6E30"/>
    <w:rsid w:val="004015AF"/>
    <w:rsid w:val="00401D5B"/>
    <w:rsid w:val="004020AB"/>
    <w:rsid w:val="00403ABD"/>
    <w:rsid w:val="00406F01"/>
    <w:rsid w:val="00407502"/>
    <w:rsid w:val="00407BEF"/>
    <w:rsid w:val="00410491"/>
    <w:rsid w:val="00412C19"/>
    <w:rsid w:val="004155A7"/>
    <w:rsid w:val="00416E46"/>
    <w:rsid w:val="004212EC"/>
    <w:rsid w:val="004300F6"/>
    <w:rsid w:val="00430B55"/>
    <w:rsid w:val="004314E5"/>
    <w:rsid w:val="00433465"/>
    <w:rsid w:val="00435C96"/>
    <w:rsid w:val="0043725C"/>
    <w:rsid w:val="00441926"/>
    <w:rsid w:val="0044458D"/>
    <w:rsid w:val="00445D18"/>
    <w:rsid w:val="00447B43"/>
    <w:rsid w:val="00451727"/>
    <w:rsid w:val="00451C69"/>
    <w:rsid w:val="00452591"/>
    <w:rsid w:val="00452BA7"/>
    <w:rsid w:val="00464696"/>
    <w:rsid w:val="00465CE1"/>
    <w:rsid w:val="0047174D"/>
    <w:rsid w:val="00473766"/>
    <w:rsid w:val="00480F7B"/>
    <w:rsid w:val="00485532"/>
    <w:rsid w:val="00492742"/>
    <w:rsid w:val="00492749"/>
    <w:rsid w:val="00492964"/>
    <w:rsid w:val="004942CD"/>
    <w:rsid w:val="0049469C"/>
    <w:rsid w:val="004A0E0D"/>
    <w:rsid w:val="004A2C87"/>
    <w:rsid w:val="004A34E3"/>
    <w:rsid w:val="004A34E6"/>
    <w:rsid w:val="004A55AC"/>
    <w:rsid w:val="004A5B45"/>
    <w:rsid w:val="004A72B5"/>
    <w:rsid w:val="004B02A5"/>
    <w:rsid w:val="004B367A"/>
    <w:rsid w:val="004B3E07"/>
    <w:rsid w:val="004B4212"/>
    <w:rsid w:val="004C24CF"/>
    <w:rsid w:val="004C2C98"/>
    <w:rsid w:val="004C417F"/>
    <w:rsid w:val="004C5124"/>
    <w:rsid w:val="004C53D7"/>
    <w:rsid w:val="004C586C"/>
    <w:rsid w:val="004D00E9"/>
    <w:rsid w:val="004D13AC"/>
    <w:rsid w:val="004D37FB"/>
    <w:rsid w:val="004D40F5"/>
    <w:rsid w:val="004D4122"/>
    <w:rsid w:val="004D6A47"/>
    <w:rsid w:val="004D79C9"/>
    <w:rsid w:val="004E08A5"/>
    <w:rsid w:val="004E0DEB"/>
    <w:rsid w:val="004E31E8"/>
    <w:rsid w:val="004E4685"/>
    <w:rsid w:val="004F06BF"/>
    <w:rsid w:val="004F31C3"/>
    <w:rsid w:val="004F434A"/>
    <w:rsid w:val="004F49C0"/>
    <w:rsid w:val="004F5975"/>
    <w:rsid w:val="004F7D02"/>
    <w:rsid w:val="00500CB3"/>
    <w:rsid w:val="00502290"/>
    <w:rsid w:val="00504521"/>
    <w:rsid w:val="00505786"/>
    <w:rsid w:val="005148DE"/>
    <w:rsid w:val="0051612C"/>
    <w:rsid w:val="00517C07"/>
    <w:rsid w:val="005236C1"/>
    <w:rsid w:val="0052755A"/>
    <w:rsid w:val="00527E0D"/>
    <w:rsid w:val="00530012"/>
    <w:rsid w:val="00532665"/>
    <w:rsid w:val="00532BDF"/>
    <w:rsid w:val="005336FD"/>
    <w:rsid w:val="00533D86"/>
    <w:rsid w:val="005403F7"/>
    <w:rsid w:val="0054763B"/>
    <w:rsid w:val="00547D52"/>
    <w:rsid w:val="00555A75"/>
    <w:rsid w:val="005605DF"/>
    <w:rsid w:val="0056094E"/>
    <w:rsid w:val="00560F8A"/>
    <w:rsid w:val="00561150"/>
    <w:rsid w:val="005625E9"/>
    <w:rsid w:val="00563C76"/>
    <w:rsid w:val="00573AD7"/>
    <w:rsid w:val="00575168"/>
    <w:rsid w:val="00576B8E"/>
    <w:rsid w:val="00576FD9"/>
    <w:rsid w:val="005772D8"/>
    <w:rsid w:val="00584280"/>
    <w:rsid w:val="00587216"/>
    <w:rsid w:val="005876E3"/>
    <w:rsid w:val="00593406"/>
    <w:rsid w:val="00597C7E"/>
    <w:rsid w:val="005A009F"/>
    <w:rsid w:val="005A073D"/>
    <w:rsid w:val="005A08C4"/>
    <w:rsid w:val="005A19F3"/>
    <w:rsid w:val="005A46EF"/>
    <w:rsid w:val="005A5306"/>
    <w:rsid w:val="005A66BC"/>
    <w:rsid w:val="005A69AB"/>
    <w:rsid w:val="005A6BE7"/>
    <w:rsid w:val="005B4A50"/>
    <w:rsid w:val="005B5A17"/>
    <w:rsid w:val="005B634F"/>
    <w:rsid w:val="005B7277"/>
    <w:rsid w:val="005B7AC3"/>
    <w:rsid w:val="005D070D"/>
    <w:rsid w:val="005D1AC6"/>
    <w:rsid w:val="005D2A93"/>
    <w:rsid w:val="005D3342"/>
    <w:rsid w:val="005D36E8"/>
    <w:rsid w:val="005D5AE7"/>
    <w:rsid w:val="005D76FB"/>
    <w:rsid w:val="005E00AD"/>
    <w:rsid w:val="005E1E18"/>
    <w:rsid w:val="005E3558"/>
    <w:rsid w:val="005E554D"/>
    <w:rsid w:val="005E73C6"/>
    <w:rsid w:val="005F08E3"/>
    <w:rsid w:val="005F08E7"/>
    <w:rsid w:val="005F17D5"/>
    <w:rsid w:val="005F1C8B"/>
    <w:rsid w:val="005F3C7E"/>
    <w:rsid w:val="005F79C6"/>
    <w:rsid w:val="006000AF"/>
    <w:rsid w:val="006009F7"/>
    <w:rsid w:val="006036D6"/>
    <w:rsid w:val="006050B3"/>
    <w:rsid w:val="0060762E"/>
    <w:rsid w:val="00610F2B"/>
    <w:rsid w:val="006111E5"/>
    <w:rsid w:val="006172C7"/>
    <w:rsid w:val="00620CF9"/>
    <w:rsid w:val="00621188"/>
    <w:rsid w:val="006219B4"/>
    <w:rsid w:val="00621AD8"/>
    <w:rsid w:val="006225F8"/>
    <w:rsid w:val="00623CDC"/>
    <w:rsid w:val="00624629"/>
    <w:rsid w:val="00624666"/>
    <w:rsid w:val="00631ED0"/>
    <w:rsid w:val="00633179"/>
    <w:rsid w:val="00633E4D"/>
    <w:rsid w:val="00634243"/>
    <w:rsid w:val="00637463"/>
    <w:rsid w:val="00637B8B"/>
    <w:rsid w:val="006440AD"/>
    <w:rsid w:val="00646CEF"/>
    <w:rsid w:val="00653F3F"/>
    <w:rsid w:val="0065442B"/>
    <w:rsid w:val="00654BE6"/>
    <w:rsid w:val="0066054A"/>
    <w:rsid w:val="006653C8"/>
    <w:rsid w:val="00666C53"/>
    <w:rsid w:val="00667184"/>
    <w:rsid w:val="00672A5E"/>
    <w:rsid w:val="00673F7A"/>
    <w:rsid w:val="006757A9"/>
    <w:rsid w:val="00675CBC"/>
    <w:rsid w:val="00677AA6"/>
    <w:rsid w:val="00677C32"/>
    <w:rsid w:val="00677D13"/>
    <w:rsid w:val="00680DB9"/>
    <w:rsid w:val="006811DB"/>
    <w:rsid w:val="00683959"/>
    <w:rsid w:val="00684FDB"/>
    <w:rsid w:val="00685890"/>
    <w:rsid w:val="006A1E04"/>
    <w:rsid w:val="006A78F6"/>
    <w:rsid w:val="006B3FF4"/>
    <w:rsid w:val="006B5EE8"/>
    <w:rsid w:val="006C21D5"/>
    <w:rsid w:val="006C2E5D"/>
    <w:rsid w:val="006C392C"/>
    <w:rsid w:val="006D1509"/>
    <w:rsid w:val="006D16D5"/>
    <w:rsid w:val="006D28ED"/>
    <w:rsid w:val="006D6AA3"/>
    <w:rsid w:val="006D7B87"/>
    <w:rsid w:val="006E12E6"/>
    <w:rsid w:val="006E188A"/>
    <w:rsid w:val="006E1DC7"/>
    <w:rsid w:val="006E1E37"/>
    <w:rsid w:val="006E1EC0"/>
    <w:rsid w:val="006E2BF5"/>
    <w:rsid w:val="006E6269"/>
    <w:rsid w:val="006E6FC7"/>
    <w:rsid w:val="006E7DB3"/>
    <w:rsid w:val="006F1596"/>
    <w:rsid w:val="006F15F8"/>
    <w:rsid w:val="006F1C6C"/>
    <w:rsid w:val="006F4297"/>
    <w:rsid w:val="006F536D"/>
    <w:rsid w:val="00700FAA"/>
    <w:rsid w:val="007012AE"/>
    <w:rsid w:val="00704A3F"/>
    <w:rsid w:val="00711E5B"/>
    <w:rsid w:val="00715F7A"/>
    <w:rsid w:val="007223A8"/>
    <w:rsid w:val="00723428"/>
    <w:rsid w:val="0073038B"/>
    <w:rsid w:val="00731A7B"/>
    <w:rsid w:val="00734669"/>
    <w:rsid w:val="00734A56"/>
    <w:rsid w:val="00734E09"/>
    <w:rsid w:val="00735C38"/>
    <w:rsid w:val="00736C93"/>
    <w:rsid w:val="00743108"/>
    <w:rsid w:val="00744236"/>
    <w:rsid w:val="00747D45"/>
    <w:rsid w:val="0075224A"/>
    <w:rsid w:val="0075240E"/>
    <w:rsid w:val="00752E5F"/>
    <w:rsid w:val="00754A55"/>
    <w:rsid w:val="00756129"/>
    <w:rsid w:val="00756427"/>
    <w:rsid w:val="00763110"/>
    <w:rsid w:val="00763D45"/>
    <w:rsid w:val="00764CD9"/>
    <w:rsid w:val="007672EA"/>
    <w:rsid w:val="00767D9B"/>
    <w:rsid w:val="00767F81"/>
    <w:rsid w:val="00774426"/>
    <w:rsid w:val="007840F4"/>
    <w:rsid w:val="00786E36"/>
    <w:rsid w:val="007906F2"/>
    <w:rsid w:val="00790C39"/>
    <w:rsid w:val="00791248"/>
    <w:rsid w:val="00793C81"/>
    <w:rsid w:val="00793C92"/>
    <w:rsid w:val="00793FC3"/>
    <w:rsid w:val="0079516D"/>
    <w:rsid w:val="007964FD"/>
    <w:rsid w:val="00797095"/>
    <w:rsid w:val="00797887"/>
    <w:rsid w:val="007A07E4"/>
    <w:rsid w:val="007A199E"/>
    <w:rsid w:val="007A278A"/>
    <w:rsid w:val="007A60C4"/>
    <w:rsid w:val="007A6F09"/>
    <w:rsid w:val="007B4A21"/>
    <w:rsid w:val="007B4B0A"/>
    <w:rsid w:val="007B717B"/>
    <w:rsid w:val="007B7BF3"/>
    <w:rsid w:val="007C5F26"/>
    <w:rsid w:val="007D0234"/>
    <w:rsid w:val="007D049A"/>
    <w:rsid w:val="007D0EA8"/>
    <w:rsid w:val="007D1E9D"/>
    <w:rsid w:val="007D28AB"/>
    <w:rsid w:val="007D2EB1"/>
    <w:rsid w:val="007D3416"/>
    <w:rsid w:val="007D3E13"/>
    <w:rsid w:val="007D4A2D"/>
    <w:rsid w:val="007E754D"/>
    <w:rsid w:val="007F33D9"/>
    <w:rsid w:val="007F3799"/>
    <w:rsid w:val="007F3E22"/>
    <w:rsid w:val="007F55A4"/>
    <w:rsid w:val="008007B4"/>
    <w:rsid w:val="008007FD"/>
    <w:rsid w:val="00801192"/>
    <w:rsid w:val="00803B0A"/>
    <w:rsid w:val="008044B5"/>
    <w:rsid w:val="00805948"/>
    <w:rsid w:val="00812EFC"/>
    <w:rsid w:val="00814955"/>
    <w:rsid w:val="00815C5C"/>
    <w:rsid w:val="00815FD7"/>
    <w:rsid w:val="008266FC"/>
    <w:rsid w:val="008271D4"/>
    <w:rsid w:val="00833AF8"/>
    <w:rsid w:val="00833FEA"/>
    <w:rsid w:val="00837A91"/>
    <w:rsid w:val="008471D7"/>
    <w:rsid w:val="0085295E"/>
    <w:rsid w:val="0085308E"/>
    <w:rsid w:val="00854029"/>
    <w:rsid w:val="00856771"/>
    <w:rsid w:val="00856A89"/>
    <w:rsid w:val="00861BD5"/>
    <w:rsid w:val="00862D90"/>
    <w:rsid w:val="0086534E"/>
    <w:rsid w:val="00873B0F"/>
    <w:rsid w:val="00877191"/>
    <w:rsid w:val="00877A1C"/>
    <w:rsid w:val="008863C6"/>
    <w:rsid w:val="008866DA"/>
    <w:rsid w:val="0088743A"/>
    <w:rsid w:val="00890798"/>
    <w:rsid w:val="00893BCD"/>
    <w:rsid w:val="00894638"/>
    <w:rsid w:val="00897D77"/>
    <w:rsid w:val="008A16DC"/>
    <w:rsid w:val="008A233B"/>
    <w:rsid w:val="008A275E"/>
    <w:rsid w:val="008B515F"/>
    <w:rsid w:val="008B54D8"/>
    <w:rsid w:val="008D0B5A"/>
    <w:rsid w:val="008D0D9B"/>
    <w:rsid w:val="008D36B4"/>
    <w:rsid w:val="008D43AF"/>
    <w:rsid w:val="008E0E7A"/>
    <w:rsid w:val="008E3921"/>
    <w:rsid w:val="008E7C24"/>
    <w:rsid w:val="008F0C65"/>
    <w:rsid w:val="008F27E5"/>
    <w:rsid w:val="008F2CB6"/>
    <w:rsid w:val="00904A7B"/>
    <w:rsid w:val="00904BBA"/>
    <w:rsid w:val="00906F4A"/>
    <w:rsid w:val="009070F4"/>
    <w:rsid w:val="009213F8"/>
    <w:rsid w:val="009218FD"/>
    <w:rsid w:val="00921E75"/>
    <w:rsid w:val="009226C3"/>
    <w:rsid w:val="00937ABF"/>
    <w:rsid w:val="009407BF"/>
    <w:rsid w:val="009447AB"/>
    <w:rsid w:val="00946353"/>
    <w:rsid w:val="009465EB"/>
    <w:rsid w:val="00947280"/>
    <w:rsid w:val="00947F37"/>
    <w:rsid w:val="0095133D"/>
    <w:rsid w:val="009569CC"/>
    <w:rsid w:val="00956B25"/>
    <w:rsid w:val="009609AF"/>
    <w:rsid w:val="00960FC3"/>
    <w:rsid w:val="009614D1"/>
    <w:rsid w:val="0096294F"/>
    <w:rsid w:val="009659D5"/>
    <w:rsid w:val="00965B73"/>
    <w:rsid w:val="009662DB"/>
    <w:rsid w:val="009732F2"/>
    <w:rsid w:val="00973DFC"/>
    <w:rsid w:val="00976513"/>
    <w:rsid w:val="00977F16"/>
    <w:rsid w:val="00980E28"/>
    <w:rsid w:val="0098209B"/>
    <w:rsid w:val="00985CF2"/>
    <w:rsid w:val="009904D9"/>
    <w:rsid w:val="00992E66"/>
    <w:rsid w:val="009966FF"/>
    <w:rsid w:val="00996DC7"/>
    <w:rsid w:val="009A1CBF"/>
    <w:rsid w:val="009A1E9C"/>
    <w:rsid w:val="009A45FF"/>
    <w:rsid w:val="009B0E1D"/>
    <w:rsid w:val="009B0F9E"/>
    <w:rsid w:val="009B27A5"/>
    <w:rsid w:val="009B4737"/>
    <w:rsid w:val="009B62CD"/>
    <w:rsid w:val="009B697F"/>
    <w:rsid w:val="009B7BAD"/>
    <w:rsid w:val="009C6D0F"/>
    <w:rsid w:val="009C75EA"/>
    <w:rsid w:val="009D1773"/>
    <w:rsid w:val="009D17AF"/>
    <w:rsid w:val="009D2FEF"/>
    <w:rsid w:val="009D3048"/>
    <w:rsid w:val="009D30B3"/>
    <w:rsid w:val="009D5860"/>
    <w:rsid w:val="009D701B"/>
    <w:rsid w:val="009D730A"/>
    <w:rsid w:val="009D763C"/>
    <w:rsid w:val="009E1E9E"/>
    <w:rsid w:val="009E3C22"/>
    <w:rsid w:val="009F087B"/>
    <w:rsid w:val="009F3175"/>
    <w:rsid w:val="009F3321"/>
    <w:rsid w:val="00A0012A"/>
    <w:rsid w:val="00A01836"/>
    <w:rsid w:val="00A0344E"/>
    <w:rsid w:val="00A06457"/>
    <w:rsid w:val="00A06F42"/>
    <w:rsid w:val="00A20999"/>
    <w:rsid w:val="00A23FB9"/>
    <w:rsid w:val="00A25546"/>
    <w:rsid w:val="00A266E7"/>
    <w:rsid w:val="00A277DF"/>
    <w:rsid w:val="00A345D8"/>
    <w:rsid w:val="00A36106"/>
    <w:rsid w:val="00A41B48"/>
    <w:rsid w:val="00A42887"/>
    <w:rsid w:val="00A4431B"/>
    <w:rsid w:val="00A445EF"/>
    <w:rsid w:val="00A45203"/>
    <w:rsid w:val="00A45C71"/>
    <w:rsid w:val="00A45F7B"/>
    <w:rsid w:val="00A46F64"/>
    <w:rsid w:val="00A472C1"/>
    <w:rsid w:val="00A4737E"/>
    <w:rsid w:val="00A473EF"/>
    <w:rsid w:val="00A512D7"/>
    <w:rsid w:val="00A5212E"/>
    <w:rsid w:val="00A54AA8"/>
    <w:rsid w:val="00A65B3A"/>
    <w:rsid w:val="00A66021"/>
    <w:rsid w:val="00A7298D"/>
    <w:rsid w:val="00A7467C"/>
    <w:rsid w:val="00A76223"/>
    <w:rsid w:val="00A80BD6"/>
    <w:rsid w:val="00A81FCC"/>
    <w:rsid w:val="00A83CD7"/>
    <w:rsid w:val="00A8589C"/>
    <w:rsid w:val="00A87B76"/>
    <w:rsid w:val="00A90FBE"/>
    <w:rsid w:val="00A91A7D"/>
    <w:rsid w:val="00A97E7C"/>
    <w:rsid w:val="00AA2E6C"/>
    <w:rsid w:val="00AB4A0D"/>
    <w:rsid w:val="00AB56A8"/>
    <w:rsid w:val="00AB5D96"/>
    <w:rsid w:val="00AC295A"/>
    <w:rsid w:val="00AC2DB2"/>
    <w:rsid w:val="00AC63A3"/>
    <w:rsid w:val="00AC6E30"/>
    <w:rsid w:val="00AC6FAC"/>
    <w:rsid w:val="00AC704A"/>
    <w:rsid w:val="00AD1AAB"/>
    <w:rsid w:val="00AD35C2"/>
    <w:rsid w:val="00AD5F2A"/>
    <w:rsid w:val="00AE2D50"/>
    <w:rsid w:val="00AE4C96"/>
    <w:rsid w:val="00AE562B"/>
    <w:rsid w:val="00AE5C2D"/>
    <w:rsid w:val="00AE5DE0"/>
    <w:rsid w:val="00AE6289"/>
    <w:rsid w:val="00AF2E7F"/>
    <w:rsid w:val="00AF35AF"/>
    <w:rsid w:val="00AF5171"/>
    <w:rsid w:val="00B00732"/>
    <w:rsid w:val="00B02B2E"/>
    <w:rsid w:val="00B05569"/>
    <w:rsid w:val="00B11004"/>
    <w:rsid w:val="00B13B4D"/>
    <w:rsid w:val="00B1411F"/>
    <w:rsid w:val="00B1458B"/>
    <w:rsid w:val="00B1645D"/>
    <w:rsid w:val="00B215E7"/>
    <w:rsid w:val="00B2207E"/>
    <w:rsid w:val="00B24F23"/>
    <w:rsid w:val="00B271FF"/>
    <w:rsid w:val="00B312F2"/>
    <w:rsid w:val="00B31DE6"/>
    <w:rsid w:val="00B357DA"/>
    <w:rsid w:val="00B35EB3"/>
    <w:rsid w:val="00B4035B"/>
    <w:rsid w:val="00B42016"/>
    <w:rsid w:val="00B42568"/>
    <w:rsid w:val="00B42722"/>
    <w:rsid w:val="00B44D8C"/>
    <w:rsid w:val="00B455A8"/>
    <w:rsid w:val="00B47AFB"/>
    <w:rsid w:val="00B53C0A"/>
    <w:rsid w:val="00B55147"/>
    <w:rsid w:val="00B57679"/>
    <w:rsid w:val="00B606C1"/>
    <w:rsid w:val="00B62E9E"/>
    <w:rsid w:val="00B63B84"/>
    <w:rsid w:val="00B64E4F"/>
    <w:rsid w:val="00B700E5"/>
    <w:rsid w:val="00B7587D"/>
    <w:rsid w:val="00B76ABA"/>
    <w:rsid w:val="00B8007A"/>
    <w:rsid w:val="00B82673"/>
    <w:rsid w:val="00B82CDE"/>
    <w:rsid w:val="00B83CCA"/>
    <w:rsid w:val="00B921E3"/>
    <w:rsid w:val="00B9416E"/>
    <w:rsid w:val="00B94CCA"/>
    <w:rsid w:val="00BA4276"/>
    <w:rsid w:val="00BA7118"/>
    <w:rsid w:val="00BA7675"/>
    <w:rsid w:val="00BB3634"/>
    <w:rsid w:val="00BB5C59"/>
    <w:rsid w:val="00BB5DDD"/>
    <w:rsid w:val="00BB61D3"/>
    <w:rsid w:val="00BB7B2F"/>
    <w:rsid w:val="00BC093B"/>
    <w:rsid w:val="00BC4FF3"/>
    <w:rsid w:val="00BC64EC"/>
    <w:rsid w:val="00BC65B1"/>
    <w:rsid w:val="00BE1B35"/>
    <w:rsid w:val="00BE1E6E"/>
    <w:rsid w:val="00BE4360"/>
    <w:rsid w:val="00BE55BB"/>
    <w:rsid w:val="00BF0291"/>
    <w:rsid w:val="00BF102C"/>
    <w:rsid w:val="00BF3320"/>
    <w:rsid w:val="00C02A4D"/>
    <w:rsid w:val="00C0317C"/>
    <w:rsid w:val="00C03D48"/>
    <w:rsid w:val="00C03F99"/>
    <w:rsid w:val="00C047D8"/>
    <w:rsid w:val="00C0674A"/>
    <w:rsid w:val="00C113D5"/>
    <w:rsid w:val="00C133E7"/>
    <w:rsid w:val="00C14028"/>
    <w:rsid w:val="00C17127"/>
    <w:rsid w:val="00C20BF0"/>
    <w:rsid w:val="00C238C5"/>
    <w:rsid w:val="00C2449B"/>
    <w:rsid w:val="00C250B3"/>
    <w:rsid w:val="00C25483"/>
    <w:rsid w:val="00C261E5"/>
    <w:rsid w:val="00C27596"/>
    <w:rsid w:val="00C2794A"/>
    <w:rsid w:val="00C279F2"/>
    <w:rsid w:val="00C37693"/>
    <w:rsid w:val="00C3783B"/>
    <w:rsid w:val="00C40FFF"/>
    <w:rsid w:val="00C4260F"/>
    <w:rsid w:val="00C4347C"/>
    <w:rsid w:val="00C46EAA"/>
    <w:rsid w:val="00C47F33"/>
    <w:rsid w:val="00C528B9"/>
    <w:rsid w:val="00C53217"/>
    <w:rsid w:val="00C6016A"/>
    <w:rsid w:val="00C6047D"/>
    <w:rsid w:val="00C6745C"/>
    <w:rsid w:val="00C67F81"/>
    <w:rsid w:val="00C74A12"/>
    <w:rsid w:val="00C759A6"/>
    <w:rsid w:val="00C84089"/>
    <w:rsid w:val="00C86339"/>
    <w:rsid w:val="00C86478"/>
    <w:rsid w:val="00C87535"/>
    <w:rsid w:val="00C92409"/>
    <w:rsid w:val="00C9314C"/>
    <w:rsid w:val="00C94D68"/>
    <w:rsid w:val="00C959F1"/>
    <w:rsid w:val="00C95F29"/>
    <w:rsid w:val="00C97B7E"/>
    <w:rsid w:val="00CA1A94"/>
    <w:rsid w:val="00CA32F4"/>
    <w:rsid w:val="00CA3560"/>
    <w:rsid w:val="00CA6799"/>
    <w:rsid w:val="00CA7C7B"/>
    <w:rsid w:val="00CB0ADD"/>
    <w:rsid w:val="00CB0B81"/>
    <w:rsid w:val="00CB1842"/>
    <w:rsid w:val="00CB186F"/>
    <w:rsid w:val="00CB3F9B"/>
    <w:rsid w:val="00CB499E"/>
    <w:rsid w:val="00CB5236"/>
    <w:rsid w:val="00CB5480"/>
    <w:rsid w:val="00CB5EF9"/>
    <w:rsid w:val="00CB67FC"/>
    <w:rsid w:val="00CC1050"/>
    <w:rsid w:val="00CC134E"/>
    <w:rsid w:val="00CC63B3"/>
    <w:rsid w:val="00CD40CE"/>
    <w:rsid w:val="00CD4A9B"/>
    <w:rsid w:val="00CD70F9"/>
    <w:rsid w:val="00CD7FE2"/>
    <w:rsid w:val="00CE0A58"/>
    <w:rsid w:val="00CE0C3F"/>
    <w:rsid w:val="00CE0DEF"/>
    <w:rsid w:val="00CE271A"/>
    <w:rsid w:val="00CE2D99"/>
    <w:rsid w:val="00CE3ED7"/>
    <w:rsid w:val="00CF0CEA"/>
    <w:rsid w:val="00CF2C04"/>
    <w:rsid w:val="00CF4987"/>
    <w:rsid w:val="00CF5111"/>
    <w:rsid w:val="00CF5C15"/>
    <w:rsid w:val="00CF7442"/>
    <w:rsid w:val="00D02796"/>
    <w:rsid w:val="00D0358F"/>
    <w:rsid w:val="00D04D3F"/>
    <w:rsid w:val="00D0568B"/>
    <w:rsid w:val="00D07C12"/>
    <w:rsid w:val="00D07D72"/>
    <w:rsid w:val="00D11892"/>
    <w:rsid w:val="00D1380F"/>
    <w:rsid w:val="00D14E1F"/>
    <w:rsid w:val="00D1666C"/>
    <w:rsid w:val="00D20970"/>
    <w:rsid w:val="00D2376E"/>
    <w:rsid w:val="00D35539"/>
    <w:rsid w:val="00D41C85"/>
    <w:rsid w:val="00D41D04"/>
    <w:rsid w:val="00D41ED7"/>
    <w:rsid w:val="00D47BA1"/>
    <w:rsid w:val="00D54383"/>
    <w:rsid w:val="00D54D1C"/>
    <w:rsid w:val="00D54FE4"/>
    <w:rsid w:val="00D56384"/>
    <w:rsid w:val="00D61019"/>
    <w:rsid w:val="00D626A0"/>
    <w:rsid w:val="00D8036D"/>
    <w:rsid w:val="00D809CD"/>
    <w:rsid w:val="00D828E2"/>
    <w:rsid w:val="00D85012"/>
    <w:rsid w:val="00D86723"/>
    <w:rsid w:val="00D91CB5"/>
    <w:rsid w:val="00D9737D"/>
    <w:rsid w:val="00DA2462"/>
    <w:rsid w:val="00DA2890"/>
    <w:rsid w:val="00DA4B00"/>
    <w:rsid w:val="00DA5971"/>
    <w:rsid w:val="00DA6D34"/>
    <w:rsid w:val="00DB3A88"/>
    <w:rsid w:val="00DB698F"/>
    <w:rsid w:val="00DC0CC2"/>
    <w:rsid w:val="00DC5B71"/>
    <w:rsid w:val="00DC6AC0"/>
    <w:rsid w:val="00DC748C"/>
    <w:rsid w:val="00DC76E3"/>
    <w:rsid w:val="00DC7E4B"/>
    <w:rsid w:val="00DD0506"/>
    <w:rsid w:val="00DD1436"/>
    <w:rsid w:val="00DD194E"/>
    <w:rsid w:val="00DD39E7"/>
    <w:rsid w:val="00DD4143"/>
    <w:rsid w:val="00DD4428"/>
    <w:rsid w:val="00DD6CE7"/>
    <w:rsid w:val="00DE0ADD"/>
    <w:rsid w:val="00DE1F81"/>
    <w:rsid w:val="00DE229F"/>
    <w:rsid w:val="00DE2938"/>
    <w:rsid w:val="00DE2BB4"/>
    <w:rsid w:val="00DE6BEE"/>
    <w:rsid w:val="00DE6E81"/>
    <w:rsid w:val="00DE73E4"/>
    <w:rsid w:val="00DF0E44"/>
    <w:rsid w:val="00DF2100"/>
    <w:rsid w:val="00E06196"/>
    <w:rsid w:val="00E07987"/>
    <w:rsid w:val="00E103A7"/>
    <w:rsid w:val="00E1326E"/>
    <w:rsid w:val="00E1397C"/>
    <w:rsid w:val="00E23FF8"/>
    <w:rsid w:val="00E32386"/>
    <w:rsid w:val="00E3547E"/>
    <w:rsid w:val="00E36548"/>
    <w:rsid w:val="00E3717D"/>
    <w:rsid w:val="00E41444"/>
    <w:rsid w:val="00E4217F"/>
    <w:rsid w:val="00E43C57"/>
    <w:rsid w:val="00E47C54"/>
    <w:rsid w:val="00E51033"/>
    <w:rsid w:val="00E52648"/>
    <w:rsid w:val="00E53BBC"/>
    <w:rsid w:val="00E53E0B"/>
    <w:rsid w:val="00E53FF1"/>
    <w:rsid w:val="00E57C62"/>
    <w:rsid w:val="00E6145E"/>
    <w:rsid w:val="00E61E3A"/>
    <w:rsid w:val="00E650F5"/>
    <w:rsid w:val="00E65A21"/>
    <w:rsid w:val="00E74294"/>
    <w:rsid w:val="00E74719"/>
    <w:rsid w:val="00E778F2"/>
    <w:rsid w:val="00E81C28"/>
    <w:rsid w:val="00E826BE"/>
    <w:rsid w:val="00E90499"/>
    <w:rsid w:val="00E92B2E"/>
    <w:rsid w:val="00E94621"/>
    <w:rsid w:val="00E963E8"/>
    <w:rsid w:val="00EA0E44"/>
    <w:rsid w:val="00EA389A"/>
    <w:rsid w:val="00EA4C72"/>
    <w:rsid w:val="00EA6F8E"/>
    <w:rsid w:val="00EB290E"/>
    <w:rsid w:val="00EB42EF"/>
    <w:rsid w:val="00EB4B55"/>
    <w:rsid w:val="00EC0BD6"/>
    <w:rsid w:val="00EC29DE"/>
    <w:rsid w:val="00EC435F"/>
    <w:rsid w:val="00EC6731"/>
    <w:rsid w:val="00ED1ED7"/>
    <w:rsid w:val="00ED2620"/>
    <w:rsid w:val="00ED6993"/>
    <w:rsid w:val="00ED74FE"/>
    <w:rsid w:val="00EE045B"/>
    <w:rsid w:val="00EE1988"/>
    <w:rsid w:val="00EE28CF"/>
    <w:rsid w:val="00EE63EB"/>
    <w:rsid w:val="00EF4A83"/>
    <w:rsid w:val="00EF5267"/>
    <w:rsid w:val="00EF610F"/>
    <w:rsid w:val="00EF6867"/>
    <w:rsid w:val="00EF773F"/>
    <w:rsid w:val="00F0361F"/>
    <w:rsid w:val="00F03B3D"/>
    <w:rsid w:val="00F05EB2"/>
    <w:rsid w:val="00F1242F"/>
    <w:rsid w:val="00F14D3F"/>
    <w:rsid w:val="00F17884"/>
    <w:rsid w:val="00F20A32"/>
    <w:rsid w:val="00F23680"/>
    <w:rsid w:val="00F271B9"/>
    <w:rsid w:val="00F32FB5"/>
    <w:rsid w:val="00F33984"/>
    <w:rsid w:val="00F37EB0"/>
    <w:rsid w:val="00F441BD"/>
    <w:rsid w:val="00F444E6"/>
    <w:rsid w:val="00F507AF"/>
    <w:rsid w:val="00F51CFA"/>
    <w:rsid w:val="00F56227"/>
    <w:rsid w:val="00F569BF"/>
    <w:rsid w:val="00F6307B"/>
    <w:rsid w:val="00F656E5"/>
    <w:rsid w:val="00F70BB5"/>
    <w:rsid w:val="00F74599"/>
    <w:rsid w:val="00F7527F"/>
    <w:rsid w:val="00F7637A"/>
    <w:rsid w:val="00F813D1"/>
    <w:rsid w:val="00F82443"/>
    <w:rsid w:val="00F8292F"/>
    <w:rsid w:val="00F83F2F"/>
    <w:rsid w:val="00F859AF"/>
    <w:rsid w:val="00F85D67"/>
    <w:rsid w:val="00F866A8"/>
    <w:rsid w:val="00F8684C"/>
    <w:rsid w:val="00F8713F"/>
    <w:rsid w:val="00F914A3"/>
    <w:rsid w:val="00F916D7"/>
    <w:rsid w:val="00F936C0"/>
    <w:rsid w:val="00F97505"/>
    <w:rsid w:val="00FA2F43"/>
    <w:rsid w:val="00FA51BC"/>
    <w:rsid w:val="00FB12D6"/>
    <w:rsid w:val="00FB1547"/>
    <w:rsid w:val="00FB22B9"/>
    <w:rsid w:val="00FB325D"/>
    <w:rsid w:val="00FB3569"/>
    <w:rsid w:val="00FB4D7D"/>
    <w:rsid w:val="00FB6892"/>
    <w:rsid w:val="00FB7CDC"/>
    <w:rsid w:val="00FC0282"/>
    <w:rsid w:val="00FC2798"/>
    <w:rsid w:val="00FC4F52"/>
    <w:rsid w:val="00FC5596"/>
    <w:rsid w:val="00FC6746"/>
    <w:rsid w:val="00FC68F2"/>
    <w:rsid w:val="00FD1752"/>
    <w:rsid w:val="00FD5CC8"/>
    <w:rsid w:val="00FE007B"/>
    <w:rsid w:val="00FE0A76"/>
    <w:rsid w:val="00FE0B82"/>
    <w:rsid w:val="00FE0FE0"/>
    <w:rsid w:val="00FE2BAA"/>
    <w:rsid w:val="00FE2CF2"/>
    <w:rsid w:val="00FE40B5"/>
    <w:rsid w:val="00FE6109"/>
    <w:rsid w:val="00FF229B"/>
    <w:rsid w:val="00FF2CD7"/>
    <w:rsid w:val="00FF43E7"/>
    <w:rsid w:val="00FF45FB"/>
    <w:rsid w:val="02B06C85"/>
    <w:rsid w:val="0600353F"/>
    <w:rsid w:val="13401A5C"/>
    <w:rsid w:val="5DF0134E"/>
    <w:rsid w:val="6888206E"/>
    <w:rsid w:val="73C35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nhideWhenUsed="0"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rPr>
      <w:rFonts w:ascii="Calibri" w:hAnsi="Calibri" w:cs="Times New Roman" w:eastAsiaTheme="minorEastAsia"/>
      <w:sz w:val="16"/>
      <w:szCs w:val="16"/>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50"/>
    <w:semiHidden/>
    <w:unhideWhenUsed/>
    <w:qFormat/>
    <w:uiPriority w:val="99"/>
    <w:rPr>
      <w:sz w:val="20"/>
      <w:szCs w:val="20"/>
    </w:rPr>
  </w:style>
  <w:style w:type="paragraph" w:styleId="3">
    <w:name w:val="Balloon Text"/>
    <w:basedOn w:val="1"/>
    <w:link w:val="17"/>
    <w:semiHidden/>
    <w:unhideWhenUsed/>
    <w:qFormat/>
    <w:uiPriority w:val="99"/>
    <w:rPr>
      <w:rFonts w:ascii="Tahoma" w:hAnsi="Tahoma" w:cs="Tahoma"/>
    </w:rPr>
  </w:style>
  <w:style w:type="paragraph" w:styleId="4">
    <w:name w:val="footer"/>
    <w:basedOn w:val="1"/>
    <w:link w:val="42"/>
    <w:unhideWhenUsed/>
    <w:qFormat/>
    <w:uiPriority w:val="99"/>
    <w:pPr>
      <w:tabs>
        <w:tab w:val="center" w:pos="4680"/>
        <w:tab w:val="right" w:pos="9360"/>
      </w:tabs>
    </w:pPr>
  </w:style>
  <w:style w:type="paragraph" w:styleId="5">
    <w:name w:val="header"/>
    <w:basedOn w:val="1"/>
    <w:link w:val="41"/>
    <w:unhideWhenUsed/>
    <w:qFormat/>
    <w:uiPriority w:val="99"/>
    <w:pPr>
      <w:tabs>
        <w:tab w:val="center" w:pos="4680"/>
        <w:tab w:val="right" w:pos="9360"/>
      </w:tabs>
    </w:pPr>
  </w:style>
  <w:style w:type="paragraph" w:styleId="6">
    <w:name w:val="footnote text"/>
    <w:basedOn w:val="1"/>
    <w:link w:val="70"/>
    <w:semiHidden/>
    <w:qFormat/>
    <w:uiPriority w:val="0"/>
    <w:pPr>
      <w:ind w:firstLine="202"/>
      <w:jc w:val="both"/>
    </w:pPr>
    <w:rPr>
      <w:rFonts w:ascii="Helvetica" w:hAnsi="Helvetica" w:eastAsia="等线"/>
      <w:lang w:val="zh-CN" w:eastAsia="zh-CN"/>
    </w:rPr>
  </w:style>
  <w:style w:type="paragraph" w:styleId="7">
    <w:name w:val="annotation subject"/>
    <w:basedOn w:val="2"/>
    <w:next w:val="2"/>
    <w:link w:val="51"/>
    <w:semiHidden/>
    <w:unhideWhenUsed/>
    <w:qFormat/>
    <w:uiPriority w:val="99"/>
    <w:rPr>
      <w:b/>
      <w:bCs/>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Hyperlink"/>
    <w:unhideWhenUsed/>
    <w:qFormat/>
    <w:uiPriority w:val="99"/>
    <w:rPr>
      <w:color w:val="0000FF"/>
      <w:u w:val="single"/>
    </w:rPr>
  </w:style>
  <w:style w:type="character" w:styleId="12">
    <w:name w:val="annotation reference"/>
    <w:semiHidden/>
    <w:unhideWhenUsed/>
    <w:qFormat/>
    <w:uiPriority w:val="99"/>
    <w:rPr>
      <w:sz w:val="16"/>
      <w:szCs w:val="16"/>
    </w:rPr>
  </w:style>
  <w:style w:type="paragraph" w:customStyle="1" w:styleId="13">
    <w:name w:val="OSA Title"/>
    <w:basedOn w:val="1"/>
    <w:next w:val="14"/>
    <w:qFormat/>
    <w:uiPriority w:val="0"/>
    <w:pPr>
      <w:spacing w:before="1200" w:after="200"/>
    </w:pPr>
    <w:rPr>
      <w:b/>
      <w:spacing w:val="6"/>
      <w:kern w:val="16"/>
      <w:position w:val="2"/>
      <w:sz w:val="44"/>
    </w:rPr>
  </w:style>
  <w:style w:type="paragraph" w:customStyle="1" w:styleId="14">
    <w:name w:val="OSA Author"/>
    <w:basedOn w:val="1"/>
    <w:next w:val="15"/>
    <w:link w:val="43"/>
    <w:qFormat/>
    <w:uiPriority w:val="0"/>
    <w:pPr>
      <w:spacing w:after="120"/>
      <w:ind w:right="432"/>
    </w:pPr>
    <w:rPr>
      <w:b/>
      <w:smallCaps/>
      <w:color w:val="0070C0"/>
      <w:spacing w:val="6"/>
      <w:sz w:val="32"/>
    </w:rPr>
  </w:style>
  <w:style w:type="paragraph" w:customStyle="1" w:styleId="15">
    <w:name w:val="OSA Author Affliation"/>
    <w:basedOn w:val="14"/>
    <w:link w:val="44"/>
    <w:qFormat/>
    <w:uiPriority w:val="0"/>
    <w:pPr>
      <w:spacing w:after="0"/>
    </w:pPr>
    <w:rPr>
      <w:b w:val="0"/>
      <w:i/>
      <w:smallCaps w:val="0"/>
      <w:color w:val="auto"/>
      <w:spacing w:val="0"/>
      <w:sz w:val="17"/>
    </w:rPr>
  </w:style>
  <w:style w:type="character" w:styleId="16">
    <w:name w:val="Placeholder Text"/>
    <w:semiHidden/>
    <w:qFormat/>
    <w:uiPriority w:val="99"/>
    <w:rPr>
      <w:color w:val="808080"/>
    </w:rPr>
  </w:style>
  <w:style w:type="character" w:customStyle="1" w:styleId="17">
    <w:name w:val="批注框文本 字符"/>
    <w:link w:val="3"/>
    <w:semiHidden/>
    <w:qFormat/>
    <w:uiPriority w:val="99"/>
    <w:rPr>
      <w:rFonts w:ascii="Tahoma" w:hAnsi="Tahoma" w:cs="Tahoma"/>
      <w:sz w:val="16"/>
      <w:szCs w:val="16"/>
    </w:rPr>
  </w:style>
  <w:style w:type="paragraph" w:customStyle="1" w:styleId="18">
    <w:name w:val="OSA Corresponding Author Email"/>
    <w:basedOn w:val="15"/>
    <w:next w:val="19"/>
    <w:link w:val="45"/>
    <w:qFormat/>
    <w:uiPriority w:val="0"/>
    <w:pPr>
      <w:spacing w:after="80"/>
    </w:pPr>
  </w:style>
  <w:style w:type="paragraph" w:customStyle="1" w:styleId="19">
    <w:name w:val="OSA History line"/>
    <w:basedOn w:val="18"/>
    <w:next w:val="20"/>
    <w:link w:val="46"/>
    <w:qFormat/>
    <w:uiPriority w:val="0"/>
    <w:pPr>
      <w:pBdr>
        <w:bottom w:val="single" w:color="auto" w:sz="4" w:space="4"/>
      </w:pBdr>
      <w:spacing w:before="120" w:after="60"/>
      <w:ind w:right="0"/>
    </w:pPr>
    <w:rPr>
      <w:i w:val="0"/>
    </w:rPr>
  </w:style>
  <w:style w:type="paragraph" w:customStyle="1" w:styleId="20">
    <w:name w:val="OSA Abstract"/>
    <w:basedOn w:val="19"/>
    <w:next w:val="21"/>
    <w:link w:val="47"/>
    <w:qFormat/>
    <w:uiPriority w:val="0"/>
    <w:pPr>
      <w:pBdr>
        <w:bottom w:val="none" w:color="auto" w:sz="0" w:space="0"/>
      </w:pBdr>
      <w:spacing w:before="0" w:after="0"/>
      <w:jc w:val="both"/>
    </w:pPr>
    <w:rPr>
      <w:rFonts w:ascii="Cambria" w:hAnsi="Cambria"/>
      <w:b/>
      <w:spacing w:val="-2"/>
      <w:sz w:val="19"/>
    </w:rPr>
  </w:style>
  <w:style w:type="paragraph" w:customStyle="1" w:styleId="21">
    <w:name w:val="OCIS Codes"/>
    <w:basedOn w:val="20"/>
    <w:next w:val="22"/>
    <w:link w:val="48"/>
    <w:qFormat/>
    <w:uiPriority w:val="0"/>
    <w:pPr>
      <w:spacing w:before="120"/>
      <w:jc w:val="left"/>
    </w:pPr>
    <w:rPr>
      <w:rFonts w:ascii="Calibri" w:hAnsi="Calibri"/>
      <w:b w:val="0"/>
      <w:i/>
      <w:sz w:val="17"/>
    </w:rPr>
  </w:style>
  <w:style w:type="paragraph" w:customStyle="1" w:styleId="22">
    <w:name w:val="DOI"/>
    <w:basedOn w:val="21"/>
    <w:next w:val="23"/>
    <w:link w:val="49"/>
    <w:qFormat/>
    <w:uiPriority w:val="0"/>
    <w:pPr>
      <w:pBdr>
        <w:bottom w:val="single" w:color="auto" w:sz="4" w:space="6"/>
      </w:pBdr>
      <w:spacing w:after="360"/>
    </w:pPr>
    <w:rPr>
      <w:i w:val="0"/>
    </w:rPr>
  </w:style>
  <w:style w:type="paragraph" w:customStyle="1" w:styleId="23">
    <w:name w:val="OSA Body"/>
    <w:basedOn w:val="1"/>
    <w:next w:val="24"/>
    <w:link w:val="34"/>
    <w:qFormat/>
    <w:uiPriority w:val="0"/>
    <w:pPr>
      <w:jc w:val="both"/>
    </w:pPr>
    <w:rPr>
      <w:rFonts w:ascii="Cambria" w:hAnsi="Cambria"/>
      <w:spacing w:val="-8"/>
      <w:sz w:val="18"/>
    </w:rPr>
  </w:style>
  <w:style w:type="paragraph" w:customStyle="1" w:styleId="24">
    <w:name w:val="10 Body Indent"/>
    <w:basedOn w:val="23"/>
    <w:link w:val="35"/>
    <w:qFormat/>
    <w:uiPriority w:val="0"/>
    <w:pPr>
      <w:tabs>
        <w:tab w:val="left" w:pos="1350"/>
      </w:tabs>
      <w:autoSpaceDE w:val="0"/>
      <w:autoSpaceDN w:val="0"/>
      <w:adjustRightInd w:val="0"/>
      <w:ind w:firstLine="340"/>
    </w:pPr>
    <w:rPr>
      <w:rFonts w:ascii="Times New Roman" w:hAnsi="Times New Roman" w:eastAsia="Malgun Gothic"/>
      <w:color w:val="000000" w:themeColor="text1"/>
      <w:sz w:val="20"/>
      <w:szCs w:val="20"/>
      <w:lang w:eastAsia="zh-TW"/>
      <w14:textFill>
        <w14:solidFill>
          <w14:schemeClr w14:val="tx1"/>
        </w14:solidFill>
      </w14:textFill>
    </w:rPr>
  </w:style>
  <w:style w:type="paragraph" w:customStyle="1" w:styleId="25">
    <w:name w:val="10 Acknowledgments"/>
    <w:basedOn w:val="24"/>
    <w:qFormat/>
    <w:uiPriority w:val="0"/>
    <w:pPr>
      <w:spacing w:before="120"/>
    </w:pPr>
    <w:rPr>
      <w:rFonts w:cs="AdvOTdbe06fba"/>
      <w:color w:val="000000"/>
    </w:rPr>
  </w:style>
  <w:style w:type="paragraph" w:customStyle="1" w:styleId="26">
    <w:name w:val="12 Head1"/>
    <w:basedOn w:val="1"/>
    <w:link w:val="54"/>
    <w:qFormat/>
    <w:uiPriority w:val="0"/>
    <w:pPr>
      <w:autoSpaceDE w:val="0"/>
      <w:autoSpaceDN w:val="0"/>
      <w:adjustRightInd w:val="0"/>
      <w:spacing w:before="240" w:after="40"/>
      <w:jc w:val="both"/>
    </w:pPr>
    <w:rPr>
      <w:rFonts w:cs="AdvOT9cb306be.B"/>
      <w:b/>
      <w:sz w:val="22"/>
      <w:szCs w:val="18"/>
    </w:rPr>
  </w:style>
  <w:style w:type="paragraph" w:customStyle="1" w:styleId="27">
    <w:name w:val="18 Figure"/>
    <w:basedOn w:val="23"/>
    <w:next w:val="28"/>
    <w:qFormat/>
    <w:uiPriority w:val="0"/>
    <w:pPr>
      <w:jc w:val="center"/>
    </w:pPr>
    <w:rPr>
      <w:rFonts w:cs="AdvOT8910dd71"/>
      <w:sz w:val="17"/>
      <w:szCs w:val="14"/>
    </w:rPr>
  </w:style>
  <w:style w:type="paragraph" w:customStyle="1" w:styleId="28">
    <w:name w:val="19 Figure Caption"/>
    <w:basedOn w:val="27"/>
    <w:next w:val="23"/>
    <w:qFormat/>
    <w:uiPriority w:val="0"/>
    <w:pPr>
      <w:pBdr>
        <w:bottom w:val="single" w:color="auto" w:sz="4" w:space="2"/>
      </w:pBdr>
      <w:jc w:val="both"/>
    </w:pPr>
    <w:rPr>
      <w:rFonts w:ascii="Times New Roman" w:hAnsi="Times New Roman" w:cs="Times New Roman"/>
      <w:sz w:val="16"/>
      <w:szCs w:val="16"/>
    </w:rPr>
  </w:style>
  <w:style w:type="paragraph" w:customStyle="1" w:styleId="29">
    <w:name w:val="20 Reference"/>
    <w:basedOn w:val="26"/>
    <w:qFormat/>
    <w:uiPriority w:val="0"/>
    <w:pPr>
      <w:numPr>
        <w:ilvl w:val="0"/>
        <w:numId w:val="1"/>
      </w:numPr>
      <w:spacing w:before="0" w:after="0"/>
      <w:jc w:val="left"/>
    </w:pPr>
    <w:rPr>
      <w:b w:val="0"/>
      <w:spacing w:val="-6"/>
      <w:sz w:val="17"/>
    </w:rPr>
  </w:style>
  <w:style w:type="paragraph" w:customStyle="1" w:styleId="30">
    <w:name w:val="15 Table Title"/>
    <w:basedOn w:val="24"/>
    <w:qFormat/>
    <w:uiPriority w:val="0"/>
    <w:pPr>
      <w:spacing w:before="240"/>
      <w:ind w:firstLine="0"/>
      <w:jc w:val="center"/>
    </w:pPr>
    <w:rPr>
      <w:b/>
      <w:szCs w:val="18"/>
    </w:rPr>
  </w:style>
  <w:style w:type="paragraph" w:customStyle="1" w:styleId="31">
    <w:name w:val="16 Table Heading"/>
    <w:basedOn w:val="24"/>
    <w:qFormat/>
    <w:uiPriority w:val="0"/>
    <w:pPr>
      <w:ind w:firstLine="0"/>
      <w:jc w:val="center"/>
    </w:pPr>
    <w:rPr>
      <w:szCs w:val="18"/>
    </w:rPr>
  </w:style>
  <w:style w:type="paragraph" w:customStyle="1" w:styleId="32">
    <w:name w:val="17 Table Body"/>
    <w:basedOn w:val="24"/>
    <w:qFormat/>
    <w:uiPriority w:val="0"/>
    <w:pPr>
      <w:ind w:firstLine="0"/>
      <w:jc w:val="center"/>
    </w:pPr>
    <w:rPr>
      <w:szCs w:val="18"/>
    </w:rPr>
  </w:style>
  <w:style w:type="paragraph" w:customStyle="1" w:styleId="33">
    <w:name w:val="MTDisplayEquation"/>
    <w:basedOn w:val="24"/>
    <w:next w:val="1"/>
    <w:link w:val="36"/>
    <w:qFormat/>
    <w:uiPriority w:val="0"/>
    <w:pPr>
      <w:tabs>
        <w:tab w:val="center" w:pos="2480"/>
        <w:tab w:val="right" w:pos="4940"/>
      </w:tabs>
      <w:spacing w:before="240" w:after="120"/>
      <w:ind w:firstLine="0"/>
    </w:pPr>
  </w:style>
  <w:style w:type="character" w:customStyle="1" w:styleId="34">
    <w:name w:val="OSA Body Char"/>
    <w:link w:val="23"/>
    <w:qFormat/>
    <w:uiPriority w:val="0"/>
    <w:rPr>
      <w:rFonts w:ascii="Cambria" w:hAnsi="Cambria"/>
      <w:spacing w:val="-8"/>
      <w:sz w:val="18"/>
      <w:szCs w:val="16"/>
    </w:rPr>
  </w:style>
  <w:style w:type="character" w:customStyle="1" w:styleId="35">
    <w:name w:val="10 Body Indent Char"/>
    <w:link w:val="24"/>
    <w:qFormat/>
    <w:uiPriority w:val="0"/>
    <w:rPr>
      <w:rFonts w:ascii="Times New Roman" w:hAnsi="Times New Roman" w:eastAsia="Malgun Gothic"/>
      <w:color w:val="000000" w:themeColor="text1"/>
      <w:spacing w:val="-8"/>
      <w:lang w:eastAsia="zh-TW"/>
      <w14:textFill>
        <w14:solidFill>
          <w14:schemeClr w14:val="tx1"/>
        </w14:solidFill>
      </w14:textFill>
    </w:rPr>
  </w:style>
  <w:style w:type="character" w:customStyle="1" w:styleId="36">
    <w:name w:val="MTDisplayEquation Char"/>
    <w:link w:val="33"/>
    <w:qFormat/>
    <w:uiPriority w:val="0"/>
    <w:rPr>
      <w:rFonts w:ascii="Century" w:hAnsi="Century" w:eastAsia="Malgun Gothic"/>
      <w:spacing w:val="-8"/>
      <w:szCs w:val="22"/>
    </w:rPr>
  </w:style>
  <w:style w:type="paragraph" w:customStyle="1" w:styleId="37">
    <w:name w:val="11 Equations"/>
    <w:qFormat/>
    <w:uiPriority w:val="0"/>
    <w:pPr>
      <w:spacing w:before="100" w:after="100"/>
      <w:jc w:val="both"/>
    </w:pPr>
    <w:rPr>
      <w:rFonts w:ascii="Garamond" w:hAnsi="Garamond" w:cs="Times New Roman" w:eastAsiaTheme="minorEastAsia"/>
      <w:sz w:val="16"/>
      <w:szCs w:val="22"/>
      <w:lang w:val="en-US" w:eastAsia="en-US" w:bidi="ar-SA"/>
    </w:rPr>
  </w:style>
  <w:style w:type="character" w:customStyle="1" w:styleId="38">
    <w:name w:val="MTEquationSection"/>
    <w:qFormat/>
    <w:uiPriority w:val="0"/>
    <w:rPr>
      <w:vanish/>
    </w:rPr>
  </w:style>
  <w:style w:type="paragraph" w:customStyle="1" w:styleId="39">
    <w:name w:val="OE Figure Caption"/>
    <w:basedOn w:val="1"/>
    <w:next w:val="40"/>
    <w:qFormat/>
    <w:uiPriority w:val="0"/>
    <w:pPr>
      <w:spacing w:before="120"/>
      <w:ind w:left="720" w:right="720"/>
      <w:jc w:val="both"/>
    </w:pPr>
    <w:rPr>
      <w:rFonts w:ascii="Times New Roman" w:hAnsi="Times New Roman"/>
      <w:szCs w:val="20"/>
    </w:rPr>
  </w:style>
  <w:style w:type="paragraph" w:customStyle="1" w:styleId="40">
    <w:name w:val="OE Body SP"/>
    <w:basedOn w:val="1"/>
    <w:qFormat/>
    <w:uiPriority w:val="99"/>
    <w:pPr>
      <w:ind w:firstLine="360"/>
      <w:jc w:val="both"/>
    </w:pPr>
    <w:rPr>
      <w:rFonts w:ascii="Times New Roman" w:hAnsi="Times New Roman"/>
      <w:sz w:val="20"/>
      <w:szCs w:val="20"/>
    </w:rPr>
  </w:style>
  <w:style w:type="character" w:customStyle="1" w:styleId="41">
    <w:name w:val="页眉 字符"/>
    <w:link w:val="5"/>
    <w:qFormat/>
    <w:uiPriority w:val="99"/>
    <w:rPr>
      <w:sz w:val="22"/>
      <w:szCs w:val="22"/>
    </w:rPr>
  </w:style>
  <w:style w:type="character" w:customStyle="1" w:styleId="42">
    <w:name w:val="页脚 字符"/>
    <w:link w:val="4"/>
    <w:qFormat/>
    <w:uiPriority w:val="99"/>
    <w:rPr>
      <w:sz w:val="22"/>
      <w:szCs w:val="22"/>
    </w:rPr>
  </w:style>
  <w:style w:type="character" w:customStyle="1" w:styleId="43">
    <w:name w:val="OSA Author Char"/>
    <w:link w:val="14"/>
    <w:qFormat/>
    <w:uiPriority w:val="0"/>
    <w:rPr>
      <w:b/>
      <w:smallCaps/>
      <w:color w:val="0070C0"/>
      <w:spacing w:val="6"/>
      <w:sz w:val="32"/>
      <w:szCs w:val="16"/>
    </w:rPr>
  </w:style>
  <w:style w:type="character" w:customStyle="1" w:styleId="44">
    <w:name w:val="OSA Author Affliation Char"/>
    <w:link w:val="15"/>
    <w:qFormat/>
    <w:uiPriority w:val="0"/>
    <w:rPr>
      <w:i/>
      <w:sz w:val="17"/>
      <w:szCs w:val="16"/>
    </w:rPr>
  </w:style>
  <w:style w:type="character" w:customStyle="1" w:styleId="45">
    <w:name w:val="OSA Corresponding Author Email Char"/>
    <w:link w:val="18"/>
    <w:qFormat/>
    <w:uiPriority w:val="0"/>
    <w:rPr>
      <w:i/>
      <w:sz w:val="18"/>
      <w:szCs w:val="16"/>
    </w:rPr>
  </w:style>
  <w:style w:type="character" w:customStyle="1" w:styleId="46">
    <w:name w:val="OSA History line Char"/>
    <w:link w:val="19"/>
    <w:qFormat/>
    <w:uiPriority w:val="0"/>
    <w:rPr>
      <w:sz w:val="17"/>
      <w:szCs w:val="16"/>
    </w:rPr>
  </w:style>
  <w:style w:type="character" w:customStyle="1" w:styleId="47">
    <w:name w:val="OSA Abstract Char"/>
    <w:link w:val="20"/>
    <w:qFormat/>
    <w:uiPriority w:val="0"/>
    <w:rPr>
      <w:rFonts w:ascii="Cambria" w:hAnsi="Cambria"/>
      <w:b/>
      <w:spacing w:val="-2"/>
      <w:sz w:val="19"/>
      <w:szCs w:val="16"/>
    </w:rPr>
  </w:style>
  <w:style w:type="character" w:customStyle="1" w:styleId="48">
    <w:name w:val="OCIS Codes Char"/>
    <w:link w:val="21"/>
    <w:qFormat/>
    <w:uiPriority w:val="0"/>
    <w:rPr>
      <w:i/>
      <w:spacing w:val="-2"/>
      <w:sz w:val="17"/>
      <w:szCs w:val="16"/>
    </w:rPr>
  </w:style>
  <w:style w:type="character" w:customStyle="1" w:styleId="49">
    <w:name w:val="DOI Char"/>
    <w:link w:val="22"/>
    <w:qFormat/>
    <w:uiPriority w:val="0"/>
    <w:rPr>
      <w:spacing w:val="-2"/>
      <w:sz w:val="17"/>
      <w:szCs w:val="16"/>
    </w:rPr>
  </w:style>
  <w:style w:type="character" w:customStyle="1" w:styleId="50">
    <w:name w:val="批注文字 字符"/>
    <w:basedOn w:val="10"/>
    <w:link w:val="2"/>
    <w:semiHidden/>
    <w:qFormat/>
    <w:uiPriority w:val="99"/>
  </w:style>
  <w:style w:type="character" w:customStyle="1" w:styleId="51">
    <w:name w:val="批注主题 字符"/>
    <w:link w:val="7"/>
    <w:semiHidden/>
    <w:qFormat/>
    <w:uiPriority w:val="99"/>
    <w:rPr>
      <w:b/>
      <w:bCs/>
    </w:rPr>
  </w:style>
  <w:style w:type="paragraph" w:customStyle="1" w:styleId="52">
    <w:name w:val="13 Head2"/>
    <w:basedOn w:val="26"/>
    <w:link w:val="55"/>
    <w:qFormat/>
    <w:uiPriority w:val="0"/>
    <w:rPr>
      <w:sz w:val="18"/>
      <w:szCs w:val="20"/>
    </w:rPr>
  </w:style>
  <w:style w:type="paragraph" w:customStyle="1" w:styleId="53">
    <w:name w:val="14 Head3"/>
    <w:basedOn w:val="52"/>
    <w:link w:val="57"/>
    <w:qFormat/>
    <w:uiPriority w:val="0"/>
    <w:rPr>
      <w:b w:val="0"/>
      <w:i/>
    </w:rPr>
  </w:style>
  <w:style w:type="character" w:customStyle="1" w:styleId="54">
    <w:name w:val="12 Head1 Char"/>
    <w:link w:val="26"/>
    <w:qFormat/>
    <w:uiPriority w:val="0"/>
    <w:rPr>
      <w:rFonts w:cs="AdvOT9cb306be.B"/>
      <w:b/>
      <w:sz w:val="22"/>
      <w:szCs w:val="18"/>
    </w:rPr>
  </w:style>
  <w:style w:type="character" w:customStyle="1" w:styleId="55">
    <w:name w:val="13 Head2 Char"/>
    <w:link w:val="52"/>
    <w:qFormat/>
    <w:uiPriority w:val="0"/>
    <w:rPr>
      <w:rFonts w:cs="AdvOT9cb306be.B"/>
      <w:b/>
      <w:sz w:val="18"/>
      <w:szCs w:val="18"/>
    </w:rPr>
  </w:style>
  <w:style w:type="paragraph" w:customStyle="1" w:styleId="56">
    <w:name w:val="11 Equations1"/>
    <w:next w:val="37"/>
    <w:qFormat/>
    <w:uiPriority w:val="0"/>
    <w:pPr>
      <w:spacing w:before="100" w:after="100"/>
      <w:jc w:val="right"/>
    </w:pPr>
    <w:rPr>
      <w:rFonts w:ascii="Arial" w:hAnsi="Arial" w:cs="Times New Roman" w:eastAsiaTheme="minorEastAsia"/>
      <w:b/>
      <w:szCs w:val="22"/>
      <w:lang w:val="en-US" w:eastAsia="en-US" w:bidi="ar-SA"/>
    </w:rPr>
  </w:style>
  <w:style w:type="character" w:customStyle="1" w:styleId="57">
    <w:name w:val="14 Head3 Char"/>
    <w:link w:val="53"/>
    <w:qFormat/>
    <w:uiPriority w:val="0"/>
    <w:rPr>
      <w:rFonts w:cs="AdvOT9cb306be.B"/>
      <w:i/>
      <w:sz w:val="18"/>
      <w:szCs w:val="18"/>
    </w:rPr>
  </w:style>
  <w:style w:type="paragraph" w:customStyle="1" w:styleId="58">
    <w:name w:val="OSA Body Indent"/>
    <w:basedOn w:val="1"/>
    <w:link w:val="59"/>
    <w:qFormat/>
    <w:uiPriority w:val="0"/>
    <w:pPr>
      <w:tabs>
        <w:tab w:val="left" w:pos="1350"/>
      </w:tabs>
      <w:autoSpaceDE w:val="0"/>
      <w:autoSpaceDN w:val="0"/>
      <w:adjustRightInd w:val="0"/>
      <w:ind w:firstLine="187"/>
      <w:jc w:val="both"/>
    </w:pPr>
    <w:rPr>
      <w:rFonts w:ascii="Cambria" w:hAnsi="Cambria" w:eastAsia="Malgun Gothic"/>
      <w:spacing w:val="-8"/>
      <w:sz w:val="18"/>
    </w:rPr>
  </w:style>
  <w:style w:type="character" w:customStyle="1" w:styleId="59">
    <w:name w:val="OSA Body Indent Char"/>
    <w:link w:val="58"/>
    <w:qFormat/>
    <w:uiPriority w:val="0"/>
    <w:rPr>
      <w:rFonts w:ascii="Cambria" w:hAnsi="Cambria" w:eastAsia="Malgun Gothic"/>
      <w:spacing w:val="-8"/>
      <w:sz w:val="18"/>
      <w:szCs w:val="16"/>
    </w:rPr>
  </w:style>
  <w:style w:type="paragraph" w:customStyle="1" w:styleId="60">
    <w:name w:val="24. References"/>
    <w:qFormat/>
    <w:uiPriority w:val="0"/>
    <w:pPr>
      <w:numPr>
        <w:ilvl w:val="0"/>
        <w:numId w:val="2"/>
      </w:numPr>
    </w:pPr>
    <w:rPr>
      <w:rFonts w:ascii="Times New Roman" w:hAnsi="Times New Roman" w:eastAsiaTheme="minorEastAsia" w:cstheme="minorBidi"/>
      <w:sz w:val="16"/>
      <w:szCs w:val="22"/>
      <w:lang w:val="en-US" w:eastAsia="en-US" w:bidi="ar-SA"/>
    </w:rPr>
  </w:style>
  <w:style w:type="paragraph" w:customStyle="1" w:styleId="61">
    <w:name w:val="08. Section Header 2"/>
    <w:basedOn w:val="1"/>
    <w:next w:val="1"/>
    <w:qFormat/>
    <w:uiPriority w:val="0"/>
    <w:pPr>
      <w:spacing w:before="120"/>
    </w:pPr>
    <w:rPr>
      <w:rFonts w:ascii="Arial" w:hAnsi="Arial" w:cstheme="minorBidi"/>
      <w:i/>
      <w:sz w:val="20"/>
      <w:szCs w:val="22"/>
    </w:rPr>
  </w:style>
  <w:style w:type="paragraph" w:customStyle="1" w:styleId="62">
    <w:name w:val="03. Author Affiliation"/>
    <w:basedOn w:val="63"/>
    <w:next w:val="1"/>
    <w:qFormat/>
    <w:uiPriority w:val="0"/>
    <w:rPr>
      <w:rFonts w:ascii="Times New Roman" w:hAnsi="Times New Roman" w:cstheme="minorBidi"/>
      <w:i/>
      <w:sz w:val="18"/>
      <w:szCs w:val="22"/>
    </w:rPr>
  </w:style>
  <w:style w:type="paragraph" w:styleId="63">
    <w:name w:val="No Spacing"/>
    <w:semiHidden/>
    <w:qFormat/>
    <w:uiPriority w:val="1"/>
    <w:rPr>
      <w:rFonts w:ascii="Calibri" w:hAnsi="Calibri" w:cs="Times New Roman" w:eastAsiaTheme="minorEastAsia"/>
      <w:sz w:val="16"/>
      <w:szCs w:val="16"/>
      <w:lang w:val="en-US" w:eastAsia="en-US" w:bidi="ar-SA"/>
    </w:rPr>
  </w:style>
  <w:style w:type="paragraph" w:customStyle="1" w:styleId="64">
    <w:name w:val="10. Body Subsequent Paragraph"/>
    <w:basedOn w:val="65"/>
    <w:link w:val="76"/>
    <w:qFormat/>
    <w:uiPriority w:val="0"/>
    <w:pPr>
      <w:spacing w:before="0"/>
      <w:ind w:firstLine="288"/>
    </w:pPr>
  </w:style>
  <w:style w:type="paragraph" w:customStyle="1" w:styleId="65">
    <w:name w:val="09. Body First Paragraph"/>
    <w:basedOn w:val="1"/>
    <w:next w:val="64"/>
    <w:link w:val="75"/>
    <w:qFormat/>
    <w:uiPriority w:val="0"/>
    <w:pPr>
      <w:spacing w:before="120"/>
      <w:jc w:val="both"/>
    </w:pPr>
    <w:rPr>
      <w:rFonts w:ascii="Times New Roman" w:hAnsi="Times New Roman" w:cstheme="minorBidi"/>
      <w:color w:val="000000" w:themeColor="text1"/>
      <w:sz w:val="20"/>
      <w:szCs w:val="22"/>
      <w14:textFill>
        <w14:solidFill>
          <w14:schemeClr w14:val="tx1"/>
        </w14:solidFill>
      </w14:textFill>
    </w:rPr>
  </w:style>
  <w:style w:type="paragraph" w:customStyle="1" w:styleId="66">
    <w:name w:val="08 Section Header 1"/>
    <w:next w:val="65"/>
    <w:qFormat/>
    <w:uiPriority w:val="0"/>
    <w:pPr>
      <w:numPr>
        <w:ilvl w:val="0"/>
        <w:numId w:val="3"/>
      </w:numPr>
      <w:spacing w:before="120"/>
    </w:pPr>
    <w:rPr>
      <w:rFonts w:ascii="Arial" w:hAnsi="Arial" w:eastAsiaTheme="minorEastAsia" w:cstheme="minorBidi"/>
      <w:b/>
      <w:szCs w:val="22"/>
      <w:lang w:val="en-US" w:eastAsia="en-US" w:bidi="ar-SA"/>
    </w:rPr>
  </w:style>
  <w:style w:type="paragraph" w:customStyle="1" w:styleId="67">
    <w:name w:val="08. Section Header 1"/>
    <w:next w:val="65"/>
    <w:qFormat/>
    <w:uiPriority w:val="0"/>
    <w:pPr>
      <w:spacing w:before="120"/>
      <w:ind w:left="360" w:hanging="360"/>
    </w:pPr>
    <w:rPr>
      <w:rFonts w:ascii="Arial" w:hAnsi="Arial" w:eastAsiaTheme="minorEastAsia" w:cstheme="minorBidi"/>
      <w:b/>
      <w:szCs w:val="22"/>
      <w:lang w:val="en-US" w:eastAsia="en-US" w:bidi="ar-SA"/>
    </w:rPr>
  </w:style>
  <w:style w:type="paragraph" w:customStyle="1" w:styleId="68">
    <w:name w:val="12. Figure Caption Short"/>
    <w:basedOn w:val="65"/>
    <w:next w:val="64"/>
    <w:qFormat/>
    <w:uiPriority w:val="0"/>
    <w:pPr>
      <w:spacing w:after="120"/>
      <w:ind w:left="720" w:right="720"/>
      <w:jc w:val="center"/>
    </w:pPr>
    <w:rPr>
      <w:sz w:val="16"/>
    </w:rPr>
  </w:style>
  <w:style w:type="paragraph" w:customStyle="1" w:styleId="69">
    <w:name w:val="12. Figure Caption Long"/>
    <w:basedOn w:val="68"/>
    <w:next w:val="64"/>
    <w:qFormat/>
    <w:uiPriority w:val="0"/>
    <w:pPr>
      <w:jc w:val="both"/>
    </w:pPr>
  </w:style>
  <w:style w:type="character" w:customStyle="1" w:styleId="70">
    <w:name w:val="脚注文本 字符"/>
    <w:basedOn w:val="10"/>
    <w:link w:val="6"/>
    <w:semiHidden/>
    <w:qFormat/>
    <w:uiPriority w:val="0"/>
    <w:rPr>
      <w:rFonts w:ascii="Helvetica" w:hAnsi="Helvetica" w:eastAsia="等线"/>
      <w:sz w:val="16"/>
      <w:szCs w:val="16"/>
      <w:lang w:val="zh-CN" w:eastAsia="zh-CN"/>
    </w:rPr>
  </w:style>
  <w:style w:type="paragraph" w:customStyle="1" w:styleId="71">
    <w:name w:val="Table Title"/>
    <w:basedOn w:val="1"/>
    <w:qFormat/>
    <w:uiPriority w:val="0"/>
    <w:pPr>
      <w:jc w:val="center"/>
    </w:pPr>
    <w:rPr>
      <w:rFonts w:ascii="Helvetica" w:hAnsi="Helvetica" w:eastAsia="等线"/>
      <w:smallCaps/>
    </w:rPr>
  </w:style>
  <w:style w:type="paragraph" w:customStyle="1" w:styleId="72">
    <w:name w:val="OSA Table Title"/>
    <w:basedOn w:val="58"/>
    <w:qFormat/>
    <w:uiPriority w:val="0"/>
    <w:pPr>
      <w:widowControl w:val="0"/>
      <w:spacing w:before="240"/>
      <w:ind w:firstLine="0"/>
    </w:pPr>
    <w:rPr>
      <w:rFonts w:eastAsia="宋体"/>
      <w:b/>
      <w:sz w:val="19"/>
      <w:szCs w:val="18"/>
      <w:lang w:eastAsia="zh-CN"/>
    </w:rPr>
  </w:style>
  <w:style w:type="character" w:customStyle="1" w:styleId="73">
    <w:name w:val="未处理的提及1"/>
    <w:basedOn w:val="10"/>
    <w:semiHidden/>
    <w:unhideWhenUsed/>
    <w:qFormat/>
    <w:uiPriority w:val="99"/>
    <w:rPr>
      <w:color w:val="605E5C"/>
      <w:shd w:val="clear" w:color="auto" w:fill="E1DFDD"/>
    </w:rPr>
  </w:style>
  <w:style w:type="paragraph" w:customStyle="1" w:styleId="74">
    <w:name w:val="EndNote Bibliography Title"/>
    <w:basedOn w:val="1"/>
    <w:link w:val="77"/>
    <w:qFormat/>
    <w:uiPriority w:val="0"/>
    <w:pPr>
      <w:jc w:val="center"/>
    </w:pPr>
    <w:rPr>
      <w:rFonts w:cs="Calibri"/>
    </w:rPr>
  </w:style>
  <w:style w:type="character" w:customStyle="1" w:styleId="75">
    <w:name w:val="09. Body First Paragraph 字符"/>
    <w:basedOn w:val="10"/>
    <w:link w:val="65"/>
    <w:qFormat/>
    <w:uiPriority w:val="0"/>
    <w:rPr>
      <w:rFonts w:ascii="Times New Roman" w:hAnsi="Times New Roman" w:cstheme="minorBidi"/>
      <w:color w:val="000000" w:themeColor="text1"/>
      <w:szCs w:val="22"/>
      <w:lang w:eastAsia="en-US"/>
      <w14:textFill>
        <w14:solidFill>
          <w14:schemeClr w14:val="tx1"/>
        </w14:solidFill>
      </w14:textFill>
    </w:rPr>
  </w:style>
  <w:style w:type="character" w:customStyle="1" w:styleId="76">
    <w:name w:val="10. Body Subsequent Paragraph 字符"/>
    <w:basedOn w:val="75"/>
    <w:link w:val="64"/>
    <w:qFormat/>
    <w:uiPriority w:val="0"/>
    <w:rPr>
      <w:rFonts w:ascii="Times New Roman" w:hAnsi="Times New Roman" w:cstheme="minorBidi"/>
      <w:color w:val="000000" w:themeColor="text1"/>
      <w:szCs w:val="22"/>
      <w:lang w:eastAsia="en-US"/>
      <w14:textFill>
        <w14:solidFill>
          <w14:schemeClr w14:val="tx1"/>
        </w14:solidFill>
      </w14:textFill>
    </w:rPr>
  </w:style>
  <w:style w:type="character" w:customStyle="1" w:styleId="77">
    <w:name w:val="EndNote Bibliography Title 字符"/>
    <w:basedOn w:val="76"/>
    <w:link w:val="74"/>
    <w:qFormat/>
    <w:uiPriority w:val="0"/>
    <w:rPr>
      <w:rFonts w:ascii="Times New Roman" w:hAnsi="Times New Roman" w:cs="Calibri"/>
      <w:color w:val="000000" w:themeColor="text1"/>
      <w:sz w:val="16"/>
      <w:szCs w:val="16"/>
      <w:lang w:eastAsia="en-US"/>
      <w14:textFill>
        <w14:solidFill>
          <w14:schemeClr w14:val="tx1"/>
        </w14:solidFill>
      </w14:textFill>
    </w:rPr>
  </w:style>
  <w:style w:type="paragraph" w:customStyle="1" w:styleId="78">
    <w:name w:val="EndNote Bibliography"/>
    <w:basedOn w:val="1"/>
    <w:link w:val="79"/>
    <w:qFormat/>
    <w:uiPriority w:val="0"/>
    <w:pPr>
      <w:jc w:val="both"/>
    </w:pPr>
    <w:rPr>
      <w:rFonts w:cs="Calibri"/>
    </w:rPr>
  </w:style>
  <w:style w:type="character" w:customStyle="1" w:styleId="79">
    <w:name w:val="EndNote Bibliography 字符"/>
    <w:basedOn w:val="76"/>
    <w:link w:val="78"/>
    <w:qFormat/>
    <w:uiPriority w:val="0"/>
    <w:rPr>
      <w:rFonts w:ascii="Times New Roman" w:hAnsi="Times New Roman" w:cs="Calibri"/>
      <w:color w:val="000000" w:themeColor="text1"/>
      <w:sz w:val="16"/>
      <w:szCs w:val="16"/>
      <w:lang w:eastAsia="en-US"/>
      <w14:textFill>
        <w14:solidFill>
          <w14:schemeClr w14:val="tx1"/>
        </w14:solidFill>
      </w14:textFill>
    </w:rPr>
  </w:style>
</w:style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3.xml"/><Relationship Id="rId3"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customXml" Target="../customXml/item2.xml"/><Relationship Id="rId2" Type="http://schemas.openxmlformats.org/officeDocument/2006/relationships/settings" Target="settings.xml"/><Relationship Id="rId6" Type="http://schemas.openxmlformats.org/officeDocument/2006/relationships/image" Target="media/image3.png"/><Relationship Id="rId11" Type="http://schemas.openxmlformats.org/officeDocument/2006/relationships/fontTable" Target="fontTable.xml"/><Relationship Id="rId1" Type="http://schemas.openxmlformats.org/officeDocument/2006/relationships/styles" Target="styles.xml"/><Relationship Id="rId5" Type="http://schemas.openxmlformats.org/officeDocument/2006/relationships/image" Target="media/image2.png"/><Relationship Id="rId10" Type="http://schemas.openxmlformats.org/officeDocument/2006/relationships/customXml" Target="../customXml/item1.xml"/><Relationship Id="rId9" Type="http://schemas.openxmlformats.org/officeDocument/2006/relationships/numbering" Target="numbering.xml"/><Relationship Id="rId4" Type="http://schemas.openxmlformats.org/officeDocument/2006/relationships/image" Target="media/image1.png"/><Relationship Id="rId14"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ao_josa_lega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836029-792F-490D-9930-C1AF40494D47}">
  <ds:schemaRefs/>
</ds:datastoreItem>
</file>

<file path=customXml/itemProps2.xml><?xml version="1.0" encoding="utf-8"?>
<ds:datastoreItem xmlns:ds="http://schemas.openxmlformats.org/officeDocument/2006/customXml" ds:itemID="{3B015554-CA21-4277-BD5F-B495CFB66A3C}"/>
</file>

<file path=customXml/itemProps3.xml><?xml version="1.0" encoding="utf-8"?>
<ds:datastoreItem xmlns:ds="http://schemas.openxmlformats.org/officeDocument/2006/customXml" ds:itemID="{2C22F9A0-523B-4EF1-A6AD-37290EE16D66}"/>
</file>

<file path=customXml/itemProps4.xml><?xml version="1.0" encoding="utf-8"?>
<ds:datastoreItem xmlns:ds="http://schemas.openxmlformats.org/officeDocument/2006/customXml" ds:itemID="{BEFE5517-C9B6-428D-945F-BFB4C9EC0FAA}"/>
</file>

<file path=docProps/app.xml><?xml version="1.0" encoding="utf-8"?>
<Properties xmlns="http://schemas.openxmlformats.org/officeDocument/2006/extended-properties" xmlns:vt="http://schemas.openxmlformats.org/officeDocument/2006/docPropsVTypes">
  <Template>ao_josa_legacy</Template>
  <Company>Optical Society of America</Company>
  <Pages>14</Pages>
  <Words>4631</Words>
  <Characters>24948</Characters>
  <Lines>385</Lines>
  <Paragraphs>171</Paragraphs>
  <TotalTime>44</TotalTime>
  <ScaleCrop>false</ScaleCrop>
  <LinksUpToDate>false</LinksUpToDate>
  <CharactersWithSpaces>29430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osaadmin</dc:creator>
  <cp:lastModifiedBy>安安安安小</cp:lastModifiedBy>
  <cp:revision>6</cp:revision>
  <cp:lastPrinted>2020-11-22T09:31:00Z</cp:lastPrinted>
  <dcterms:created xsi:type="dcterms:W3CDTF">2022-06-20T02:38:00Z</dcterms:created>
  <dcterms:modified xsi:type="dcterms:W3CDTF">2025-11-22T15:54:03Z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2052-12.1.0.23542</vt:lpwstr>
  </property>
  <property fmtid="{D5CDD505-2E9C-101B-9397-08002B2CF9AE}" pid="6" name="GrammarlyDocumentId">
    <vt:lpwstr>d884b077-08c8-4009-86ea-d9968300d48c</vt:lpwstr>
  </property>
  <property fmtid="{D5CDD505-2E9C-101B-9397-08002B2CF9AE}" pid="7" name="KSOTemplateDocerSaveRecord">
    <vt:lpwstr>eyJoZGlkIjoiZjQ3MDU2ZjExOWEzM2I3MjAwNTI0Mzg2NTRkODdiMDciLCJ1c2VySWQiOiIyNjA0NTkwOTAifQ==</vt:lpwstr>
  </property>
  <property fmtid="{D5CDD505-2E9C-101B-9397-08002B2CF9AE}" pid="8" name="ICV">
    <vt:lpwstr>A0606BD40F344589A4C1DF84ED756465_12</vt:lpwstr>
  </property>
  <property fmtid="{D5CDD505-2E9C-101B-9397-08002B2CF9AE}" pid="9" name="ContentTypeId">
    <vt:lpwstr>0x0101001A0E3DAEA65ABA4696FB57E9DC05F090</vt:lpwstr>
  </property>
</Properties>
</file>