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CA618" w14:textId="0C057477" w:rsidR="002E0BD3" w:rsidRPr="002E0BD3" w:rsidRDefault="002E0BD3" w:rsidP="002E0BD3">
      <w:pPr>
        <w:pStyle w:val="Title2"/>
        <w:rPr>
          <w:bCs/>
        </w:rPr>
      </w:pPr>
      <w:r w:rsidRPr="002E0BD3">
        <w:rPr>
          <w:bCs/>
        </w:rPr>
        <w:t>Eliminating the Burn-in Loss of Efficiency in Organic Solar Cells by Applying Dimer Acceptors as Supramolecular Stabilizers</w:t>
      </w:r>
    </w:p>
    <w:p w14:paraId="71BA3FD4" w14:textId="77777777" w:rsidR="002D16A0" w:rsidRPr="00A35E4A" w:rsidRDefault="002D16A0" w:rsidP="00A439FA">
      <w:pPr>
        <w:pStyle w:val="Tableofcontents"/>
      </w:pPr>
    </w:p>
    <w:p w14:paraId="112FAE37" w14:textId="66D5177E" w:rsidR="002D16A0" w:rsidRPr="00A35E4A" w:rsidRDefault="002E0BD3" w:rsidP="008C6D5F">
      <w:pPr>
        <w:pStyle w:val="AuthorsFull"/>
        <w:spacing w:line="360" w:lineRule="auto"/>
      </w:pPr>
      <w:bookmarkStart w:id="0" w:name="_Hlk152688934"/>
      <w:r w:rsidRPr="002E0BD3">
        <w:rPr>
          <w:lang w:val="de-DE"/>
        </w:rPr>
        <w:t>Yanxun Li, Feng Qi, Baobing Fan, K</w:t>
      </w:r>
      <w:r w:rsidRPr="002E0BD3">
        <w:rPr>
          <w:rFonts w:hint="eastAsia"/>
          <w:lang w:val="de-DE"/>
        </w:rPr>
        <w:t>ai</w:t>
      </w:r>
      <w:r w:rsidRPr="002E0BD3">
        <w:rPr>
          <w:lang w:val="de-DE"/>
        </w:rPr>
        <w:t>-Kai Liu, Jifa Yu, Yuang Fu, Xianzhao Liu, Z</w:t>
      </w:r>
      <w:r w:rsidRPr="002E0BD3">
        <w:rPr>
          <w:rFonts w:hint="eastAsia"/>
          <w:lang w:val="de-DE"/>
        </w:rPr>
        <w:t>hen</w:t>
      </w:r>
      <w:r w:rsidRPr="002E0BD3">
        <w:rPr>
          <w:lang w:val="de-DE"/>
        </w:rPr>
        <w:t xml:space="preserve"> Wang, Sen Zhang, Guanghao Lu, Xinhui Lu, Q</w:t>
      </w:r>
      <w:r w:rsidRPr="002E0BD3">
        <w:rPr>
          <w:rFonts w:hint="eastAsia"/>
          <w:lang w:val="de-DE"/>
        </w:rPr>
        <w:t>un</w:t>
      </w:r>
      <w:r w:rsidRPr="002E0BD3">
        <w:rPr>
          <w:lang w:val="de-DE"/>
        </w:rPr>
        <w:t xml:space="preserve">ping Fan, </w:t>
      </w:r>
      <w:bookmarkStart w:id="1" w:name="_Hlk140152639"/>
      <w:r w:rsidRPr="002E0BD3">
        <w:rPr>
          <w:lang w:val="de-DE"/>
        </w:rPr>
        <w:t>Philip C. Y. Chow</w:t>
      </w:r>
      <w:bookmarkEnd w:id="1"/>
      <w:r w:rsidRPr="002E0BD3">
        <w:rPr>
          <w:lang w:val="de-DE"/>
        </w:rPr>
        <w:t>, Wei Ma, Francis R. Lin, Alex K.-Y. Jen*</w:t>
      </w:r>
    </w:p>
    <w:bookmarkEnd w:id="0"/>
    <w:p w14:paraId="23CEBEF5" w14:textId="77777777" w:rsidR="002D16A0" w:rsidRDefault="002D16A0" w:rsidP="00A439FA">
      <w:pPr>
        <w:pStyle w:val="Tableofcontents"/>
        <w:rPr>
          <w:rFonts w:eastAsiaTheme="minorEastAsia"/>
          <w:lang w:eastAsia="zh-CN"/>
        </w:rPr>
      </w:pPr>
    </w:p>
    <w:p w14:paraId="0FFBE5ED" w14:textId="7E68C2A9" w:rsidR="00466F8E" w:rsidRDefault="00466F8E" w:rsidP="00A439FA">
      <w:pPr>
        <w:pStyle w:val="Tableofcontents"/>
        <w:rPr>
          <w:rFonts w:eastAsiaTheme="minorEastAsia"/>
          <w:lang w:eastAsia="zh-CN"/>
        </w:rPr>
      </w:pPr>
      <w:r>
        <w:rPr>
          <w:rFonts w:eastAsiaTheme="minorEastAsia" w:hint="eastAsia"/>
          <w:lang w:eastAsia="zh-CN"/>
        </w:rPr>
        <w:t>Accepted by</w:t>
      </w:r>
    </w:p>
    <w:p w14:paraId="7CB145C6" w14:textId="2F2A6351" w:rsidR="00466F8E" w:rsidRDefault="00466F8E" w:rsidP="00A439FA">
      <w:pPr>
        <w:pStyle w:val="Tableofcontents"/>
        <w:rPr>
          <w:rFonts w:eastAsiaTheme="minorEastAsia"/>
          <w:lang w:eastAsia="zh-CN"/>
        </w:rPr>
      </w:pPr>
      <w:r>
        <w:rPr>
          <w:rFonts w:eastAsiaTheme="minorEastAsia" w:hint="eastAsia"/>
          <w:lang w:eastAsia="zh-CN"/>
        </w:rPr>
        <w:t>Advanced Materials</w:t>
      </w:r>
    </w:p>
    <w:p w14:paraId="55437279" w14:textId="15C39276" w:rsidR="00466F8E" w:rsidRDefault="00466F8E" w:rsidP="00A439FA">
      <w:pPr>
        <w:pStyle w:val="Tableofcontents"/>
        <w:rPr>
          <w:rFonts w:eastAsiaTheme="minorEastAsia" w:hint="eastAsia"/>
          <w:lang w:eastAsia="zh-CN"/>
        </w:rPr>
      </w:pPr>
      <w:r>
        <w:rPr>
          <w:rFonts w:eastAsiaTheme="minorEastAsia" w:hint="eastAsia"/>
          <w:lang w:eastAsia="zh-CN"/>
        </w:rPr>
        <w:t>April 04, 2024</w:t>
      </w:r>
    </w:p>
    <w:p w14:paraId="036C43CB" w14:textId="77777777" w:rsidR="00466F8E" w:rsidRPr="00466F8E" w:rsidRDefault="00466F8E" w:rsidP="00A439FA">
      <w:pPr>
        <w:pStyle w:val="Tableofcontents"/>
        <w:rPr>
          <w:rFonts w:eastAsiaTheme="minorEastAsia" w:hint="eastAsia"/>
          <w:lang w:eastAsia="zh-CN"/>
        </w:rPr>
      </w:pPr>
    </w:p>
    <w:p w14:paraId="6A7AE676" w14:textId="32A8AEBE" w:rsidR="00945654" w:rsidRDefault="00945654" w:rsidP="008C6D5F">
      <w:pPr>
        <w:pStyle w:val="Addresses"/>
        <w:spacing w:line="360" w:lineRule="auto"/>
      </w:pPr>
      <w:bookmarkStart w:id="2" w:name="_Hlk152699369"/>
      <w:r>
        <w:t>Y. L</w:t>
      </w:r>
      <w:r w:rsidR="006960F3">
        <w:t>i</w:t>
      </w:r>
      <w:r>
        <w:t xml:space="preserve">, K.-K. </w:t>
      </w:r>
      <w:r w:rsidR="006960F3">
        <w:t>Liu</w:t>
      </w:r>
      <w:r>
        <w:t>. and A. K.-Y. J</w:t>
      </w:r>
      <w:r w:rsidR="006960F3">
        <w:t>en</w:t>
      </w:r>
    </w:p>
    <w:p w14:paraId="18FF2493" w14:textId="07E81BCE" w:rsidR="00945654" w:rsidRDefault="00945654" w:rsidP="008C6D5F">
      <w:pPr>
        <w:pStyle w:val="Addresses"/>
        <w:spacing w:line="360" w:lineRule="auto"/>
      </w:pPr>
      <w:r w:rsidRPr="00E2114B">
        <w:rPr>
          <w:szCs w:val="28"/>
        </w:rPr>
        <w:t>Department of Materials Science &amp; Engineering, City University of Hong Kong, Kowloon, Hong Kong, 999077, China</w:t>
      </w:r>
      <w:r>
        <w:t xml:space="preserve"> </w:t>
      </w:r>
    </w:p>
    <w:p w14:paraId="5F29B1FF" w14:textId="18D7CFF7" w:rsidR="00945654" w:rsidRPr="00945654" w:rsidRDefault="00945654" w:rsidP="008C6D5F">
      <w:pPr>
        <w:pStyle w:val="Addresses"/>
        <w:spacing w:line="360" w:lineRule="auto"/>
        <w:rPr>
          <w:lang w:val="de-DE"/>
        </w:rPr>
      </w:pPr>
      <w:r w:rsidRPr="00A35E4A">
        <w:t>E-mail:</w:t>
      </w:r>
      <w:r w:rsidRPr="00945654">
        <w:rPr>
          <w:rFonts w:eastAsiaTheme="minorEastAsia"/>
          <w:kern w:val="2"/>
          <w:szCs w:val="28"/>
          <w:lang w:eastAsia="zh-CN"/>
          <w14:ligatures w14:val="standardContextual"/>
        </w:rPr>
        <w:t xml:space="preserve"> </w:t>
      </w:r>
      <w:r w:rsidRPr="00945654">
        <w:rPr>
          <w:lang w:val="de-DE"/>
        </w:rPr>
        <w:t>alexjen@cityu.edu.hk</w:t>
      </w:r>
    </w:p>
    <w:p w14:paraId="27EAF38A" w14:textId="3F3EF5E0" w:rsidR="00945654" w:rsidRDefault="00945654" w:rsidP="008C6D5F">
      <w:pPr>
        <w:pStyle w:val="Addresses"/>
        <w:spacing w:line="360" w:lineRule="auto"/>
        <w:rPr>
          <w:rFonts w:eastAsiaTheme="minorEastAsia"/>
          <w:lang w:eastAsia="zh-CN"/>
        </w:rPr>
      </w:pPr>
      <w:r>
        <w:rPr>
          <w:rFonts w:eastAsiaTheme="minorEastAsia" w:hint="eastAsia"/>
          <w:lang w:eastAsia="zh-CN"/>
        </w:rPr>
        <w:t>F</w:t>
      </w:r>
      <w:r>
        <w:rPr>
          <w:rFonts w:eastAsiaTheme="minorEastAsia"/>
          <w:lang w:eastAsia="zh-CN"/>
        </w:rPr>
        <w:t>. Q</w:t>
      </w:r>
      <w:r w:rsidR="006960F3">
        <w:rPr>
          <w:rFonts w:eastAsiaTheme="minorEastAsia"/>
          <w:lang w:eastAsia="zh-CN"/>
        </w:rPr>
        <w:t>i</w:t>
      </w:r>
      <w:r>
        <w:rPr>
          <w:rFonts w:eastAsiaTheme="minorEastAsia"/>
          <w:lang w:eastAsia="zh-CN"/>
        </w:rPr>
        <w:t>, B. F</w:t>
      </w:r>
      <w:r w:rsidR="006960F3">
        <w:rPr>
          <w:rFonts w:eastAsiaTheme="minorEastAsia"/>
          <w:lang w:eastAsia="zh-CN"/>
        </w:rPr>
        <w:t>an</w:t>
      </w:r>
      <w:r>
        <w:rPr>
          <w:rFonts w:eastAsiaTheme="minorEastAsia"/>
          <w:lang w:eastAsia="zh-CN"/>
        </w:rPr>
        <w:t>, F. R. L</w:t>
      </w:r>
      <w:r w:rsidR="006960F3">
        <w:rPr>
          <w:rFonts w:eastAsiaTheme="minorEastAsia"/>
          <w:lang w:eastAsia="zh-CN"/>
        </w:rPr>
        <w:t>in</w:t>
      </w:r>
      <w:r>
        <w:rPr>
          <w:rFonts w:eastAsiaTheme="minorEastAsia"/>
          <w:lang w:eastAsia="zh-CN"/>
        </w:rPr>
        <w:t xml:space="preserve"> and A. K.-Y. J</w:t>
      </w:r>
      <w:r w:rsidR="006960F3">
        <w:rPr>
          <w:rFonts w:eastAsiaTheme="minorEastAsia"/>
          <w:lang w:eastAsia="zh-CN"/>
        </w:rPr>
        <w:t>en</w:t>
      </w:r>
    </w:p>
    <w:p w14:paraId="692BE45D" w14:textId="2A51F645" w:rsidR="00945654" w:rsidRPr="00945654" w:rsidRDefault="00945654" w:rsidP="008C6D5F">
      <w:pPr>
        <w:pStyle w:val="Addresses"/>
        <w:spacing w:line="360" w:lineRule="auto"/>
        <w:rPr>
          <w:szCs w:val="28"/>
        </w:rPr>
      </w:pPr>
      <w:r w:rsidRPr="00E2114B">
        <w:rPr>
          <w:szCs w:val="28"/>
        </w:rPr>
        <w:t>Department of Chemistry, City University of Hong Kong, Kowloon, Hong Kong, 999077, China</w:t>
      </w:r>
    </w:p>
    <w:p w14:paraId="7402454F" w14:textId="2DD18C10" w:rsidR="00945654" w:rsidRDefault="00945654" w:rsidP="008C6D5F">
      <w:pPr>
        <w:pStyle w:val="Addresses"/>
        <w:spacing w:line="360" w:lineRule="auto"/>
        <w:rPr>
          <w:rFonts w:eastAsiaTheme="minorEastAsia"/>
          <w:szCs w:val="28"/>
          <w:lang w:eastAsia="zh-CN"/>
        </w:rPr>
      </w:pPr>
      <w:r>
        <w:rPr>
          <w:rFonts w:eastAsiaTheme="minorEastAsia" w:hint="eastAsia"/>
          <w:szCs w:val="28"/>
          <w:lang w:eastAsia="zh-CN"/>
        </w:rPr>
        <w:t>Y</w:t>
      </w:r>
      <w:r>
        <w:rPr>
          <w:rFonts w:eastAsiaTheme="minorEastAsia"/>
          <w:szCs w:val="28"/>
          <w:lang w:eastAsia="zh-CN"/>
        </w:rPr>
        <w:t>. L</w:t>
      </w:r>
      <w:r w:rsidR="006960F3">
        <w:rPr>
          <w:rFonts w:eastAsiaTheme="minorEastAsia"/>
          <w:szCs w:val="28"/>
          <w:lang w:eastAsia="zh-CN"/>
        </w:rPr>
        <w:t>i</w:t>
      </w:r>
      <w:r>
        <w:rPr>
          <w:rFonts w:eastAsiaTheme="minorEastAsia"/>
          <w:szCs w:val="28"/>
          <w:lang w:eastAsia="zh-CN"/>
        </w:rPr>
        <w:t>, F. Q</w:t>
      </w:r>
      <w:r w:rsidR="006960F3">
        <w:rPr>
          <w:rFonts w:eastAsiaTheme="minorEastAsia"/>
          <w:szCs w:val="28"/>
          <w:lang w:eastAsia="zh-CN"/>
        </w:rPr>
        <w:t>i</w:t>
      </w:r>
      <w:r>
        <w:rPr>
          <w:rFonts w:eastAsiaTheme="minorEastAsia"/>
          <w:szCs w:val="28"/>
          <w:lang w:eastAsia="zh-CN"/>
        </w:rPr>
        <w:t>, B. F</w:t>
      </w:r>
      <w:r w:rsidR="006960F3">
        <w:rPr>
          <w:rFonts w:eastAsiaTheme="minorEastAsia"/>
          <w:szCs w:val="28"/>
          <w:lang w:eastAsia="zh-CN"/>
        </w:rPr>
        <w:t>an</w:t>
      </w:r>
      <w:r>
        <w:rPr>
          <w:rFonts w:eastAsiaTheme="minorEastAsia"/>
          <w:szCs w:val="28"/>
          <w:lang w:eastAsia="zh-CN"/>
        </w:rPr>
        <w:t>, K.-K. L</w:t>
      </w:r>
      <w:r w:rsidR="006960F3">
        <w:rPr>
          <w:rFonts w:eastAsiaTheme="minorEastAsia"/>
          <w:szCs w:val="28"/>
          <w:lang w:eastAsia="zh-CN"/>
        </w:rPr>
        <w:t>iu</w:t>
      </w:r>
      <w:r>
        <w:rPr>
          <w:rFonts w:eastAsiaTheme="minorEastAsia"/>
          <w:szCs w:val="28"/>
          <w:lang w:eastAsia="zh-CN"/>
        </w:rPr>
        <w:t>, F. R. L</w:t>
      </w:r>
      <w:r w:rsidR="006960F3">
        <w:rPr>
          <w:rFonts w:eastAsiaTheme="minorEastAsia"/>
          <w:szCs w:val="28"/>
          <w:lang w:eastAsia="zh-CN"/>
        </w:rPr>
        <w:t>in</w:t>
      </w:r>
      <w:r>
        <w:rPr>
          <w:rFonts w:eastAsiaTheme="minorEastAsia"/>
          <w:szCs w:val="28"/>
          <w:lang w:eastAsia="zh-CN"/>
        </w:rPr>
        <w:t xml:space="preserve"> and A. K.-Y. J</w:t>
      </w:r>
      <w:r w:rsidR="006960F3">
        <w:rPr>
          <w:rFonts w:eastAsiaTheme="minorEastAsia"/>
          <w:szCs w:val="28"/>
          <w:lang w:eastAsia="zh-CN"/>
        </w:rPr>
        <w:t>en</w:t>
      </w:r>
    </w:p>
    <w:p w14:paraId="3C6FE9C3" w14:textId="2561901B" w:rsidR="00945654" w:rsidRPr="00945654" w:rsidRDefault="00945654" w:rsidP="008C6D5F">
      <w:pPr>
        <w:pStyle w:val="Addresses"/>
        <w:spacing w:line="360" w:lineRule="auto"/>
        <w:rPr>
          <w:rFonts w:eastAsiaTheme="minorEastAsia"/>
          <w:szCs w:val="28"/>
          <w:lang w:eastAsia="zh-CN"/>
        </w:rPr>
      </w:pPr>
      <w:r w:rsidRPr="00E2114B">
        <w:rPr>
          <w:szCs w:val="28"/>
        </w:rPr>
        <w:t>Hong Kong Institute for Clean Energy, City University of Hong Kong, Kowloon, Hong Kong, 999077, China</w:t>
      </w:r>
    </w:p>
    <w:p w14:paraId="33000CD0" w14:textId="3697E3C3" w:rsidR="00945654" w:rsidRPr="00945654" w:rsidRDefault="00C00221" w:rsidP="00C00221">
      <w:pPr>
        <w:pStyle w:val="Addresses"/>
        <w:spacing w:line="360" w:lineRule="auto"/>
        <w:rPr>
          <w:rFonts w:eastAsiaTheme="minorEastAsia"/>
          <w:szCs w:val="28"/>
          <w:lang w:eastAsia="zh-CN"/>
        </w:rPr>
      </w:pPr>
      <w:r w:rsidRPr="00C00221">
        <w:rPr>
          <w:rFonts w:eastAsiaTheme="minorEastAsia"/>
          <w:szCs w:val="28"/>
          <w:lang w:eastAsia="zh-CN"/>
        </w:rPr>
        <w:t>A.</w:t>
      </w:r>
      <w:r>
        <w:rPr>
          <w:rFonts w:eastAsiaTheme="minorEastAsia"/>
          <w:szCs w:val="28"/>
          <w:lang w:eastAsia="zh-CN"/>
        </w:rPr>
        <w:t xml:space="preserve"> </w:t>
      </w:r>
      <w:r w:rsidR="00945654">
        <w:rPr>
          <w:rFonts w:eastAsiaTheme="minorEastAsia"/>
          <w:szCs w:val="28"/>
          <w:lang w:eastAsia="zh-CN"/>
        </w:rPr>
        <w:t>K.-Y. J</w:t>
      </w:r>
      <w:r w:rsidR="006960F3">
        <w:rPr>
          <w:rFonts w:eastAsiaTheme="minorEastAsia"/>
          <w:szCs w:val="28"/>
          <w:lang w:eastAsia="zh-CN"/>
        </w:rPr>
        <w:t>en</w:t>
      </w:r>
    </w:p>
    <w:p w14:paraId="28F9A3E1" w14:textId="2AE229E3" w:rsidR="00945654" w:rsidRDefault="00945654" w:rsidP="008C6D5F">
      <w:pPr>
        <w:pStyle w:val="Addresses"/>
        <w:spacing w:line="360" w:lineRule="auto"/>
      </w:pPr>
      <w:r w:rsidRPr="00E2114B">
        <w:rPr>
          <w:szCs w:val="28"/>
        </w:rPr>
        <w:t>Department of Materials Science &amp; Engineering, University of Washington, Seattle, Washington, 98195, United States</w:t>
      </w:r>
    </w:p>
    <w:p w14:paraId="7A870BF6" w14:textId="535E16DF" w:rsidR="00945654" w:rsidRPr="00C00221" w:rsidRDefault="00C00221" w:rsidP="00C00221">
      <w:pPr>
        <w:pStyle w:val="Addresses"/>
        <w:spacing w:line="360" w:lineRule="auto"/>
        <w:rPr>
          <w:rFonts w:eastAsiaTheme="minorEastAsia"/>
          <w:szCs w:val="28"/>
          <w:lang w:eastAsia="zh-CN"/>
        </w:rPr>
      </w:pPr>
      <w:r w:rsidRPr="00C00221">
        <w:rPr>
          <w:rFonts w:eastAsiaTheme="minorEastAsia"/>
          <w:szCs w:val="28"/>
          <w:lang w:eastAsia="zh-CN"/>
        </w:rPr>
        <w:t>A.</w:t>
      </w:r>
      <w:r>
        <w:rPr>
          <w:rFonts w:eastAsiaTheme="minorEastAsia"/>
          <w:szCs w:val="28"/>
          <w:lang w:eastAsia="zh-CN"/>
        </w:rPr>
        <w:t xml:space="preserve"> K.-Y. Jen</w:t>
      </w:r>
    </w:p>
    <w:p w14:paraId="6CCB24C1" w14:textId="416DA748" w:rsidR="00945654" w:rsidRPr="00945654" w:rsidRDefault="00945654" w:rsidP="008C6D5F">
      <w:pPr>
        <w:pStyle w:val="Addresses"/>
        <w:spacing w:line="360" w:lineRule="auto"/>
        <w:rPr>
          <w:rFonts w:eastAsiaTheme="minorEastAsia"/>
          <w:lang w:eastAsia="zh-CN"/>
        </w:rPr>
      </w:pPr>
      <w:r w:rsidRPr="00E2114B">
        <w:rPr>
          <w:szCs w:val="28"/>
        </w:rPr>
        <w:t>State Key Laboratory of Marine Pollution, City University of Hong Kong, Kowloon, Hong Kong 999077, China</w:t>
      </w:r>
    </w:p>
    <w:p w14:paraId="55DFA482" w14:textId="50038C45" w:rsidR="00135998" w:rsidRPr="00A17C97" w:rsidRDefault="00135998" w:rsidP="008C6D5F">
      <w:pPr>
        <w:pStyle w:val="Addresses"/>
        <w:spacing w:line="360" w:lineRule="auto"/>
        <w:rPr>
          <w:rFonts w:eastAsiaTheme="minorEastAsia"/>
          <w:lang w:eastAsia="zh-CN"/>
        </w:rPr>
      </w:pPr>
      <w:r w:rsidRPr="00A17C97">
        <w:rPr>
          <w:rFonts w:eastAsiaTheme="minorEastAsia"/>
          <w:lang w:eastAsia="zh-CN"/>
        </w:rPr>
        <w:t>F. Qi</w:t>
      </w:r>
    </w:p>
    <w:p w14:paraId="4AD23B94" w14:textId="35260F84" w:rsidR="00135998" w:rsidRDefault="00135998" w:rsidP="008C6D5F">
      <w:pPr>
        <w:pStyle w:val="Addresses"/>
        <w:spacing w:line="360" w:lineRule="auto"/>
        <w:rPr>
          <w:rFonts w:eastAsiaTheme="minorEastAsia"/>
          <w:lang w:eastAsia="zh-CN"/>
        </w:rPr>
      </w:pPr>
      <w:r w:rsidRPr="00A17C97">
        <w:rPr>
          <w:rFonts w:eastAsiaTheme="minorEastAsia"/>
          <w:lang w:eastAsia="zh-CN"/>
        </w:rPr>
        <w:t>College of Materials Science and Engineering, Qingdao University, Qingdao, 266071, P. R. China</w:t>
      </w:r>
    </w:p>
    <w:p w14:paraId="424FF686" w14:textId="3999A1C4" w:rsidR="00945654" w:rsidRPr="00945654" w:rsidRDefault="00945654" w:rsidP="008C6D5F">
      <w:pPr>
        <w:pStyle w:val="Addresses"/>
        <w:spacing w:line="360" w:lineRule="auto"/>
        <w:rPr>
          <w:rFonts w:eastAsiaTheme="minorEastAsia"/>
          <w:lang w:eastAsia="zh-CN"/>
        </w:rPr>
      </w:pPr>
      <w:r>
        <w:rPr>
          <w:rFonts w:eastAsiaTheme="minorEastAsia"/>
          <w:lang w:eastAsia="zh-CN"/>
        </w:rPr>
        <w:t>J. Y</w:t>
      </w:r>
      <w:r w:rsidR="006960F3">
        <w:rPr>
          <w:rFonts w:eastAsiaTheme="minorEastAsia"/>
          <w:lang w:eastAsia="zh-CN"/>
        </w:rPr>
        <w:t>u</w:t>
      </w:r>
      <w:r>
        <w:rPr>
          <w:rFonts w:eastAsiaTheme="minorEastAsia"/>
          <w:lang w:eastAsia="zh-CN"/>
        </w:rPr>
        <w:t xml:space="preserve"> and G. L</w:t>
      </w:r>
      <w:r w:rsidR="006960F3">
        <w:rPr>
          <w:rFonts w:eastAsiaTheme="minorEastAsia"/>
          <w:lang w:eastAsia="zh-CN"/>
        </w:rPr>
        <w:t>u</w:t>
      </w:r>
    </w:p>
    <w:p w14:paraId="73B11245" w14:textId="73D4E188" w:rsidR="00945654" w:rsidRDefault="00945654" w:rsidP="008C6D5F">
      <w:pPr>
        <w:pStyle w:val="Addresses"/>
        <w:spacing w:line="360" w:lineRule="auto"/>
      </w:pPr>
      <w:r w:rsidRPr="00E2114B">
        <w:rPr>
          <w:szCs w:val="28"/>
        </w:rPr>
        <w:t xml:space="preserve">Frontier Institute of Science and Technology, Xi'an </w:t>
      </w:r>
      <w:proofErr w:type="spellStart"/>
      <w:r w:rsidRPr="00E2114B">
        <w:rPr>
          <w:szCs w:val="28"/>
        </w:rPr>
        <w:t>Jiaotong</w:t>
      </w:r>
      <w:proofErr w:type="spellEnd"/>
      <w:r w:rsidRPr="00E2114B">
        <w:rPr>
          <w:szCs w:val="28"/>
        </w:rPr>
        <w:t xml:space="preserve"> University, Xi'an, 710054, China</w:t>
      </w:r>
    </w:p>
    <w:p w14:paraId="79EDD767" w14:textId="46045999" w:rsidR="00945654" w:rsidRPr="00945654" w:rsidRDefault="00945654" w:rsidP="008C6D5F">
      <w:pPr>
        <w:pStyle w:val="Addresses"/>
        <w:spacing w:line="360" w:lineRule="auto"/>
        <w:rPr>
          <w:rFonts w:eastAsiaTheme="minorEastAsia"/>
          <w:szCs w:val="28"/>
          <w:lang w:eastAsia="zh-CN"/>
        </w:rPr>
      </w:pPr>
      <w:r>
        <w:rPr>
          <w:rFonts w:eastAsiaTheme="minorEastAsia" w:hint="eastAsia"/>
          <w:szCs w:val="28"/>
          <w:lang w:eastAsia="zh-CN"/>
        </w:rPr>
        <w:t>Y</w:t>
      </w:r>
      <w:r>
        <w:rPr>
          <w:rFonts w:eastAsiaTheme="minorEastAsia"/>
          <w:szCs w:val="28"/>
          <w:lang w:eastAsia="zh-CN"/>
        </w:rPr>
        <w:t xml:space="preserve">. </w:t>
      </w:r>
      <w:r w:rsidR="006960F3">
        <w:rPr>
          <w:rFonts w:eastAsiaTheme="minorEastAsia"/>
          <w:szCs w:val="28"/>
          <w:lang w:eastAsia="zh-CN"/>
        </w:rPr>
        <w:t>Fu</w:t>
      </w:r>
      <w:r>
        <w:rPr>
          <w:rFonts w:eastAsiaTheme="minorEastAsia"/>
          <w:szCs w:val="28"/>
          <w:lang w:eastAsia="zh-CN"/>
        </w:rPr>
        <w:t xml:space="preserve"> and X. L</w:t>
      </w:r>
      <w:r w:rsidR="006960F3">
        <w:rPr>
          <w:rFonts w:eastAsiaTheme="minorEastAsia"/>
          <w:szCs w:val="28"/>
          <w:lang w:eastAsia="zh-CN"/>
        </w:rPr>
        <w:t>u</w:t>
      </w:r>
    </w:p>
    <w:p w14:paraId="43088C74" w14:textId="373031B5" w:rsidR="00945654" w:rsidRDefault="00945654" w:rsidP="008C6D5F">
      <w:pPr>
        <w:pStyle w:val="Addresses"/>
        <w:spacing w:line="360" w:lineRule="auto"/>
        <w:rPr>
          <w:szCs w:val="28"/>
        </w:rPr>
      </w:pPr>
      <w:r w:rsidRPr="00E2114B">
        <w:rPr>
          <w:szCs w:val="28"/>
        </w:rPr>
        <w:lastRenderedPageBreak/>
        <w:t>Department of Physics, The Chinese University of Hong Kong, New Territories, Hong Kong, 999077, China</w:t>
      </w:r>
      <w:r w:rsidR="007B7A09" w:rsidRPr="00A35E4A">
        <w:br/>
      </w:r>
      <w:r>
        <w:rPr>
          <w:szCs w:val="28"/>
        </w:rPr>
        <w:t>X. L</w:t>
      </w:r>
      <w:r w:rsidR="006960F3">
        <w:rPr>
          <w:szCs w:val="28"/>
        </w:rPr>
        <w:t>iu</w:t>
      </w:r>
      <w:r>
        <w:rPr>
          <w:szCs w:val="28"/>
        </w:rPr>
        <w:t>, Z. W</w:t>
      </w:r>
      <w:r w:rsidR="006960F3">
        <w:rPr>
          <w:szCs w:val="28"/>
        </w:rPr>
        <w:t>ang</w:t>
      </w:r>
      <w:r>
        <w:rPr>
          <w:szCs w:val="28"/>
        </w:rPr>
        <w:t>, and P. C. Y. C</w:t>
      </w:r>
      <w:r w:rsidR="006960F3">
        <w:rPr>
          <w:szCs w:val="28"/>
        </w:rPr>
        <w:t>how</w:t>
      </w:r>
    </w:p>
    <w:p w14:paraId="57366483" w14:textId="5B00A6B6" w:rsidR="007B7A09" w:rsidRPr="00A35E4A" w:rsidRDefault="00945654" w:rsidP="008C6D5F">
      <w:pPr>
        <w:pStyle w:val="Addresses"/>
        <w:spacing w:line="360" w:lineRule="auto"/>
      </w:pPr>
      <w:r w:rsidRPr="00E2114B">
        <w:rPr>
          <w:szCs w:val="28"/>
        </w:rPr>
        <w:t xml:space="preserve">Department of Mechanical Engineering, The University of Hong Kong, </w:t>
      </w:r>
      <w:proofErr w:type="spellStart"/>
      <w:r w:rsidRPr="00E2114B">
        <w:rPr>
          <w:szCs w:val="28"/>
        </w:rPr>
        <w:t>Pokfulam</w:t>
      </w:r>
      <w:proofErr w:type="spellEnd"/>
      <w:r w:rsidRPr="00E2114B">
        <w:rPr>
          <w:szCs w:val="28"/>
        </w:rPr>
        <w:t>, Hong Kong, 999077, China</w:t>
      </w:r>
    </w:p>
    <w:p w14:paraId="5CBAE562" w14:textId="1D675DF3" w:rsidR="00C56CD4" w:rsidRDefault="00945654" w:rsidP="008C6D5F">
      <w:pPr>
        <w:pStyle w:val="Addresses"/>
        <w:spacing w:line="360" w:lineRule="auto"/>
        <w:rPr>
          <w:rFonts w:eastAsiaTheme="minorEastAsia"/>
          <w:lang w:eastAsia="zh-CN"/>
        </w:rPr>
      </w:pPr>
      <w:r>
        <w:rPr>
          <w:rFonts w:eastAsiaTheme="minorEastAsia" w:hint="eastAsia"/>
          <w:lang w:eastAsia="zh-CN"/>
        </w:rPr>
        <w:t>S</w:t>
      </w:r>
      <w:r>
        <w:rPr>
          <w:rFonts w:eastAsiaTheme="minorEastAsia"/>
          <w:lang w:eastAsia="zh-CN"/>
        </w:rPr>
        <w:t>. Z</w:t>
      </w:r>
      <w:r w:rsidR="006960F3">
        <w:rPr>
          <w:rFonts w:eastAsiaTheme="minorEastAsia"/>
          <w:lang w:eastAsia="zh-CN"/>
        </w:rPr>
        <w:t>hang</w:t>
      </w:r>
      <w:r>
        <w:rPr>
          <w:rFonts w:eastAsiaTheme="minorEastAsia"/>
          <w:lang w:eastAsia="zh-CN"/>
        </w:rPr>
        <w:t>, Q. F</w:t>
      </w:r>
      <w:r w:rsidR="006960F3">
        <w:rPr>
          <w:rFonts w:eastAsiaTheme="minorEastAsia"/>
          <w:lang w:eastAsia="zh-CN"/>
        </w:rPr>
        <w:t>an</w:t>
      </w:r>
      <w:r>
        <w:rPr>
          <w:rFonts w:eastAsiaTheme="minorEastAsia"/>
          <w:lang w:eastAsia="zh-CN"/>
        </w:rPr>
        <w:t xml:space="preserve"> and W. M</w:t>
      </w:r>
      <w:r w:rsidR="006960F3">
        <w:rPr>
          <w:rFonts w:eastAsiaTheme="minorEastAsia"/>
          <w:lang w:eastAsia="zh-CN"/>
        </w:rPr>
        <w:t>a</w:t>
      </w:r>
    </w:p>
    <w:p w14:paraId="1E958727" w14:textId="7EF8F2E5" w:rsidR="00945654" w:rsidRPr="00945654" w:rsidRDefault="00945654" w:rsidP="008C6D5F">
      <w:pPr>
        <w:pStyle w:val="Addresses"/>
        <w:spacing w:line="360" w:lineRule="auto"/>
        <w:rPr>
          <w:rFonts w:eastAsiaTheme="minorEastAsia"/>
          <w:lang w:eastAsia="zh-CN"/>
        </w:rPr>
      </w:pPr>
      <w:r w:rsidRPr="00E2114B">
        <w:rPr>
          <w:szCs w:val="28"/>
        </w:rPr>
        <w:t xml:space="preserve">State Key Laboratory for Mechanical Behavior of Materials, Xi’an </w:t>
      </w:r>
      <w:proofErr w:type="spellStart"/>
      <w:r w:rsidRPr="00E2114B">
        <w:rPr>
          <w:szCs w:val="28"/>
        </w:rPr>
        <w:t>Jiaotong</w:t>
      </w:r>
      <w:proofErr w:type="spellEnd"/>
      <w:r w:rsidRPr="00E2114B">
        <w:rPr>
          <w:szCs w:val="28"/>
        </w:rPr>
        <w:t xml:space="preserve"> University, Xi’an, 710049, China</w:t>
      </w:r>
    </w:p>
    <w:p w14:paraId="2F4ED235" w14:textId="0D283A12" w:rsidR="002D16A0" w:rsidRDefault="002E0BD3" w:rsidP="008C6D5F">
      <w:pPr>
        <w:spacing w:line="360" w:lineRule="auto"/>
        <w:rPr>
          <w:lang w:val="en-US"/>
        </w:rPr>
      </w:pPr>
      <w:r w:rsidRPr="002E0BD3">
        <w:rPr>
          <w:lang w:val="en-US"/>
        </w:rPr>
        <w:t xml:space="preserve">These authors contributed equally: </w:t>
      </w:r>
      <w:proofErr w:type="spellStart"/>
      <w:r w:rsidRPr="002E0BD3">
        <w:rPr>
          <w:lang w:val="en-US"/>
        </w:rPr>
        <w:t>Yanxun</w:t>
      </w:r>
      <w:proofErr w:type="spellEnd"/>
      <w:r w:rsidRPr="002E0BD3">
        <w:rPr>
          <w:lang w:val="en-US"/>
        </w:rPr>
        <w:t xml:space="preserve"> Li and Feng Qi.</w:t>
      </w:r>
    </w:p>
    <w:bookmarkEnd w:id="2"/>
    <w:p w14:paraId="3A5A7B21" w14:textId="77777777" w:rsidR="002E0BD3" w:rsidRPr="00A34F32" w:rsidRDefault="002E0BD3" w:rsidP="008C6D5F">
      <w:pPr>
        <w:spacing w:line="360" w:lineRule="auto"/>
        <w:rPr>
          <w:lang w:val="en-US"/>
        </w:rPr>
      </w:pPr>
    </w:p>
    <w:p w14:paraId="7DE30428" w14:textId="72391287" w:rsidR="00901D14" w:rsidRPr="00B24F38" w:rsidRDefault="00901D14" w:rsidP="008C6D5F">
      <w:pPr>
        <w:spacing w:line="360" w:lineRule="auto"/>
        <w:rPr>
          <w:lang w:val="en-US"/>
        </w:rPr>
      </w:pPr>
      <w:r w:rsidRPr="00135998">
        <w:rPr>
          <w:b/>
          <w:lang w:val="en-US"/>
        </w:rPr>
        <w:t>Keywords:</w:t>
      </w:r>
      <w:bookmarkStart w:id="3" w:name="_Hlk150761567"/>
      <w:r w:rsidR="002E0BD3" w:rsidRPr="002E0BD3">
        <w:rPr>
          <w:rFonts w:eastAsiaTheme="minorEastAsia"/>
          <w:kern w:val="2"/>
          <w:szCs w:val="28"/>
          <w:lang w:val="en-US" w:eastAsia="zh-CN"/>
        </w:rPr>
        <w:t xml:space="preserve"> </w:t>
      </w:r>
      <w:r w:rsidR="002E0BD3" w:rsidRPr="002E0BD3">
        <w:rPr>
          <w:bCs/>
          <w:lang w:val="en-US"/>
        </w:rPr>
        <w:t>burn-in loss, organic photovoltaics, dimer acceptor, supramolecular stabilizer, thermal transition, trap state</w:t>
      </w:r>
      <w:bookmarkEnd w:id="3"/>
    </w:p>
    <w:p w14:paraId="0923689F" w14:textId="77777777" w:rsidR="00004A23" w:rsidRDefault="00004A23" w:rsidP="008C6D5F">
      <w:pPr>
        <w:spacing w:line="360" w:lineRule="auto"/>
        <w:rPr>
          <w:rFonts w:eastAsiaTheme="minorEastAsia"/>
          <w:lang w:val="en-US" w:eastAsia="zh-CN"/>
        </w:rPr>
      </w:pPr>
    </w:p>
    <w:p w14:paraId="0FE4F553" w14:textId="7DBEB87D" w:rsidR="00466F8E" w:rsidRPr="00466F8E" w:rsidRDefault="00466F8E" w:rsidP="008C6D5F">
      <w:pPr>
        <w:spacing w:line="360" w:lineRule="auto"/>
        <w:rPr>
          <w:rFonts w:eastAsiaTheme="minorEastAsia" w:hint="eastAsia"/>
          <w:b/>
          <w:bCs/>
          <w:lang w:val="en-US" w:eastAsia="zh-CN"/>
        </w:rPr>
      </w:pPr>
      <w:r w:rsidRPr="00466F8E">
        <w:rPr>
          <w:rFonts w:eastAsiaTheme="minorEastAsia" w:hint="eastAsia"/>
          <w:b/>
          <w:bCs/>
          <w:lang w:val="en-US" w:eastAsia="zh-CN"/>
        </w:rPr>
        <w:t>Abstract</w:t>
      </w:r>
    </w:p>
    <w:p w14:paraId="2E71596E" w14:textId="6006C0AB" w:rsidR="002D16A0" w:rsidRPr="00852676" w:rsidRDefault="002E0BD3" w:rsidP="00135998">
      <w:pPr>
        <w:spacing w:line="360" w:lineRule="auto"/>
        <w:ind w:firstLine="708"/>
        <w:jc w:val="both"/>
      </w:pPr>
      <w:r w:rsidRPr="00A17C97">
        <w:t xml:space="preserve">The meta-stable active layer morphology of organic solar cells (OSCs) has been </w:t>
      </w:r>
      <w:r w:rsidR="00852676" w:rsidRPr="00A17C97">
        <w:t xml:space="preserve">identified </w:t>
      </w:r>
      <w:r w:rsidRPr="00A17C97">
        <w:t xml:space="preserve">as the main cause </w:t>
      </w:r>
      <w:r w:rsidR="00EB5051" w:rsidRPr="00A17C97">
        <w:t xml:space="preserve">of </w:t>
      </w:r>
      <w:r w:rsidRPr="00A17C97">
        <w:t>the rapid burn-in loss of power conversion efficiency (PCE) during long-term</w:t>
      </w:r>
      <w:r w:rsidR="00EB5051" w:rsidRPr="00A17C97">
        <w:t xml:space="preserve"> device</w:t>
      </w:r>
      <w:r w:rsidRPr="00A17C97">
        <w:t xml:space="preserve"> operation. </w:t>
      </w:r>
      <w:r w:rsidR="00DE3BB0" w:rsidRPr="00A17C97">
        <w:t xml:space="preserve">However, </w:t>
      </w:r>
      <w:r w:rsidR="00385072" w:rsidRPr="00A17C97">
        <w:t xml:space="preserve">effective </w:t>
      </w:r>
      <w:r w:rsidR="000822D8" w:rsidRPr="00A17C97">
        <w:t>strategies</w:t>
      </w:r>
      <w:r w:rsidR="00385072" w:rsidRPr="00A17C97">
        <w:t xml:space="preserve"> to eliminate the </w:t>
      </w:r>
      <w:r w:rsidR="000822D8" w:rsidRPr="00A17C97">
        <w:t>associated</w:t>
      </w:r>
      <w:r w:rsidR="00385072" w:rsidRPr="00A17C97">
        <w:t xml:space="preserve"> loss </w:t>
      </w:r>
      <w:r w:rsidR="000822D8" w:rsidRPr="00A17C97">
        <w:t>mechanisms</w:t>
      </w:r>
      <w:r w:rsidR="00385072" w:rsidRPr="00A17C97">
        <w:t xml:space="preserve"> </w:t>
      </w:r>
      <w:r w:rsidR="00AF1669" w:rsidRPr="00A17C97">
        <w:t>from</w:t>
      </w:r>
      <w:r w:rsidR="00385072" w:rsidRPr="00A17C97">
        <w:t xml:space="preserve"> the initial </w:t>
      </w:r>
      <w:r w:rsidR="000822D8" w:rsidRPr="00A17C97">
        <w:t>stage</w:t>
      </w:r>
      <w:r w:rsidR="00385072" w:rsidRPr="00A17C97">
        <w:t xml:space="preserve"> of device</w:t>
      </w:r>
      <w:r w:rsidR="000822D8" w:rsidRPr="00A17C97">
        <w:t xml:space="preserve"> operation</w:t>
      </w:r>
      <w:r w:rsidR="00852676" w:rsidRPr="00A17C97">
        <w:t xml:space="preserve"> are still lacking</w:t>
      </w:r>
      <w:r w:rsidR="00AF1669" w:rsidRPr="00A17C97">
        <w:t>, especially for high-efficiency material systems</w:t>
      </w:r>
      <w:r w:rsidR="00385072" w:rsidRPr="00A17C97">
        <w:t xml:space="preserve">. </w:t>
      </w:r>
      <w:r w:rsidRPr="00A17C97">
        <w:t xml:space="preserve">Herein, we report the introduction of </w:t>
      </w:r>
      <w:r w:rsidR="00AF1669" w:rsidRPr="00A17C97">
        <w:t xml:space="preserve">molecularly engineered </w:t>
      </w:r>
      <w:r w:rsidRPr="00A17C97">
        <w:t xml:space="preserve">dimer acceptors with </w:t>
      </w:r>
      <w:r w:rsidR="00385072" w:rsidRPr="00A17C97">
        <w:t>adjustable thermal transition properties</w:t>
      </w:r>
      <w:r w:rsidRPr="00A17C97">
        <w:t xml:space="preserve"> into </w:t>
      </w:r>
      <w:r w:rsidR="009C0A8C" w:rsidRPr="00A17C97">
        <w:t xml:space="preserve">the </w:t>
      </w:r>
      <w:r w:rsidRPr="00A17C97">
        <w:t>active layer</w:t>
      </w:r>
      <w:r w:rsidR="00852676" w:rsidRPr="00A17C97">
        <w:t xml:space="preserve"> of OSCs</w:t>
      </w:r>
      <w:r w:rsidRPr="00A17C97">
        <w:t xml:space="preserve"> to serve as supramolecular stabilizers </w:t>
      </w:r>
      <w:r w:rsidR="00AF1669" w:rsidRPr="00A17C97">
        <w:t xml:space="preserve">for regulating </w:t>
      </w:r>
      <w:r w:rsidRPr="00A17C97">
        <w:t xml:space="preserve">the thermal transitions and </w:t>
      </w:r>
      <w:r w:rsidR="00AF1669" w:rsidRPr="00A17C97">
        <w:t xml:space="preserve">optimizing </w:t>
      </w:r>
      <w:r w:rsidRPr="00A17C97">
        <w:t xml:space="preserve">the crystallization of the absorber composites. By establishing intimate π-π interactions with </w:t>
      </w:r>
      <w:r w:rsidR="00AF1669" w:rsidRPr="00A17C97">
        <w:t>small-molecule acceptors</w:t>
      </w:r>
      <w:r w:rsidRPr="00A17C97">
        <w:t>, these stabilizers can effectively reduce the trap-state density (</w:t>
      </w:r>
      <w:r w:rsidRPr="00A17C97">
        <w:rPr>
          <w:i/>
          <w:iCs/>
        </w:rPr>
        <w:t>N</w:t>
      </w:r>
      <w:r w:rsidRPr="00A17C97">
        <w:rPr>
          <w:vertAlign w:val="subscript"/>
        </w:rPr>
        <w:t>t</w:t>
      </w:r>
      <w:r w:rsidRPr="00A17C97">
        <w:t>) in the devices to achieve excellent PCEs</w:t>
      </w:r>
      <w:r w:rsidR="009C0A8C" w:rsidRPr="00A17C97">
        <w:t xml:space="preserve"> </w:t>
      </w:r>
      <w:r w:rsidRPr="00A17C97">
        <w:t xml:space="preserve">over 19%. More importantly, the low </w:t>
      </w:r>
      <w:r w:rsidR="00852676" w:rsidRPr="00A17C97">
        <w:rPr>
          <w:i/>
          <w:iCs/>
        </w:rPr>
        <w:t>N</w:t>
      </w:r>
      <w:r w:rsidR="00852676" w:rsidRPr="00A17C97">
        <w:rPr>
          <w:vertAlign w:val="subscript"/>
        </w:rPr>
        <w:t>t</w:t>
      </w:r>
      <w:r w:rsidRPr="00A17C97">
        <w:t xml:space="preserve"> associated with </w:t>
      </w:r>
      <w:r w:rsidR="00820C6B" w:rsidRPr="00A17C97">
        <w:t xml:space="preserve">an </w:t>
      </w:r>
      <w:r w:rsidRPr="00A17C97">
        <w:t xml:space="preserve">initially optimized morphology can be maintained under external stresses to significantly reduce the PCE burn-in loss in devices. Our research reveals a </w:t>
      </w:r>
      <w:bookmarkStart w:id="4" w:name="_Hlk150728085"/>
      <w:r w:rsidR="009803A6" w:rsidRPr="00A17C97">
        <w:t>judicious</w:t>
      </w:r>
      <w:bookmarkEnd w:id="4"/>
      <w:r w:rsidRPr="00A17C97">
        <w:t xml:space="preserve"> approach to improv</w:t>
      </w:r>
      <w:r w:rsidR="009C0A8C" w:rsidRPr="00A17C97">
        <w:t>ing</w:t>
      </w:r>
      <w:r w:rsidRPr="00A17C97">
        <w:t xml:space="preserve"> OPV stability by establishing a comprehensive correlation between material properties, active</w:t>
      </w:r>
      <w:r w:rsidR="00820C6B" w:rsidRPr="00A17C97">
        <w:t>-</w:t>
      </w:r>
      <w:r w:rsidRPr="00852676">
        <w:t xml:space="preserve">layer morphology, and device performance, for developing burn-in-free OSCs. </w:t>
      </w:r>
    </w:p>
    <w:p w14:paraId="5FE3387A" w14:textId="77777777" w:rsidR="002E0BD3" w:rsidRDefault="002E0BD3" w:rsidP="009F37DC">
      <w:pPr>
        <w:pStyle w:val="Abstract"/>
        <w:ind w:firstLine="0"/>
      </w:pPr>
    </w:p>
    <w:p w14:paraId="5A3410ED" w14:textId="77777777" w:rsidR="009F37DC" w:rsidRDefault="009F37DC" w:rsidP="009F37DC">
      <w:pPr>
        <w:pStyle w:val="Abstract"/>
        <w:ind w:firstLine="0"/>
      </w:pPr>
    </w:p>
    <w:p w14:paraId="5DE1EF1B" w14:textId="77777777" w:rsidR="009F37DC" w:rsidRDefault="009F37DC" w:rsidP="009F37DC">
      <w:pPr>
        <w:pStyle w:val="Abstract"/>
        <w:ind w:firstLine="0"/>
      </w:pPr>
    </w:p>
    <w:p w14:paraId="497D0EB0" w14:textId="77777777" w:rsidR="009F37DC" w:rsidRDefault="009F37DC" w:rsidP="009F37DC">
      <w:pPr>
        <w:pStyle w:val="Abstract"/>
        <w:ind w:firstLine="0"/>
      </w:pPr>
    </w:p>
    <w:p w14:paraId="4540A1A0" w14:textId="77777777" w:rsidR="009F37DC" w:rsidRDefault="009F37DC" w:rsidP="009F37DC">
      <w:pPr>
        <w:pStyle w:val="Abstract"/>
        <w:ind w:firstLine="0"/>
      </w:pPr>
    </w:p>
    <w:p w14:paraId="2603F3F2" w14:textId="77777777" w:rsidR="009F37DC" w:rsidRDefault="009F37DC" w:rsidP="009F37DC">
      <w:pPr>
        <w:pStyle w:val="Abstract"/>
        <w:ind w:firstLine="0"/>
        <w:rPr>
          <w:rFonts w:hint="eastAsia"/>
        </w:rPr>
      </w:pPr>
    </w:p>
    <w:p w14:paraId="37703121" w14:textId="3EC153B2" w:rsidR="002E0BD3" w:rsidRPr="002E0BD3" w:rsidRDefault="002E0BD3" w:rsidP="009C0A8C">
      <w:pPr>
        <w:pStyle w:val="Abstract"/>
        <w:ind w:firstLine="0"/>
      </w:pPr>
      <w:r w:rsidRPr="002E0BD3">
        <w:rPr>
          <w:rFonts w:hint="eastAsia"/>
        </w:rPr>
        <w:lastRenderedPageBreak/>
        <w:t>1</w:t>
      </w:r>
      <w:r w:rsidRPr="002E0BD3">
        <w:t>. Introduction</w:t>
      </w:r>
    </w:p>
    <w:p w14:paraId="256382FA" w14:textId="7E1A5CE0" w:rsidR="002E0BD3" w:rsidRPr="002E0BD3" w:rsidRDefault="002E0BD3" w:rsidP="006960F3">
      <w:pPr>
        <w:spacing w:line="360" w:lineRule="auto"/>
        <w:ind w:firstLine="708"/>
        <w:jc w:val="both"/>
        <w:rPr>
          <w:lang w:val="en-US"/>
        </w:rPr>
      </w:pPr>
      <w:bookmarkStart w:id="5" w:name="_Hlk150762236"/>
      <w:r w:rsidRPr="002E0BD3">
        <w:rPr>
          <w:lang w:val="en-US"/>
        </w:rPr>
        <w:t>With the rapid development of small-molecule non-fullerene acceptors (SMNFAs), the power conversion efficiencies (PCEs) of single-junction organic solar cells (OSCs) have exceeded 19%.</w:t>
      </w:r>
      <w:r w:rsidRPr="002E0BD3">
        <w:rPr>
          <w:lang w:val="en-US"/>
        </w:rPr>
        <w:fldChar w:fldCharType="begin"/>
      </w:r>
      <w:r w:rsidR="00F51B55">
        <w:rPr>
          <w:lang w:val="en-US"/>
        </w:rPr>
        <w:instrText xml:space="preserve"> ADDIN ZOTERO_ITEM CSL_CITATION {"citationID":"oxOWH4oU","properties":{"formattedCitation":"\\super [1\\uc0\\u8211{}5]\\nosupersub{}","plainCitation":"[1–5]","noteIndex":0},"citationItems":[{"id":460,"uris":["http://zotero.org/users/10832941/items/R8SPF6JH"],"itemData":{"id":460,"type":"article-journal","container-title":"Advanced Materials","ISSN":"0935-9648, 1521-4095","journalAbbreviation":"Adv. Mater.","language":"en","note":"titleTranslation:","page":"2301583","source":"DOI.org (Crossref)","title":"Binary Organic Solar Cells with 19.2% Efficiency Enabled by Solid Additive","author":[{"family":"Wang","given":"Jianqiu"},{"family":"Wang","given":"Yafei"},{"family":"Bi","given":"Pengqing"},{"family":"Chen","given":"Zhihao"},{"family":"Qiao","given":"Jiawei"},{"family":"Li","given":"Jiayao"},{"family":"Wang","given":"Wenxuan"},{"family":"Zheng","given":"Zhong"},{"family":"Zhang","given":"Shaoqing"},{"family":"Hao","given":"Xiaotao"},{"family":"Hou","given":"Jianhui"}],"issued":{"date-parts":[["2023",3,25]]}},"label":"page"},{"id":540,"uris":["http://zotero.org/users/10832941/items/QH8IDVCZ"],"itemData":{"id":540,"type":"article-journal","abstract":"Abstract\n            Non-fullerene acceptors based organic solar cells represent the frontier of the field, owing to both the materials and morphology manipulation innovations. Non-radiative recombination loss suppression and performance boosting are in the center of organic solar cell research. Here, we developed a non-monotonic intermediate state manipulation strategy for state-of-the-art organic solar cells by employing 1,3,5-trichlorobenzene as crystallization regulator, which optimizes the film crystallization process, regulates the self-organization of bulk-heterojunction in a non-monotonic manner, i.e., first enhancing and then relaxing the molecular aggregation. As a result, the excessive aggregation of non-fullerene acceptors is avoided and we have achieved efficient organic solar cells with reduced non-radiative recombination loss. In PM6:BTP-eC9 organic solar cell, our strategy successfully offers a record binary organic solar cell efficiency of 19.31% (18.93% certified) with very low non-radiative recombination loss of 0.190 eV. And lower non-radiative recombination loss of 0.168 eV is further achieved in PM1:BTP-eC9 organic solar cell (19.10% efficiency), giving great promise to future organic solar cell research.","container-title":"Nature Communications","ISSN":"2041-1723","issue":"1","journalAbbreviation":"Nat. Commun.","language":"en","page":"1760","source":"DOI.org (Crossref)","title":"19.31% binary organic solar cell and low non-radiative recombination enabled by non-monotonic intermediate state transition","volume":"14","author":[{"family":"Fu","given":"Jiehao"},{"family":"Fong","given":"Patrick W. K."},{"family":"Liu","given":"Heng"},{"family":"Huang","given":"Chieh-Szu"},{"family":"Lu","given":"Xinhui"},{"family":"Lu","given":"Shirong"},{"family":"Abdelsamie","given":"Maged"},{"family":"Kodalle","given":"Tim"},{"family":"Sutter-Fella","given":"Carolin M."},{"family":"Yang","given":"Yang"},{"family":"Li","given":"Gang"}],"issued":{"date-parts":[["2023",3,30]]}},"label":"page"},{"id":1051,"uris":["http://zotero.org/users/10832941/items/ALG677C4"],"itemData":{"id":1051,"type":"article-journa</w:instrText>
      </w:r>
      <w:r w:rsidR="00F51B55">
        <w:rPr>
          <w:rFonts w:hint="eastAsia"/>
          <w:lang w:val="en-US"/>
        </w:rPr>
        <w:instrText>l","container-title":"Advanced Materials","ISSN":"0935-9648, 1521-4095","issue":"32","journalAbbreviation":"Adv. Mater.","language":"en","page":"2202089","source":"DOI.org (Crossref)","title":"Achieving 19% Power Conversion Efficiency in Planar</w:instrText>
      </w:r>
      <w:r w:rsidR="00F51B55">
        <w:rPr>
          <w:rFonts w:hint="eastAsia"/>
          <w:lang w:val="en-US"/>
        </w:rPr>
        <w:instrText>‐</w:instrText>
      </w:r>
      <w:r w:rsidR="00F51B55">
        <w:rPr>
          <w:rFonts w:hint="eastAsia"/>
          <w:lang w:val="en-US"/>
        </w:rPr>
        <w:instrText>Mixed Hete</w:instrText>
      </w:r>
      <w:r w:rsidR="00F51B55">
        <w:rPr>
          <w:lang w:val="en-US"/>
        </w:rPr>
        <w:instrText>rojunction Organic Solar Cells Using a Pseudosymmetric Electron Acceptor","volume":"34","author":[{"family":"Gao","given":"Wei"},{"family":"Qi","given":"Feng"},{"family":"Peng","given":"Zhengxing"},{"family":"Lin","given":"Francis R."},{"family":"Jiang","</w:instrText>
      </w:r>
      <w:r w:rsidR="00F51B55">
        <w:rPr>
          <w:rFonts w:hint="eastAsia"/>
          <w:lang w:val="en-US"/>
        </w:rPr>
        <w:instrText>given":"Kui"},{"family":"Zhong","given":"Cheng"},{"family":"Kaminsky","given":"Werner"},{"family":"Guan","given":"Zhiqiang"},{"family":"Lee","given":"Chun</w:instrText>
      </w:r>
      <w:r w:rsidR="00F51B55">
        <w:rPr>
          <w:rFonts w:hint="eastAsia"/>
          <w:lang w:val="en-US"/>
        </w:rPr>
        <w:instrText>‐</w:instrText>
      </w:r>
      <w:r w:rsidR="00F51B55">
        <w:rPr>
          <w:rFonts w:hint="eastAsia"/>
          <w:lang w:val="en-US"/>
        </w:rPr>
        <w:instrText>Sing"},{"family":"Marks","given":"Tobin J."},{"family":"Ade","given":"Harald"},{"family":"Jen","given":"Alex K.</w:instrText>
      </w:r>
      <w:r w:rsidR="00F51B55">
        <w:rPr>
          <w:rFonts w:hint="eastAsia"/>
          <w:lang w:val="en-US"/>
        </w:rPr>
        <w:instrText>‐</w:instrText>
      </w:r>
      <w:r w:rsidR="00F51B55">
        <w:rPr>
          <w:rFonts w:hint="eastAsia"/>
          <w:lang w:val="en-US"/>
        </w:rPr>
        <w:instrText>Y."}],"issued":{"date-parts":[["2022",8]]}},"label":"page"},{"id":33,"uris":["http://zotero.org/users/10832941/items/AHPSGRSD"],"itemData":{"id":33,"type":"article-journal","container-title":"Nature Energy","ISSN":"2058-7546","issue":"11","jou</w:instrText>
      </w:r>
      <w:r w:rsidR="00F51B55">
        <w:rPr>
          <w:lang w:val="en-US"/>
        </w:rPr>
        <w:instrText>rnalAbbreviation":"Nat. Energy","language":"en","page":"1076-1086","source":"DOI.org (Crossref)","title":"Suppressed recombination loss in organic photovoltaics adopting a planar–mixed heterojunction architecture","volume":"7","author":[{"family":"Jiang","given":"Kui"},{"family":"Zhang","given":"Jie"},{"family":"Zhong","given":"Cheng"},{"family":"Lin","given":"Francis R."},{"family":"Qi","given":"Feng"},{"family":"Li","given":"Qian"},{"family":"Peng","given":"Zhengxing"},{"family":"Kaminsky","given":"Werner"},{"family":"Jang","given":"Sei-Hum"},{"family":"Yu","given":"Jianwei"},{"family":"Deng","given":"Xiang"},{"family":"Hu","given":"Huawei"},{"family":"Shen","given":"Dong"},{"family":"Gao","given":"Feng"},{"family":"Ade","given":"Harald"},{"family":"Xiao","given":"Min"},{"family":"Zhang","given":"Chunfeng"},{"family":"Jen","given":"Alex K.-Y."}],"issued":{"date-parts":[["2022",11,14]]}},"label":"page"},{"id":1484,"uris":["http://zotero.org/users/10832941/items/R6CTLCJM"],"itemData":{"id":1484,"type":"article-journal","container-title":"Angewandte Chemie International Edition","ISSN":"1433-7851, 1521-3773","issue":"36","journalAbbreviation":"Angew Chem. Int. Ed.","language":"en","page":"e202308307","source":"DOI.org (Crossref)","title":"Unidirectional Si</w:instrText>
      </w:r>
      <w:r w:rsidR="00F51B55">
        <w:rPr>
          <w:rFonts w:hint="eastAsia"/>
          <w:lang w:val="en-US"/>
        </w:rPr>
        <w:instrText>dechain Engineering to Construct Dual</w:instrText>
      </w:r>
      <w:r w:rsidR="00F51B55">
        <w:rPr>
          <w:rFonts w:hint="eastAsia"/>
          <w:lang w:val="en-US"/>
        </w:rPr>
        <w:instrText>‐</w:instrText>
      </w:r>
      <w:r w:rsidR="00F51B55">
        <w:rPr>
          <w:rFonts w:hint="eastAsia"/>
          <w:lang w:val="en-US"/>
        </w:rPr>
        <w:instrText>Asymmetric Acceptors for 19.23 % Efficiency Organic Solar Cells with Low Energy Loss and Efficient Charge Transfer","volume":"62","author":[{"family":"Fan","given":"Qunping"},{"family":"Ma","given":"Ruijie"},{"family"</w:instrText>
      </w:r>
      <w:r w:rsidR="00F51B55">
        <w:rPr>
          <w:lang w:val="en-US"/>
        </w:rPr>
        <w:instrText xml:space="preserve">:"Yang","given":"Jie"},{"family":"Gao","given":"Jingshun"},{"family":"Bai","given":"Hairui"},{"family":"Su","given":"Wenyan"},{"family":"Liang","given":"Zezhou"},{"family":"Wu","given":"Yue"},{"family":"Tang","given":"Lingxiao"},{"family":"Li","given":"Yuxiang"},{"family":"Wu","given":"Qiang"},{"family":"Wang","given":"Kun"},{"family":"Yan","given":"Lihe"},{"family":"Zhang","given":"Rui"},{"family":"Gao","given":"Feng"},{"family":"Li","given":"Gang"},{"family":"Ma","given":"Wei"}],"issued":{"date-parts":[["2023",9,4]]}},"label":"page"}],"schema":"https://github.com/citation-style-language/schema/raw/master/csl-citation.json"} </w:instrText>
      </w:r>
      <w:r w:rsidRPr="002E0BD3">
        <w:rPr>
          <w:lang w:val="en-US"/>
        </w:rPr>
        <w:fldChar w:fldCharType="separate"/>
      </w:r>
      <w:r w:rsidR="00F51B55" w:rsidRPr="00F51B55">
        <w:rPr>
          <w:vertAlign w:val="superscript"/>
        </w:rPr>
        <w:t>[1–5]</w:t>
      </w:r>
      <w:r w:rsidRPr="002E0BD3">
        <w:rPr>
          <w:lang w:val="en-US"/>
        </w:rPr>
        <w:fldChar w:fldCharType="end"/>
      </w:r>
      <w:r w:rsidRPr="002E0BD3">
        <w:rPr>
          <w:lang w:val="en-US"/>
        </w:rPr>
        <w:t xml:space="preserve"> However, state-of-the-art OSCs adopt</w:t>
      </w:r>
      <w:r w:rsidR="00155C63">
        <w:rPr>
          <w:lang w:val="en-US"/>
        </w:rPr>
        <w:t>ing</w:t>
      </w:r>
      <w:r w:rsidRPr="002E0BD3">
        <w:rPr>
          <w:lang w:val="en-US"/>
        </w:rPr>
        <w:t xml:space="preserve"> the bulk-</w:t>
      </w:r>
      <w:r w:rsidR="00A104C6" w:rsidRPr="002E0BD3">
        <w:rPr>
          <w:lang w:val="en-US"/>
        </w:rPr>
        <w:t>heterojunction</w:t>
      </w:r>
      <w:r w:rsidRPr="002E0BD3">
        <w:rPr>
          <w:lang w:val="en-US"/>
        </w:rPr>
        <w:t xml:space="preserve"> blend of polymer donors and SMNFAs often suffer </w:t>
      </w:r>
      <w:r w:rsidR="00AF1669">
        <w:rPr>
          <w:lang w:val="en-US"/>
        </w:rPr>
        <w:t xml:space="preserve">from </w:t>
      </w:r>
      <w:r w:rsidRPr="002E0BD3">
        <w:rPr>
          <w:lang w:val="en-US"/>
        </w:rPr>
        <w:t xml:space="preserve">severe PCE burn-in loss even when operated under </w:t>
      </w:r>
      <w:r w:rsidR="00AF1669">
        <w:rPr>
          <w:lang w:val="en-US"/>
        </w:rPr>
        <w:t>an</w:t>
      </w:r>
      <w:r w:rsidR="00AF1669" w:rsidRPr="002E0BD3">
        <w:rPr>
          <w:lang w:val="en-US"/>
        </w:rPr>
        <w:t xml:space="preserve"> </w:t>
      </w:r>
      <w:r w:rsidRPr="00A17C97">
        <w:rPr>
          <w:lang w:val="en-US"/>
        </w:rPr>
        <w:t>inert atmosphere</w:t>
      </w:r>
      <w:r w:rsidR="00AF1669" w:rsidRPr="00A17C97">
        <w:rPr>
          <w:lang w:val="en-US"/>
        </w:rPr>
        <w:t>,</w:t>
      </w:r>
      <w:r w:rsidRPr="00A17C97">
        <w:rPr>
          <w:lang w:val="en-US"/>
        </w:rPr>
        <w:t xml:space="preserve"> showing irreversible</w:t>
      </w:r>
      <w:r w:rsidR="00AF1669" w:rsidRPr="00A17C97">
        <w:rPr>
          <w:lang w:val="en-US"/>
        </w:rPr>
        <w:t xml:space="preserve"> and</w:t>
      </w:r>
      <w:r w:rsidRPr="00A17C97">
        <w:rPr>
          <w:lang w:val="en-US"/>
        </w:rPr>
        <w:t xml:space="preserve"> sharp decay in the beginning of device operation before stabilizing.</w:t>
      </w:r>
      <w:r w:rsidRPr="00A17C97">
        <w:rPr>
          <w:lang w:val="en-US"/>
        </w:rPr>
        <w:fldChar w:fldCharType="begin"/>
      </w:r>
      <w:r w:rsidR="00F51B55" w:rsidRPr="00A17C97">
        <w:rPr>
          <w:lang w:val="en-US"/>
        </w:rPr>
        <w:instrText xml:space="preserve"> ADDIN ZOTERO_ITEM CSL_CITATION {"citationID":"dHCHWoQ0","properties":{"formattedCitation":"\\super [6\\uc0\\u8211{}10]\\nosupersub{}","plainCitation":"[6–10]","noteIndex":0},"citationItems":[{"id":1200,"uris":["http://zotero.org/users/10832941/items/BSAD7A8P"],"itemData":{"id":1200,"type":"article-journal","container-title":"Advanced Materials","ISSN":"09359648","issue":"34","journalAbbreviation":"Adv. Mater.","language":"en","page":"3839-3856","source":"DOI.org (Crossref)","title":"Polymer-Fullerene Bulk-Heterojunction Solar Cells","volume":"22","author":[{"family":"Brabec","given":"Christoph J."},{"family":"Gowrisanker","given":"Srinivas"},{"family":"Halls","given":"Jonathan J. M."},{"family":"Laird","given":"Darin"},{"family":"Jia","given":"Shijun"},{"family":"Williams","given":"Shawn P."}],"issued":{"date-parts":[["2010",9,8]]}},"label":"page"},{"id":71,"uris":["http://zotero.org/users/10832941/items/ZVF7XF6P"],"itemData":{"id":71,"type":"article-journal","container-title":"Advanced Materials","ISSN":"09359648","issue":"5","journalAbbreviation":"Adv. Mater.","language":"en","page":"663-668","source":"DOI.org (Crossref)","title":"The Mechanism of Burn-in Loss in a High Efficiency Polymer Solar Cell","volume":"24","author":[{"family":"Peters","given":"Craig H."},{"family":"Sachs-Quintana","given":"I. T."},{"family":"Mateker","given":"William R."},{"family":"Heumueller","given":"Thomas"},{"family":"Rivnay","given":"Jonathan"},{"family":"Noriega","given":"Rodigo"},{"family":"Beiley","given":"Zach M."},{"family":"Hoke","given":"Eric T."},{"family":"Salleo","given":"Alberto"},{"family":"McGehee","given":"Michael D."}],"issued":{"date-parts":[["2012",2,2]]}},"label":"page"},{"id":1198,"uris":["http://zotero.org/users/10832941/items/RF2JR4Q2"],"itemData":{"id":1198,"type":"article-journal","container-title":"Advanced Energy Materials","ISSN":"16146832","issue":"4","journalAbbreviation":"Adv. Energy Mater.","language":"en","page":"491-494","source":"DOI.org (Crossref)","title":"High Efficiency Polymer Solar Cells with Long Operating Lifetimes","volume":"1","author":[{"family":"Peters","given":"Craig H."},{"family":"Sachs-Quintana","given":"I. T."},{"family":"Kastrop","given":"John P."},{"family":"Beaupré","given":"Serge"},{"family":"Leclerc","given":"Mario"},{"family":"McGehee","given":"Michael D."}],"issued":{"date-parts":[["2011",7]]}},"label":"page"},{"id":1196,"uris":["http://zotero.org/users/10832941/items/AG2NMGWK"],"itemData":{"id":1196,"type":"article-journal","container-title":"Advanced Materials","ISSN":"09359648","issue":"5","journalAbbreviation":"Adv. Mater.","language":"en","page":"580-612","source":"DOI.org (Crossref)","title":"Stability of Polymer Solar Cells","volume":"24","author":[{"family":"Jørgensen","given":"Mikkel"},{"family":"Norrman","given":"Kion"},{"family":"Gevorgyan","given":"Suren A."},{"family":"Tromholt","given":"Thomas"},{"family":"Andreasen","given":"Birgitta"},{"family":"Krebs","given":"Frederik C."}],"issued":{"date-parts":[["2012",2,2]]}},"label":"page"},{"id":1202,"uris":["http://zotero.org/users/10832941/items/THXP4CKS"],"itemData":{"id":1202,"type":"article-journal","container-title":"Advanced Energy Materials","ISSN":"16146832","issue":"11","journalAbbreviation":"Adv. Energy Mater.","language":"en","page":"1351-1357","source":"DOI.org (Crossref)","title":"The Role of Electron Affinity in Determining Whether Fullerenes Catalyze or Inhibit Photooxidation of Polymers for Solar Cells","volume":"2","author":[{"family":"Hoke","given":"Eric T."},{"family":"Sachs-Quintana","given":"I. T."},{"family":"Lloyd","given":"Matthew T."},{"family":"Kauvar","given":"Isaac"},{"family":"Mateker","given":"William R."},{"family":"Nardes","given":"Alexandre M."},{"family":"Peters","given":"Craig H."},{"family":"Kopidakis","given":"Nikos"},{"family":"McGehee","given":"Michael D."}],"issued":{"date-parts":[["2012",11]]}},"label":"page"}],"schema":"https://github.com/citation-style-language/schema/raw/master/csl-citation.json"} </w:instrText>
      </w:r>
      <w:r w:rsidRPr="00A17C97">
        <w:rPr>
          <w:lang w:val="en-US"/>
        </w:rPr>
        <w:fldChar w:fldCharType="separate"/>
      </w:r>
      <w:r w:rsidR="00F51B55" w:rsidRPr="00A17C97">
        <w:rPr>
          <w:vertAlign w:val="superscript"/>
        </w:rPr>
        <w:t>[6–10]</w:t>
      </w:r>
      <w:r w:rsidRPr="00A17C97">
        <w:rPr>
          <w:lang w:val="en-US"/>
        </w:rPr>
        <w:fldChar w:fldCharType="end"/>
      </w:r>
      <w:r w:rsidRPr="00A17C97">
        <w:rPr>
          <w:lang w:val="en-US"/>
        </w:rPr>
        <w:t xml:space="preserve"> </w:t>
      </w:r>
      <w:r w:rsidR="00AF1669" w:rsidRPr="00A17C97">
        <w:rPr>
          <w:lang w:val="en-US"/>
        </w:rPr>
        <w:t>This stems from the meta-stable morphology of OSC absorbers, especially the high-perfor</w:t>
      </w:r>
      <w:r w:rsidR="00820C6B" w:rsidRPr="00A17C97">
        <w:rPr>
          <w:lang w:val="en-US"/>
        </w:rPr>
        <w:t>mance</w:t>
      </w:r>
      <w:r w:rsidR="00AF1669" w:rsidRPr="00A17C97">
        <w:rPr>
          <w:lang w:val="en-US"/>
        </w:rPr>
        <w:t xml:space="preserve"> multi-component systems, which are extremely sensitive to external stresses</w:t>
      </w:r>
      <w:r w:rsidR="002F0B86" w:rsidRPr="00A17C97">
        <w:rPr>
          <w:lang w:val="en-US"/>
        </w:rPr>
        <w:t xml:space="preserve"> under operation</w:t>
      </w:r>
      <w:r w:rsidRPr="00A17C97">
        <w:rPr>
          <w:lang w:val="en-US"/>
        </w:rPr>
        <w:t>.</w:t>
      </w:r>
      <w:r w:rsidRPr="00A17C97">
        <w:rPr>
          <w:lang w:val="en-US"/>
        </w:rPr>
        <w:fldChar w:fldCharType="begin"/>
      </w:r>
      <w:r w:rsidR="00F51B55" w:rsidRPr="00A17C97">
        <w:rPr>
          <w:lang w:val="en-US"/>
        </w:rPr>
        <w:instrText xml:space="preserve"> ADDIN ZOTERO_ITEM CSL_CITATION {"citationID":"WhQDPULw","properties":{"formattedCitation":"\\super [11\\uc0\\u8211{}15]\\nosupersub{}","plainCitation":"[11–15]","noteIndex":0},"citationItems":[{"id":1204,"uris":["http://zotero.org/users/10832941/items/BM9FLP4H"],"itemData":{"id":1204,"type":"article-journal","container-title":"Solar Energy Materials and Solar Cells","ISSN":"09270248","journalAbbreviation":"Sol. Energy Mater. Sol. Cells","language":"en","page":"116-123","source":"DOI.org (Crossref)","title":"Intrinsic burn-in efficiency loss of small-molecule organic photovoltaic cells due to exciton-induced trap formation","volume":"118","author":[{"family":"Tong","given":"Xiaoran"},{"family":"Wang","given":"Nana"},{"family":"Slootsky","given":"Michael"},{"family":"Yu","given":"Junsheng"},{"family":"Forrest","given":"Stephen R."}],"issued":{"date-parts":[["2013",11]]}},"label":"page"},{"id":1206,"uris":["http://zotero.org/users/10832941/items/5J842X3T"],"itemData":{"id":1206,"type":"article-journal","abstract":"Light induced traps in the bulk of organic solar cells are correlated with\n              V\n              oc\n              losses and those losses are reduced by a high degree of polymer crystallinity.\n            \n          , \n            In order to commercialize polymer solar cells, the fast initial performance losses present in many high efficiency materials will have to be managed. This burn-in degradation is caused by light-induced traps and its characteristics depend on which polymer is used. We show that the light-induced traps are in the bulk of the active layer and we find a direct correlation between their presence and the open-circuit voltage loss in devices made with amorphous polymers. Solar cells made with crystalline polymers do not show characteristic open circuit voltage losses, even though light-induced traps are also present in these devices. This indicates that crystalline materials are more resistant against the influence of traps on device performance. Recent work on crystalline materials has shown there is an energetic driving force for charge carriers to leave amorphous, mixed regions of bulk heterojunctions, and charges are dominantly transported in pure, ordered phases. This energetic landscape allows efficient charge generation as well as extraction and also may benefit the stability against light-induced traps.","container-title":"Energy Environ. Sci.","ISSN":"1754-5692, 1754-5706","issue":"9","journalAbbreviation":"Energy Environ. Sci.","language":"en","page":"2974-2980","source":"DOI.org (Crossref)","title":"Reducing burn-in voltage loss in polymer solar cells by increasing the polymer crystallinity","volume":"7","author":[{"family":"Heumueller","given":"Thomas"},{"family":"Mateker","given":"William R."},{"family":"Sachs-Quintana","given":"I. T."},{"family":"Vandewal","given":"Koen"},{"family":"Bartelt","given":"Jonathan A."},{"family":"Burke","given":"Timothy M."},{"family":"Ameri","given":"Tayebeh"},{"family":"Brabec","given":"Christoph J."},{"family":"McGehee","given":"Michael D."}],"issued":{"date-parts":[["2014"]]}},"label":"page"},{"id":1209,"uris":["http://zotero.org/users/10832941/items/D7SKA3T2"],"itemData":{"id":1209,"type":"article-journal","container-title":"Nature","ISSN":"0028-0836, 1476-4687","issue":"7774","journalAbbreviation":"Nature","language":"en","page":"394-397","source":"DOI.org (Crossref)","title":"Intrinsically stable organic solar cells under high-intensity illumination","volume":"573","author":[{"family":"Burlingame","given":"Quinn"},{"family":"Huang","given":"Xiaheng"},{"family":"Liu","given":"Xiao"},{"family":"Jeong","given":"Changyeong"},{"family":"Coburn","given":"Caleb"},{"family":"Forrest","given":"Stephen R."}],"issued":{"date-parts":[["2019",9,19]]}},"label":"page"},{"id":1213,"uris":["http://zotero.org/users/10832941/items/3UHI4GDA"],"itemData":{"id":1213,"type":"article-journal","abstract":"This review highlights the opportunities and challenges in stability of organic solar cells arising from the emergence of non-fullerene acceptors.\n          , \n            The recent emergence of non-fullerene small molecule acceptors has reinvigorated the field of organic solar cells, already resulting in significant breakthroughs in their power conversion efficiency and discovery of remarkable new science. The stability and degradation of this class of materials and devices, on the other hand, has to date received relatively less attention. Herein, we present a critical review into the fundamentally different degradation mechanisms of non-fullerene acceptors compared to fullerene acceptors, as well as the very different roles they play upon the charge carrier generation and recombination kinetics and the resulting solar cell stability. We highlight in particular the prospect of the emergence of non-fullerene acceptors in addressing several major degradation mechanisms related to the use of fullerene acceptors, in conjunction with a number of unique degradation mechanisms that only exist in non-fullerene acceptors, which would provide an important guideline for further developments toward achieving long-term stability of organic solar cells.","container-title":"Journal of Materials Chemistry A","ISSN":"2050-7488, 2050-7496","issue":"41","journalAbbreviation":"J. Mater. Chem. A","language":"en","page":"23361-23377","source":"DOI.org (Crossref)","title":"From fullerene acceptors to non-fullerene acceptors: prospects and challenges in the stability of organic solar cells","title-short":"From fullerene acceptors to non-fullerene acceptors","volume":"7","author":[{"family":"Speller","given":"Emily M."},{"family":"Clarke","given":"Andrew J."},{"family":"Luke","given":"Joel"},{"family":"Lee","given":"Harrison Ka Hin"},{"family":"Durrant","given":"James R."},{"family":"Li","given":"Ning"},{"family":"Wang","given":"Tao"},{"family":"Wong","given":"Him Cheng"},{"family":"Kim","given":"Ji-Seon"},{"family":"Tsoi","given":"Wing Chung"},{"family":"Li","given":"Zhe"}],"issued":{"date-parts":[["2019"]]}},"label":"page"},{"id":1211,"uris":["http://zotero.org/users/10832941/items/ATKYG4FD"],"itemData":{"id":1211,"type":"article-journal","abstract":"Phase stabilizers identified from a top-down strategy overcome microstructure instability of organic solar cells induced by thermal or photo stress.\n          , \n            The operational stability of organic solar cells (OSCs) is the essential barrier to commercialization. Compared to thermally-induced degradation, photo-stability of OSCs is far away from being resolved. Here, we demonstrate that the thermal- and photo-degradation of metastable bulk-heterojunction OSCs are governed by the same mechanism. Understanding the fundamental principles behind this mechanism is of significant importance to fully address the instability issues. Structural incompatibilities between the donor and acceptor molecules are identified as the main origin of the instability. Further, we introduce a top-down approach mainly based on their melting temperature and interaction parameters to rationally screen molecular phase stabilizers from a database with more than 10 000 small molecules. Eventually, five chemicals were selected to validate our concept and tested in unstable organic solar cells. 1,4-Piperazine, which possesses a high melting point, good miscibility with polymers and the capability of forming inter-molecular hydrogen bonding, can indeed stabilize the mixed amorphous phases, leading to significantly improved stability of otherwise metastable OSCs.","container-title":"Energy &amp; Environmental Science","ISSN":"1754-5692, 1754-5706","issue":"3","journalAbbreviation":"Energy Environ. Sci.","language":"en","page":"1078-1087","source":"DOI.org (Crossref)","title":"A top-down strategy identifying molecular phase stabilizers to overcome microstructure instabilities in organic solar cells","volume":"12","author":[{"family":"Zhang","given":"Chaohong"},{"family":"Heumueller","given":"Thomas"},{"family":"Leon","given":"Salvador"},{"family":"Gruber","given":"Wolfgang"},{"family":"Burlafinger","given":"Klaus"},{"family":"Tang","given":"Xiaofeng"},{"family":"Perea","given":"Jose D."},{"family":"Wabra","given":"Isabell"},{"family":"Hirsch","given":"Andreas"},{"family":"Unruh","given":"Tobias"},{"family":"Li","given":"Ning"},{"family":"Brabec","given":"Christoph J."}],"issued":{"date-parts":[["2019"]]}},"label":"page"}],"schema":"https://github.com/citation-style-language/schema/raw/master/csl-citation.json"} </w:instrText>
      </w:r>
      <w:r w:rsidRPr="00A17C97">
        <w:rPr>
          <w:lang w:val="en-US"/>
        </w:rPr>
        <w:fldChar w:fldCharType="separate"/>
      </w:r>
      <w:r w:rsidR="00F51B55" w:rsidRPr="00A17C97">
        <w:rPr>
          <w:vertAlign w:val="superscript"/>
        </w:rPr>
        <w:t>[11–15]</w:t>
      </w:r>
      <w:r w:rsidRPr="00A17C97">
        <w:rPr>
          <w:lang w:val="en-US"/>
        </w:rPr>
        <w:fldChar w:fldCharType="end"/>
      </w:r>
      <w:r w:rsidRPr="00A17C97">
        <w:rPr>
          <w:lang w:val="en-US"/>
        </w:rPr>
        <w:t xml:space="preserve"> This poses a major limitation for OSCs to compete with other photovoltaic technologies without such</w:t>
      </w:r>
      <w:r w:rsidR="00820C6B" w:rsidRPr="00A17C97">
        <w:rPr>
          <w:lang w:val="en-US"/>
        </w:rPr>
        <w:t xml:space="preserve"> a</w:t>
      </w:r>
      <w:r w:rsidRPr="00A17C97">
        <w:rPr>
          <w:lang w:val="en-US"/>
        </w:rPr>
        <w:t xml:space="preserve"> burn-in loss feature, such as silicon, GaAs, and perovskites.</w:t>
      </w:r>
      <w:r w:rsidRPr="002E0BD3">
        <w:rPr>
          <w:lang w:val="en-US"/>
        </w:rPr>
        <w:t xml:space="preserve"> </w:t>
      </w:r>
    </w:p>
    <w:p w14:paraId="75A46830" w14:textId="5420FEE6" w:rsidR="002E0BD3" w:rsidRPr="00A17C97" w:rsidRDefault="002E0BD3" w:rsidP="006960F3">
      <w:pPr>
        <w:spacing w:line="360" w:lineRule="auto"/>
        <w:ind w:firstLine="708"/>
        <w:jc w:val="both"/>
        <w:rPr>
          <w:lang w:val="en-US"/>
        </w:rPr>
      </w:pPr>
      <w:r w:rsidRPr="00A17C97">
        <w:rPr>
          <w:lang w:val="en-US"/>
        </w:rPr>
        <w:t>The</w:t>
      </w:r>
      <w:r w:rsidR="002F0B86" w:rsidRPr="00A17C97">
        <w:rPr>
          <w:lang w:val="en-US"/>
        </w:rPr>
        <w:t xml:space="preserve"> earliest</w:t>
      </w:r>
      <w:r w:rsidRPr="00A17C97">
        <w:rPr>
          <w:lang w:val="en-US"/>
        </w:rPr>
        <w:t xml:space="preserve"> rationale behind using </w:t>
      </w:r>
      <w:r w:rsidR="00820C6B" w:rsidRPr="00A17C97">
        <w:rPr>
          <w:lang w:val="en-US"/>
        </w:rPr>
        <w:t xml:space="preserve">a </w:t>
      </w:r>
      <w:r w:rsidRPr="00A17C97">
        <w:rPr>
          <w:lang w:val="en-US"/>
        </w:rPr>
        <w:t>multi-component active layer in OSC</w:t>
      </w:r>
      <w:r w:rsidRPr="00A17C97">
        <w:rPr>
          <w:lang w:val="en-US"/>
        </w:rPr>
        <w:fldChar w:fldCharType="begin"/>
      </w:r>
      <w:r w:rsidR="00F51B55" w:rsidRPr="00A17C97">
        <w:rPr>
          <w:lang w:val="en-US"/>
        </w:rPr>
        <w:instrText xml:space="preserve"> ADDIN ZOTERO_ITEM CSL_CITATION {"citationID":"vtPvfaAO","properties":{"formattedCitation":"\\super [16]\\nosupersub{}","plainCitation":"[16]","noteIndex":0},"citationItems":[{"id":916,"uris":["http://zotero.org/users/10832941/items/AI5P5XDA"],"itemData":{"id":916,"type":"article-journal","container-title":"Science","ISSN":"0036-8075, 1095-9203","issue":"5243","journalAbbreviation":"Science","language":"en","page":"1789-1791","source":"DOI.org (Crossref)","title":"Polymer Photovoltaic Cells: Enhanced Efficiencies via a Network of Internal Donor-Acceptor Heterojunctions","title-short":"Polymer Photovoltaic Cells","volume":"270","author":[{"family":"Yu","given":"G."},{"family":"Gao","given":"J."},{"family":"Hummelen","given":"J. C."},{"family":"Wudl","given":"F."},{"family":"Heeger","given":"A. J."}],"issued":{"date-parts":[["1995",12,15]]}}}],"schema":"https://github.com/citation-style-language/schema/raw/master/csl-citation.json"} </w:instrText>
      </w:r>
      <w:r w:rsidRPr="00A17C97">
        <w:rPr>
          <w:lang w:val="en-US"/>
        </w:rPr>
        <w:fldChar w:fldCharType="separate"/>
      </w:r>
      <w:r w:rsidR="00F51B55" w:rsidRPr="00A17C97">
        <w:rPr>
          <w:vertAlign w:val="superscript"/>
        </w:rPr>
        <w:t>[16]</w:t>
      </w:r>
      <w:r w:rsidRPr="00A17C97">
        <w:rPr>
          <w:lang w:val="en-US"/>
        </w:rPr>
        <w:fldChar w:fldCharType="end"/>
      </w:r>
      <w:r w:rsidRPr="00A17C97">
        <w:rPr>
          <w:lang w:val="en-US"/>
        </w:rPr>
        <w:t xml:space="preserve"> is </w:t>
      </w:r>
      <w:r w:rsidR="00820C6B" w:rsidRPr="00A17C97">
        <w:rPr>
          <w:lang w:val="en-US"/>
        </w:rPr>
        <w:t>motivated by</w:t>
      </w:r>
      <w:r w:rsidRPr="00A17C97">
        <w:rPr>
          <w:lang w:val="en-US"/>
        </w:rPr>
        <w:t xml:space="preserve"> the need to use materials with different electron affinities to ensure efficient exciton dissociation and charge transport. </w:t>
      </w:r>
      <w:r w:rsidR="00820C6B" w:rsidRPr="00A17C97">
        <w:rPr>
          <w:lang w:val="en-US"/>
        </w:rPr>
        <w:t>However, t</w:t>
      </w:r>
      <w:r w:rsidRPr="00A17C97">
        <w:rPr>
          <w:lang w:val="en-US"/>
        </w:rPr>
        <w:t xml:space="preserve">his </w:t>
      </w:r>
      <w:r w:rsidR="00820C6B" w:rsidRPr="00A17C97">
        <w:rPr>
          <w:lang w:val="en-US"/>
        </w:rPr>
        <w:t xml:space="preserve">approach </w:t>
      </w:r>
      <w:r w:rsidRPr="00A17C97">
        <w:rPr>
          <w:lang w:val="en-US"/>
        </w:rPr>
        <w:t>creates issues concerning the miscibility between different materials to undermine OPV stability.</w:t>
      </w:r>
      <w:r w:rsidRPr="00A17C97">
        <w:rPr>
          <w:lang w:val="en-US"/>
        </w:rPr>
        <w:fldChar w:fldCharType="begin"/>
      </w:r>
      <w:r w:rsidR="00F51B55" w:rsidRPr="00A17C97">
        <w:rPr>
          <w:lang w:val="en-US"/>
        </w:rPr>
        <w:instrText xml:space="preserve"> ADDIN ZOTERO_ITEM CSL_CITATION {"citationID":"Z1Q8FWX3","properties":{"formattedCitation":"\\super [17]\\nosupersub{}","plainCitation":"[17]","noteIndex":0},"citationItems":[{"id":1220,"uris":["http://zotero.org/users/10832941/items/CKTM3GP4"],"itemData":{"id":1220,"type":"article-journal","container-title":"Nature Materials","ISSN":"1476-1122, 1476-4660","issue":"4","journalAbbreviation":"Nat. Mater.","language":"en","page":"525-532","source":"DOI.org (Crossref)","title":"A molecular interaction–diffusion framework for predicting organic solar cell stability","volume":"20","author":[{"family":"Ghasemi","given":"Masoud"},{"family":"Balar","given":"Nrup"},{"family":"Peng","given":"Zhengxing"},{"family":"Hu","given":"Huawei"},{"family":"Qin","given":"Yunpeng"},{"family":"Kim","given":"Taesoo"},{"family":"Rech","given":"Jeromy J."},{"family":"Bidwell","given":"Matthew"},{"family":"Mask","given":"Walker"},{"family":"McCulloch","given":"Iain"},{"family":"You","given":"Wei"},{"family":"Amassian","given":"Aram"},{"family":"Risko","given":"Chad"},{"family":"O’Connor","given":"Brendan T."},{"family":"Ade","given":"Harald"}],"issued":{"date-parts":[["2021",4]]}}}],"schema":"https://github.com/citation-style-language/schema/raw/master/csl-citation.json"} </w:instrText>
      </w:r>
      <w:r w:rsidRPr="00A17C97">
        <w:rPr>
          <w:lang w:val="en-US"/>
        </w:rPr>
        <w:fldChar w:fldCharType="separate"/>
      </w:r>
      <w:r w:rsidR="00F51B55" w:rsidRPr="00A17C97">
        <w:rPr>
          <w:vertAlign w:val="superscript"/>
        </w:rPr>
        <w:t>[17]</w:t>
      </w:r>
      <w:r w:rsidRPr="00A17C97">
        <w:rPr>
          <w:lang w:val="en-US"/>
        </w:rPr>
        <w:fldChar w:fldCharType="end"/>
      </w:r>
      <w:r w:rsidRPr="00A17C97">
        <w:rPr>
          <w:lang w:val="en-US"/>
        </w:rPr>
        <w:t xml:space="preserve"> Recent research has demonstrated that the morphological evolution driven by thermal stress</w:t>
      </w:r>
      <w:r w:rsidRPr="00A17C97">
        <w:rPr>
          <w:lang w:val="en-US"/>
        </w:rPr>
        <w:fldChar w:fldCharType="begin"/>
      </w:r>
      <w:r w:rsidR="00F51B55" w:rsidRPr="00A17C97">
        <w:rPr>
          <w:lang w:val="en-US"/>
        </w:rPr>
        <w:instrText xml:space="preserve"> ADDIN ZOTERO_ITEM CSL_CITATION {"citationID":"SQvpcScU","properties":{"formattedCitation":"\\super [17]\\nosupersub{}","plainCitation":"[17]","noteIndex":0},"citationItems":[{"id":1220,"uris":["http://zotero.org/users/10832941/items/CKTM3GP4"],"itemData":{"id":1220,"type":"article-journal","container-title":"Nature Materials","ISSN":"1476-1122, 1476-4660","issue":"4","journalAbbreviation":"Nat. Mater.","language":"en","page":"525-532","source":"DOI.org (Crossref)","title":"A molecular interaction–diffusion framework for predicting organic solar cell stability","volume":"20","author":[{"family":"Ghasemi","given":"Masoud"},{"family":"Balar","given":"Nrup"},{"family":"Peng","given":"Zhengxing"},{"family":"Hu","given":"Huawei"},{"family":"Qin","given":"Yunpeng"},{"family":"Kim","given":"Taesoo"},{"family":"Rech","given":"Jeromy J."},{"family":"Bidwell","given":"Matthew"},{"family":"Mask","given":"Walker"},{"family":"McCulloch","given":"Iain"},{"family":"You","given":"Wei"},{"family":"Amassian","given":"Aram"},{"family":"Risko","given":"Chad"},{"family":"O’Connor","given":"Brendan T."},{"family":"Ade","given":"Harald"}],"issued":{"date-parts":[["2021",4]]}}}],"schema":"https://github.com/citation-style-language/schema/raw/master/csl-citation.json"} </w:instrText>
      </w:r>
      <w:r w:rsidRPr="00A17C97">
        <w:rPr>
          <w:lang w:val="en-US"/>
        </w:rPr>
        <w:fldChar w:fldCharType="separate"/>
      </w:r>
      <w:r w:rsidR="00F51B55" w:rsidRPr="00A17C97">
        <w:rPr>
          <w:vertAlign w:val="superscript"/>
        </w:rPr>
        <w:t>[17]</w:t>
      </w:r>
      <w:r w:rsidRPr="00A17C97">
        <w:rPr>
          <w:lang w:val="en-US"/>
        </w:rPr>
        <w:fldChar w:fldCharType="end"/>
      </w:r>
      <w:r w:rsidRPr="00A17C97">
        <w:rPr>
          <w:lang w:val="en-US"/>
        </w:rPr>
        <w:t xml:space="preserve"> plays a critical role in causing burn-in loss. The diffusion of SMNFAs and insufficient miscibility</w:t>
      </w:r>
      <w:r w:rsidRPr="00A17C97">
        <w:rPr>
          <w:lang w:val="en-US"/>
        </w:rPr>
        <w:fldChar w:fldCharType="begin"/>
      </w:r>
      <w:r w:rsidR="00F51B55" w:rsidRPr="00A17C97">
        <w:rPr>
          <w:lang w:val="en-US"/>
        </w:rPr>
        <w:instrText xml:space="preserve"> ADDIN ZOTERO_ITEM CSL_CITATION {"citationID":"2yN0munF","properties":{"formattedCitation":"\\super [18]\\nosupersub{}","plainCitation":"[18]","noteIndex":0},"citationItems":[{"id":1222,"uris":["http://zotero.org/users/10832941/items/ZRIUVHKD"],"itemData":{"id":1222,"type":"article-journal","container-title":"Nature Materials","ISSN":"1476-1122, 1476-4660","issue":"3","journalAbbreviation":"Nat. Mater.","language":"en","page":"253-260","source":"DOI.org (Crossref)","title":"Quantitative relations between interaction parameter, miscibility and function in organic solar cells","volume":"17","author":[{"family":"Ye","given":"Long"},{"family":"Hu","given":"Huawei"},{"family":"Ghasemi","given":"Masoud"},{"family":"Wang","given":"Tonghui"},{"family":"Collins","given":"Brian A"},{"family":"Kim","given":"Joo-Hyun"},{"family":"Jiang","given":"Kui"},{"family":"Carpenter","given":"Joshua H."},{"family":"Li","given":"Hong"},{"family":"Li","given":"Zhengke"},{"family":"McAfee","given":"Terry"},{"family":"Zhao","given":"Jingbo"},{"family":"Chen","given":"Xiankai"},{"family":"Lai","given":"Joshua Lin Yuk"},{"family":"Ma","given":"Tingxuan"},{"family":"Bredas","given":"Jean-Luc"},{"family":"Yan","given":"He"},{"family":"Ade","given":"Harald"}],"issued":{"date-parts":[["2018",3]]}}}],"schema":"https://github.com/citation-style-language/schema/raw/master/csl-citation.json"} </w:instrText>
      </w:r>
      <w:r w:rsidRPr="00A17C97">
        <w:rPr>
          <w:lang w:val="en-US"/>
        </w:rPr>
        <w:fldChar w:fldCharType="separate"/>
      </w:r>
      <w:r w:rsidR="00F51B55" w:rsidRPr="00A17C97">
        <w:rPr>
          <w:vertAlign w:val="superscript"/>
        </w:rPr>
        <w:t>[18]</w:t>
      </w:r>
      <w:r w:rsidRPr="00A17C97">
        <w:rPr>
          <w:lang w:val="en-US"/>
        </w:rPr>
        <w:fldChar w:fldCharType="end"/>
      </w:r>
      <w:r w:rsidRPr="00A17C97">
        <w:rPr>
          <w:lang w:val="en-US"/>
        </w:rPr>
        <w:t xml:space="preserve"> between different components in the blend of active layer contribute to the meta-stable morphology,</w:t>
      </w:r>
      <w:r w:rsidRPr="00A17C97">
        <w:rPr>
          <w:lang w:val="en-US"/>
        </w:rPr>
        <w:fldChar w:fldCharType="begin"/>
      </w:r>
      <w:r w:rsidR="00F51B55" w:rsidRPr="00A17C97">
        <w:rPr>
          <w:lang w:val="en-US"/>
        </w:rPr>
        <w:instrText xml:space="preserve"> ADDIN ZOTERO_ITEM CSL_CITATION {"citationID":"hjtaW78o","properties":{"formattedCitation":"\\super [15,19]\\nosupersub{}","plainCitation":"[15,19]","noteIndex":0},"citationItems":[{"id":1211,"uris":["http://zotero.org/users/10832941/items/ATKYG4FD"],"itemData":{"id":1211,"type":"article-journal","abstract":"Phase stabilizers identified from a top-down strategy overcome microstructure instability of organic solar cells induced by thermal or photo stress.\n          , \n            The operational stability of organic solar cells (OSCs) is the essential barrier to commercialization. Compared to thermally-induced degradation, photo-stability of OSCs is far away from being resolved. Here, we demonstrate that the thermal- and photo-degradation of metastable bulk-heterojunction OSCs are governed by the same mechanism. Understanding the fundamental principles behind this mechanism is of significant importance to fully address the instability issues. Structural incompatibilities between the donor and acceptor molecules are identified as the main origin of the instability. Further, we introduce a top-down approach mainly based on their melting temperature and interaction parameters to rationally screen molecular phase stabilizers from a database with more than 10 000 small molecules. Eventually, five chemicals were selected to validate our concept and tested in unstable organic solar cells. 1,4-Piperazine, which possesses a high melting point, good miscibility with polymers and the capability of forming inter-molecular hydrogen bonding, can indeed stabilize the mixed amorphous phases, leading to significantly improved stability of otherwise metastable OSCs.","container-title":"Energy &amp; Environmental Science","ISSN":"1754-5692, 1754-5706","issue":"3","journalAbbreviation":"Energy Environ. Sci.","language":"en","page":"1078-1087","source":"DOI.org (Crossref)","title":"A top-down strategy identifying molecular phase stabilizers to overcome microstructure instabilities in organic solar cells","volume":"12","author":[{"family":"Zhang","given":"Chaohong"},{"family":"Heumueller","given":"Thomas"},{"family":"Leon","given":"Salvador"},{"family":"Gruber","given":"Wolfgang"},{"family":"Burlafinger","given":"Klaus"},{"family":"Tang","given":"Xiaofeng"},{"family":"Perea","given":"Jose D."},{"family":"Wabra","given":"Isabell"},{"family":"Hirsch","given":"Andreas"},{"family":"Unruh","given":"Tobias"},{"family":"Li","given":"Ning"},{"family":"Brabec","given":"Christoph J."}],"issued":{"date-parts":[["2019"]]}},"label":"page"},{"id":1457,"uris":["http://zotero.org/users/10832941/items/I426LBWA"],"itemData":{"id":1457,"type":"article-journal","abstract":"Organic solar cells (OSCs) are a promising emerging photovoltaic technology for solar energy conversion. Recently, the power conversion efficiencies of the OSCs have been improved to get closer to their Schottky–Queisser limit. However, the operational stability of OSCs remains as a major challenge ahead of their deployment for practical applications. The main causes of OSC instab</w:instrText>
      </w:r>
      <w:r w:rsidR="00F51B55" w:rsidRPr="00A17C97">
        <w:rPr>
          <w:rFonts w:hint="eastAsia"/>
          <w:lang w:val="en-US"/>
        </w:rPr>
        <w:instrText>ility stem from the poor intrinsic stability of materials, metastable morphology of the multicomponent active layer, unstable interfaces, and sensitivity to moisture and oxygen. To address these issues, it is necessary to have a comprehensive and in</w:instrText>
      </w:r>
      <w:r w:rsidR="00F51B55" w:rsidRPr="00A17C97">
        <w:rPr>
          <w:rFonts w:hint="eastAsia"/>
          <w:lang w:val="en-US"/>
        </w:rPr>
        <w:instrText>‐</w:instrText>
      </w:r>
      <w:r w:rsidR="00F51B55" w:rsidRPr="00A17C97">
        <w:rPr>
          <w:rFonts w:hint="eastAsia"/>
          <w:lang w:val="en-US"/>
        </w:rPr>
        <w:instrText>depth understanding of the OSC fundamentals and develop an integrated solution to overcome them. Herein, the state</w:instrText>
      </w:r>
      <w:r w:rsidR="00F51B55" w:rsidRPr="00A17C97">
        <w:rPr>
          <w:rFonts w:hint="eastAsia"/>
          <w:lang w:val="en-US"/>
        </w:rPr>
        <w:instrText>‐</w:instrText>
      </w:r>
      <w:r w:rsidR="00F51B55" w:rsidRPr="00A17C97">
        <w:rPr>
          <w:rFonts w:hint="eastAsia"/>
          <w:lang w:val="en-US"/>
        </w:rPr>
        <w:instrText>of</w:instrText>
      </w:r>
      <w:r w:rsidR="00F51B55" w:rsidRPr="00A17C97">
        <w:rPr>
          <w:rFonts w:hint="eastAsia"/>
          <w:lang w:val="en-US"/>
        </w:rPr>
        <w:instrText>‐</w:instrText>
      </w:r>
      <w:r w:rsidR="00F51B55" w:rsidRPr="00A17C97">
        <w:rPr>
          <w:rFonts w:hint="eastAsia"/>
          <w:lang w:val="en-US"/>
        </w:rPr>
        <w:instrText xml:space="preserve">art strategies used to improve the stability of OSCs from the aspects of material design, device processing, and encapsulation techniques, in </w:instrText>
      </w:r>
      <w:r w:rsidR="00F51B55" w:rsidRPr="00A17C97">
        <w:rPr>
          <w:lang w:val="en-US"/>
        </w:rPr>
        <w:instrText xml:space="preserve">hope of delivering comprehensive and rational solutions, are summarized. In the end, the prospects toward the future development of efficient and stable OSCs are provided.","container-title":"Solar RRL","ISSN":"2367-198X, 2367-198X","journalAbbreviation":"Solar RRL","language":"en","page":"2300531","source":"DOI.org (Crossref)","title":"Improving the Stability of Organic Solar Cells: From Materials to Devices","title-short":"Improving the Stability of Organic Solar Cells","author":[{"family":"Li","given":"Yanxun"},{"family":"Liu","given":"Kai-Kai"},{"family":"Lin","given":"Francis R."},{"family":"Jen","given":"Alex K.-Y."}],"issued":{"date-parts":[["2023",9,3]]}},"label":"page"}],"schema":"https://github.com/citation-style-language/schema/raw/master/csl-citation.json"} </w:instrText>
      </w:r>
      <w:r w:rsidRPr="00A17C97">
        <w:rPr>
          <w:lang w:val="en-US"/>
        </w:rPr>
        <w:fldChar w:fldCharType="separate"/>
      </w:r>
      <w:r w:rsidR="00F51B55" w:rsidRPr="00A17C97">
        <w:rPr>
          <w:vertAlign w:val="superscript"/>
        </w:rPr>
        <w:t>[15,19]</w:t>
      </w:r>
      <w:r w:rsidRPr="00A17C97">
        <w:rPr>
          <w:lang w:val="en-US"/>
        </w:rPr>
        <w:fldChar w:fldCharType="end"/>
      </w:r>
      <w:r w:rsidRPr="00A17C97">
        <w:rPr>
          <w:lang w:val="en-US"/>
        </w:rPr>
        <w:t xml:space="preserve"> resulting in the rapid decay of PCE. Therefore, the key to alleviating the burn-in loss lies </w:t>
      </w:r>
      <w:r w:rsidR="00820C6B" w:rsidRPr="00A17C97">
        <w:rPr>
          <w:lang w:val="en-US"/>
        </w:rPr>
        <w:t>in</w:t>
      </w:r>
      <w:r w:rsidRPr="00A17C97">
        <w:rPr>
          <w:lang w:val="en-US"/>
        </w:rPr>
        <w:t xml:space="preserve"> understanding and minimizing the causes of molecular diffusion to enable a robust morphology through regulated material thermal transitions. The glass-transition temperature (</w:t>
      </w:r>
      <w:r w:rsidRPr="00A17C97">
        <w:rPr>
          <w:i/>
          <w:iCs/>
          <w:lang w:val="en-US"/>
        </w:rPr>
        <w:t>T</w:t>
      </w:r>
      <w:r w:rsidRPr="00A17C97">
        <w:rPr>
          <w:vertAlign w:val="subscript"/>
          <w:lang w:val="en-US"/>
        </w:rPr>
        <w:t>g</w:t>
      </w:r>
      <w:r w:rsidRPr="00A17C97">
        <w:rPr>
          <w:lang w:val="en-US"/>
        </w:rPr>
        <w:t>)</w:t>
      </w:r>
      <w:r w:rsidRPr="00A17C97">
        <w:rPr>
          <w:lang w:val="en-US"/>
        </w:rPr>
        <w:fldChar w:fldCharType="begin"/>
      </w:r>
      <w:r w:rsidR="00F51B55" w:rsidRPr="00A17C97">
        <w:rPr>
          <w:lang w:val="en-US"/>
        </w:rPr>
        <w:instrText xml:space="preserve"> ADDIN ZOTERO_ITEM CSL_CITATION {"citationID":"3mRWLDe8","properties":{"formattedCitation":"\\super [20]\\nosupersub{}","plainCitation":"[20]","noteIndex":0},"citationItems":[{"id":28,"uris":["http://zotero.org/users/10832941/items/IXWI3X7P"],"itemData":{"id":28,"type":"article-journal","container-title":"Nature Energy","ISSN":"2058-7546","issue":"12","journalAbbreviation":"Nat. Energy","language":"en","page":"1180-1190","source":"DOI.org (Crossref)","title":"Organic solar cells using oligomer acceptors for improved stability and efficiency","volume":"7","author":[{"family":"Liang","given":"Youcai"},{"family":"Zhang","given":"Difei"},{"family":"Wu","given":"Zerun"},{"family":"Jia","given":"Tao"},{"family":"Lüer","given":"Larry"},{"family":"Tang","given":"Haoran"},{"family":"Hong","given":"Ling"},{"family":"Zhang","given":"Jiabin"},{"family":"Zhang","given":"Kai"},{"family":"Brabec","given":"Christoph J."},{"family":"Li","given":"Ning"},{"family":"Huang","given":"Fei"}],"issued":{"date-parts":[["2022",11,10]]}}}],"schema":"https://github.com/citation-style-language/schema/raw/master/csl-citation.json"} </w:instrText>
      </w:r>
      <w:r w:rsidRPr="00A17C97">
        <w:rPr>
          <w:lang w:val="en-US"/>
        </w:rPr>
        <w:fldChar w:fldCharType="separate"/>
      </w:r>
      <w:r w:rsidR="00F51B55" w:rsidRPr="00A17C97">
        <w:rPr>
          <w:vertAlign w:val="superscript"/>
        </w:rPr>
        <w:t>[20]</w:t>
      </w:r>
      <w:r w:rsidRPr="00A17C97">
        <w:rPr>
          <w:lang w:val="en-US"/>
        </w:rPr>
        <w:fldChar w:fldCharType="end"/>
      </w:r>
      <w:r w:rsidR="00820C6B" w:rsidRPr="00A17C97">
        <w:rPr>
          <w:lang w:val="en-US"/>
        </w:rPr>
        <w:t xml:space="preserve"> </w:t>
      </w:r>
      <w:r w:rsidRPr="00A17C97">
        <w:rPr>
          <w:lang w:val="en-US"/>
        </w:rPr>
        <w:t>correspond</w:t>
      </w:r>
      <w:r w:rsidR="00820C6B" w:rsidRPr="00A17C97">
        <w:rPr>
          <w:lang w:val="en-US"/>
        </w:rPr>
        <w:t>s</w:t>
      </w:r>
      <w:r w:rsidRPr="00A17C97">
        <w:rPr>
          <w:lang w:val="en-US"/>
        </w:rPr>
        <w:t xml:space="preserve"> to the motion of certain segments in semi-crystalline materials, and the onset crystallization temperature (</w:t>
      </w:r>
      <w:proofErr w:type="spellStart"/>
      <w:r w:rsidRPr="00A17C97">
        <w:rPr>
          <w:i/>
          <w:iCs/>
          <w:lang w:val="en-US"/>
        </w:rPr>
        <w:t>T</w:t>
      </w:r>
      <w:r w:rsidRPr="00A17C97">
        <w:rPr>
          <w:vertAlign w:val="subscript"/>
          <w:lang w:val="en-US"/>
        </w:rPr>
        <w:t>onset</w:t>
      </w:r>
      <w:proofErr w:type="spellEnd"/>
      <w:r w:rsidRPr="00A17C97">
        <w:rPr>
          <w:lang w:val="en-US"/>
        </w:rPr>
        <w:t>)</w:t>
      </w:r>
      <w:r w:rsidRPr="00A17C97">
        <w:rPr>
          <w:lang w:val="en-US"/>
        </w:rPr>
        <w:fldChar w:fldCharType="begin"/>
      </w:r>
      <w:r w:rsidR="00F51B55" w:rsidRPr="00A17C97">
        <w:rPr>
          <w:lang w:val="en-US"/>
        </w:rPr>
        <w:instrText xml:space="preserve"> ADDIN ZOTERO_ITEM CSL_CITATION {"citationID":"Rr6PMxYA","properties":{"formattedCitation":"\\super [21]\\nosupersub{}","plainCitation":"[21]","noteIndex":0},"citationItems":[{"id":1449,"uris":["http://zotero.org/users/10832941/items/WZ366AE4"],"itemData":{"id":1449,"type":"article-journal","container-title":"ACS Applied Energy Materials","ISSN":"2574-0962, 2574-0962","issue":"8","journalAbbreviation":"ACS Appl. Energy Mater.","language":"en","page":"8442-8453","source":"DOI.org (Crossref)","title":"Implications of Crystallization Temperatures of Organic Small Molecules in Optimizing Nonfullerene Solar Cell Performance","volume":"4","author":[{"family":"Cheng","given":"Xiafei"},{"family":"Li","given":"Miaomiao"},{"family":"Liang","given":"Ziqi"},{"family":"Gao","given":"Mengyuan"},{"family":"Ye","given":"Long"},{"family":"Geng","given":"Yanhou"}],"issued":{"date-parts":[["2021",8,23]]}}}],"schema":"https://github.com/citation-style-language/schema/raw/master/csl-citation.json"} </w:instrText>
      </w:r>
      <w:r w:rsidRPr="00A17C97">
        <w:rPr>
          <w:lang w:val="en-US"/>
        </w:rPr>
        <w:fldChar w:fldCharType="separate"/>
      </w:r>
      <w:r w:rsidR="00F51B55" w:rsidRPr="00A17C97">
        <w:rPr>
          <w:vertAlign w:val="superscript"/>
        </w:rPr>
        <w:t>[21]</w:t>
      </w:r>
      <w:r w:rsidRPr="00A17C97">
        <w:rPr>
          <w:lang w:val="en-US"/>
        </w:rPr>
        <w:fldChar w:fldCharType="end"/>
      </w:r>
      <w:r w:rsidRPr="00A17C97">
        <w:rPr>
          <w:lang w:val="en-US"/>
        </w:rPr>
        <w:t xml:space="preserve"> represents the destruction of a crystalline phase when turns into amorphous, which are key indicators associated with the extent of burn-in loss in OSCs.</w:t>
      </w:r>
      <w:r w:rsidRPr="00A17C97">
        <w:rPr>
          <w:lang w:val="en-US"/>
        </w:rPr>
        <w:fldChar w:fldCharType="begin"/>
      </w:r>
      <w:r w:rsidR="00F51B55" w:rsidRPr="00A17C97">
        <w:rPr>
          <w:lang w:val="en-US"/>
        </w:rPr>
        <w:instrText xml:space="preserve"> ADDIN ZOTERO_ITEM CSL_CITATION {"citationID":"NbCrGN3X","properties":{"formattedCitation":"\\super [17,22]\\nosupersub{}","plainCitation":"[17,22]","noteIndex":0},"citationItems":[{"id":1220,"uris":["http://zotero.org/users/10832941/items/CKTM3GP4"],"itemData":{"id":1220,"type":"article-journal","container-title":"Nature Materials","ISSN":"1476-1122, 1476-4660","issue":"4","journalAbbreviation":"Nat. Mater.","language":"en","page":"525-532","source":"DOI.org (Crossref)","title":"A molecular interaction–diffusion framework for predicting organic solar cell stability","volume":"20","author":[{"family":"Ghasemi","given":"Masoud"},{"family":"Balar","given":"Nrup"},{"family":"Peng","given":"Zhengxing"},{"family":"Hu","given":"Huawei"},{"family":"Qin","given":"Yunpeng"},{"family":"Kim","given":"Taesoo"},{"family":"Rech","given":"Jeromy J."},{"family":"Bidwell","given":"Matthew"},{"family":"Mask","given":"Walker"},{"family":"McCulloch","given":"Iain"},{"family":"You","given":"Wei"},{"family":"Amassian","given":"Aram"},{"family":"Risko","given":"Chad"},{"family":"O’Connor","given":"Brendan T."},{"family":"Ade","given":"Harald"}],"issued":{"date-parts":[["2021",4]]}},"label":"page"},{"id":1558,"uris":["http://zotero.org/users/10832941/items/BDETJBWY"],"itemData":{"id":1558,"type":"article-journal","abstract":"Abstract\n            With the rise of the solar power century, photovoltaic applications and installations will go beyond the traditional green field power plants and enter any aspect of daily life. Organic photovoltaics (OPVs) demonstrate certified cell efficiencies of over 17% and are expected to contribute to versatile applications powered by solar energy, for instance, applications rely on flexibility, transparency, color management, or integrability. In this work, the progress of OPV technology is briefly reviewed and the material strategies to accelerate OPV technology toward a GW era are analyzed. In addition to the exciting efficiency values achieved for small area devices, there are many important </w:instrText>
      </w:r>
      <w:r w:rsidR="00F51B55" w:rsidRPr="00A17C97">
        <w:rPr>
          <w:rFonts w:hint="eastAsia"/>
          <w:lang w:val="en-US"/>
        </w:rPr>
        <w:instrText>criteria deciding the success of OPV technology. By taking into consideration the synthetic complexity of OPV materials and the operational stability of OPV devices, the industrial figure of merit (i</w:instrText>
      </w:r>
      <w:r w:rsidR="00F51B55" w:rsidRPr="00A17C97">
        <w:rPr>
          <w:rFonts w:hint="eastAsia"/>
          <w:lang w:val="en-US"/>
        </w:rPr>
        <w:instrText>‐</w:instrText>
      </w:r>
      <w:r w:rsidR="00F51B55" w:rsidRPr="00A17C97">
        <w:rPr>
          <w:rFonts w:hint="eastAsia"/>
          <w:lang w:val="en-US"/>
        </w:rPr>
        <w:instrText>FoM) is proposed as a fast and reliable method to verif</w:instrText>
      </w:r>
      <w:r w:rsidR="00F51B55" w:rsidRPr="00A17C97">
        <w:rPr>
          <w:lang w:val="en-US"/>
        </w:rPr>
        <w:instrText>y the true potential of a novel material. Furthermore, “soft” key performance indicators are introduced, such as toxicity, flexibility, transparency, processing, which require different development strategies to reflect the potential of OPV technology for specific applications.","container-title":"Advanced Energy Materials","ISSN":"1614-6832, 1614-6840","issue":"43","journalAbbreviation":"Adv. Energy Mater.","language":"en","page":"2001864","source":"DOI.org (Crossref)","title":"Material Strategies to Acc</w:instrText>
      </w:r>
      <w:r w:rsidR="00F51B55" w:rsidRPr="00A17C97">
        <w:rPr>
          <w:rFonts w:hint="eastAsia"/>
          <w:lang w:val="en-US"/>
        </w:rPr>
        <w:instrText>elerate OPV Technology Toward a GW Technology","volume":"10","author":[{"family":"Brabec","given":"Christoph J."},{"family":"Distler","given":"Andreas"},{"family":"Du","given":"Xiaoyan"},{"family":"Egelhaaf","given":"Hans</w:instrText>
      </w:r>
      <w:r w:rsidR="00F51B55" w:rsidRPr="00A17C97">
        <w:rPr>
          <w:rFonts w:hint="eastAsia"/>
          <w:lang w:val="en-US"/>
        </w:rPr>
        <w:instrText>‐</w:instrText>
      </w:r>
      <w:r w:rsidR="00F51B55" w:rsidRPr="00A17C97">
        <w:rPr>
          <w:rFonts w:hint="eastAsia"/>
          <w:lang w:val="en-US"/>
        </w:rPr>
        <w:instrText>Joachim"},{"family":"Hauch","give</w:instrText>
      </w:r>
      <w:r w:rsidR="00F51B55" w:rsidRPr="00A17C97">
        <w:rPr>
          <w:lang w:val="en-US"/>
        </w:rPr>
        <w:instrText xml:space="preserve">n":"Jens"},{"family":"Heumueller","given":"Thomas"},{"family":"Li","given":"Ning"}],"issued":{"date-parts":[["2020",11]]}},"label":"page"}],"schema":"https://github.com/citation-style-language/schema/raw/master/csl-citation.json"} </w:instrText>
      </w:r>
      <w:r w:rsidRPr="00A17C97">
        <w:rPr>
          <w:lang w:val="en-US"/>
        </w:rPr>
        <w:fldChar w:fldCharType="separate"/>
      </w:r>
      <w:r w:rsidR="00F51B55" w:rsidRPr="00A17C97">
        <w:rPr>
          <w:vertAlign w:val="superscript"/>
        </w:rPr>
        <w:t>[17,22]</w:t>
      </w:r>
      <w:r w:rsidRPr="00A17C97">
        <w:rPr>
          <w:lang w:val="en-US"/>
        </w:rPr>
        <w:fldChar w:fldCharType="end"/>
      </w:r>
    </w:p>
    <w:p w14:paraId="4D80973E" w14:textId="5E92B379" w:rsidR="00662DCE" w:rsidRPr="00A17C97" w:rsidRDefault="002E0BD3" w:rsidP="006960F3">
      <w:pPr>
        <w:spacing w:line="360" w:lineRule="auto"/>
        <w:ind w:firstLine="708"/>
        <w:jc w:val="both"/>
        <w:rPr>
          <w:lang w:val="en-US"/>
        </w:rPr>
      </w:pPr>
      <w:r w:rsidRPr="00A17C97">
        <w:rPr>
          <w:lang w:val="en-US"/>
        </w:rPr>
        <w:t>Most recently, Y6-derived oligomeric acceptors,</w:t>
      </w:r>
      <w:r w:rsidRPr="00A17C97">
        <w:rPr>
          <w:lang w:val="en-US"/>
        </w:rPr>
        <w:fldChar w:fldCharType="begin"/>
      </w:r>
      <w:r w:rsidR="00F51B55" w:rsidRPr="00A17C97">
        <w:rPr>
          <w:lang w:val="en-US"/>
        </w:rPr>
        <w:instrText xml:space="preserve"> ADDIN ZOTERO_ITEM CSL_CITATION {"citationID":"e9LtIqJC","properties":{"formattedCitation":"\\super [20]\\nosupersub{}","plainCitation":"[20]","noteIndex":0},"citationItems":[{"id":28,"uris":["http://zotero.org/users/10832941/items/IXWI3X7P"],"itemData":{"id":28,"type":"article-journal","container-title":"Nature Energy","ISSN":"2058-7546","issue":"12","journalAbbreviation":"Nat. Energy","language":"en","page":"1180-1190","source":"DOI.org (Crossref)","title":"Organic solar cells using oligomer acceptors for improved stability and efficiency","volume":"7","author":[{"family":"Liang","given":"Youcai"},{"family":"Zhang","given":"Difei"},{"family":"Wu","given":"Zerun"},{"family":"Jia","given":"Tao"},{"family":"Lüer","given":"Larry"},{"family":"Tang","given":"Haoran"},{"family":"Hong","given":"Ling"},{"family":"Zhang","given":"Jiabin"},{"family":"Zhang","given":"Kai"},{"family":"Brabec","given":"Christoph J."},{"family":"Li","given":"Ning"},{"family":"Huang","given":"Fei"}],"issued":{"date-parts":[["2022",11,10]]}}}],"schema":"https://github.com/citation-style-language/schema/raw/master/csl-citation.json"} </w:instrText>
      </w:r>
      <w:r w:rsidRPr="00A17C97">
        <w:rPr>
          <w:lang w:val="en-US"/>
        </w:rPr>
        <w:fldChar w:fldCharType="separate"/>
      </w:r>
      <w:r w:rsidR="00F51B55" w:rsidRPr="00A17C97">
        <w:rPr>
          <w:vertAlign w:val="superscript"/>
        </w:rPr>
        <w:t>[20]</w:t>
      </w:r>
      <w:r w:rsidRPr="00A17C97">
        <w:rPr>
          <w:lang w:val="en-US"/>
        </w:rPr>
        <w:fldChar w:fldCharType="end"/>
      </w:r>
      <w:r w:rsidRPr="00A17C97">
        <w:rPr>
          <w:lang w:val="en-US"/>
        </w:rPr>
        <w:t xml:space="preserve"> especially the dimers,</w:t>
      </w:r>
      <w:r w:rsidRPr="00A17C97">
        <w:rPr>
          <w:lang w:val="en-US"/>
        </w:rPr>
        <w:fldChar w:fldCharType="begin"/>
      </w:r>
      <w:r w:rsidR="00F51B55" w:rsidRPr="00A17C97">
        <w:rPr>
          <w:lang w:val="en-US"/>
        </w:rPr>
        <w:instrText xml:space="preserve"> ADDIN ZOTERO_ITEM CSL_CITATION {"citationID":"vepZUPJM","properties":{"formattedCitation":"\\super [23,24]\\nosupersub{}","plainCitation":"[23,24]","noteIndex":0},"citationItems":[{"id":27,"uris":["http://zotero.org/users/10832941/items/H5Y4XUIE"],"itemData":{"id":27,"type":"article-journal","abstract":"Oligomeric acceptors are expected to combine the advantages of both highly developed small molecular and polymeric acceptors. However, organic solar cells (OSCs) based on oligomers lag far behind due to their slow development and low diversity. Here, three oligomeric acceptors were produced through oligomerization of small molecules. The dimer dBTICγ-EH achieved the best power conversion efficiencies (PCEs) of 14.48 % in bulk heterojunction devices and possessed a T80 (80 % of the initial PCE) lifetime of 1020 h under illumination, which were far better than that of small molecular and polymeric acceptors. More excitingly, it showed PCEs of 16.06 % in quasi-planar heterojunction (Q-PHJ) devices which is the highest value OSCs using oligomeric acceptors to date. These results suggest that oligomerization of small molecules is a promising strategy to achieve OSCs with optimized performance between the high efficiency and durable stability, and offer oligomeric materials a bright future in commercial applications.","container-title":"Angew Chem Int Ed","ISSN":"0044-8249, 1521-3757","issue":"23","journalAbbreviation":"Angew. Chem. Int. Ed.","language":"en","note":"titleTranslation:\ntitleTranslation:\ntitleTr</w:instrText>
      </w:r>
      <w:r w:rsidR="00F51B55" w:rsidRPr="00A17C97">
        <w:rPr>
          <w:rFonts w:hint="eastAsia"/>
          <w:lang w:val="en-US"/>
        </w:rPr>
        <w:instrText xml:space="preserve">anslation:\ntitleTranslation:\ntitleTranslation:\ntitleTranslation:\ntitleTranslation:\ntitleTranslation:","page":"202201844","source":"DOI.org (Crossref)","title":"Oligomeric Acceptor: A </w:instrText>
      </w:r>
      <w:r w:rsidR="00F51B55" w:rsidRPr="00A17C97">
        <w:rPr>
          <w:rFonts w:hint="eastAsia"/>
          <w:lang w:val="en-US"/>
        </w:rPr>
        <w:instrText>“</w:instrText>
      </w:r>
      <w:r w:rsidR="00F51B55" w:rsidRPr="00A17C97">
        <w:rPr>
          <w:rFonts w:hint="eastAsia"/>
          <w:lang w:val="en-US"/>
        </w:rPr>
        <w:instrText>Two</w:instrText>
      </w:r>
      <w:r w:rsidR="00F51B55" w:rsidRPr="00A17C97">
        <w:rPr>
          <w:rFonts w:hint="eastAsia"/>
          <w:lang w:val="en-US"/>
        </w:rPr>
        <w:instrText>‐</w:instrText>
      </w:r>
      <w:r w:rsidR="00F51B55" w:rsidRPr="00A17C97">
        <w:rPr>
          <w:rFonts w:hint="eastAsia"/>
          <w:lang w:val="en-US"/>
        </w:rPr>
        <w:instrText>in</w:instrText>
      </w:r>
      <w:r w:rsidR="00F51B55" w:rsidRPr="00A17C97">
        <w:rPr>
          <w:rFonts w:hint="eastAsia"/>
          <w:lang w:val="en-US"/>
        </w:rPr>
        <w:instrText>‐</w:instrText>
      </w:r>
      <w:r w:rsidR="00F51B55" w:rsidRPr="00A17C97">
        <w:rPr>
          <w:rFonts w:hint="eastAsia"/>
          <w:lang w:val="en-US"/>
        </w:rPr>
        <w:instrText>One</w:instrText>
      </w:r>
      <w:r w:rsidR="00F51B55" w:rsidRPr="00A17C97">
        <w:rPr>
          <w:rFonts w:hint="eastAsia"/>
          <w:lang w:val="en-US"/>
        </w:rPr>
        <w:instrText>”</w:instrText>
      </w:r>
      <w:r w:rsidR="00F51B55" w:rsidRPr="00A17C97">
        <w:rPr>
          <w:rFonts w:hint="eastAsia"/>
          <w:lang w:val="en-US"/>
        </w:rPr>
        <w:instrText xml:space="preserve"> Strategy to Bridge Small Molecules and Polymers for St</w:instrText>
      </w:r>
      <w:r w:rsidR="00F51B55" w:rsidRPr="00A17C97">
        <w:rPr>
          <w:lang w:val="en-US"/>
        </w:rPr>
        <w:instrText xml:space="preserve">able Solar Devices","title-short":"Oligomeric Acceptor","volume":"134","author":[{"family":"Wang","given":"Hengtao"},{"family":"Cao","given":"Congcong"},{"family":"Chen","given":"Hui"},{"family":"Lai","given":"Hanjian"},{"family":"Ke","given":"Chunxian"},{"family":"Zhu","given":"Yulin"},{"family":"Li","given":"Heng"},{"family":"He","given":"Feng"}],"issued":{"date-parts":[["2022",6,7]]}},"label":"page"},{"id":447,"uris":["http://zotero.org/users/10832941/items/WPNL79HS"],"itemData":{"id":447,"type":"article-journal","container-title":"Angewandte Chemie International Edition","ISSN":"1433-7851, 1521-3773","issue":"21","journalAbbreviation":"Angew. Chem. Int. Ed.","language":"en","note":"titleTranslation:\ntitleTranslation:","page":"e202303066","source":"DOI.org (Crossref)","title":"Dimer Acceptor Adopting a Flexible Linker for Efficient and Durable Organic Solar Cells","volume":"62","author":[{"family":"Qi","given":"Feng"},{"family":"Li","given":"Yanxun"},{"family":"Zhang","given":"Rui"},{"family":"Lin","given":"Francis R."},{"family":"Liu","given":"Kaikai"},{"family":"Fan","given":"Qunping"},{"family":"Jen","given":"Alex K.-Y."}],"issued":{"date-parts":[["2023",3,22]]}},"label":"page"}],"schema":"https://github.com/citation-style-language/schema/raw/master/csl-citation.json"} </w:instrText>
      </w:r>
      <w:r w:rsidRPr="00A17C97">
        <w:rPr>
          <w:lang w:val="en-US"/>
        </w:rPr>
        <w:fldChar w:fldCharType="separate"/>
      </w:r>
      <w:r w:rsidR="00F51B55" w:rsidRPr="00A17C97">
        <w:rPr>
          <w:vertAlign w:val="superscript"/>
        </w:rPr>
        <w:t>[23,24]</w:t>
      </w:r>
      <w:r w:rsidRPr="00A17C97">
        <w:rPr>
          <w:lang w:val="en-US"/>
        </w:rPr>
        <w:fldChar w:fldCharType="end"/>
      </w:r>
      <w:r w:rsidRPr="00A17C97">
        <w:rPr>
          <w:lang w:val="en-US"/>
        </w:rPr>
        <w:t xml:space="preserve"> have </w:t>
      </w:r>
      <w:r w:rsidR="00210835" w:rsidRPr="00A17C97">
        <w:rPr>
          <w:lang w:val="en-US"/>
        </w:rPr>
        <w:t>displayed</w:t>
      </w:r>
      <w:r w:rsidRPr="00A17C97">
        <w:rPr>
          <w:lang w:val="en-US"/>
        </w:rPr>
        <w:t xml:space="preserve"> thermally stable morphology but often suffer from compromised PCEs. Since their molecular structures are highly similar to the SMNFAs, they are capable of establishing intimate </w:t>
      </w:r>
      <w:bookmarkStart w:id="6" w:name="_Hlk150728862"/>
      <w:r w:rsidRPr="00A17C97">
        <w:rPr>
          <w:lang w:val="en-US"/>
        </w:rPr>
        <w:t>π-π</w:t>
      </w:r>
      <w:bookmarkEnd w:id="6"/>
      <w:r w:rsidRPr="00A17C97">
        <w:rPr>
          <w:lang w:val="en-US"/>
        </w:rPr>
        <w:t xml:space="preserve"> interactions with SMNFAs</w:t>
      </w:r>
      <w:r w:rsidRPr="00A17C97">
        <w:rPr>
          <w:lang w:val="en-US"/>
        </w:rPr>
        <w:fldChar w:fldCharType="begin"/>
      </w:r>
      <w:r w:rsidR="00F51B55" w:rsidRPr="00A17C97">
        <w:rPr>
          <w:lang w:val="en-US"/>
        </w:rPr>
        <w:instrText xml:space="preserve"> ADDIN ZOTERO_ITEM CSL_CITATION {"citationID":"9e4yMcOq","properties":{"formattedCitation":"\\super [25]\\nosupersub{}","plainCitation":"[25]","noteIndex":0},"citationItems":[{"id":1522,"uris":["http://zotero.org/users/10832941/items/PVX26JRD"],"itemData":{"id":1522,"type":"article-journal","abstract":"Collective weakness makes strength: A case of multiple π-π stacking interactions stabilizing a porous supramolecular framework.\n          , \n            \n              Revealing the contribution of π-π stacking interactions in supramolecular assembly is important for understanding the intrinsic nature of molecular assembly fundamentally. However, because they are much weaker than covalent bonds, π-π stacking interactions are usually ignored in the construction of porous materials. Obtaining stable porous materials that are only dependent on π-π stacking interactions, despite being very challenging, could address this concern. Here, we present a porous supramolecular framework (\n              π-1\n              ) stabilized only by intermolecular π-π stacking interactions.\n              π-1\n              shows good thermal and chemical stability not only in various organic solvents but also in aqueous solution in a broad pH range. Furthermore, featuring one-dimensional channels with dangling thiolate groups,\n              π-1\n              exhibits excellent Hg\n              2+\n              removal performance, with adsorption capacity as high as 786.67 mg g\n              −1\n              and an adsorption ratio as high as 99.998%. In addition,\n              π-1\n              also shows high adsorption selectivity to Hg\n              2+\n              in the presence of a series of interfering ions.","container-title":"Science Advances","ISSN":"2375-2548","issue":"2","journalAbbreviation":"Sci. Adv.","language":"en","page":"eaax9976","source":"DOI.org (Crossref)","title":"π-π stacking interactions: Non-negligible forces for stabilizing porous supramolecular frameworks","title-short":"π-π stacking interactions","volume":"6","author":[{"family":"Deng","given":"Ji-Hua"},{"family":"Luo","given":"Jie"},{"family":"Mao","given":"Yue-Lei"},{"family":"Lai","given":"Shan"},{"family":"Gong","given":"Yun-Nan"},{"family":"Zhong","given":"Di-Chang"},{"family":"Lu","given":"Tong-Bu"}],"issued":{"date-parts":[["2020",1,10]]}}}],"schema":"https://github.com/citation-style-language/schema/raw/master/csl-citation.json"} </w:instrText>
      </w:r>
      <w:r w:rsidRPr="00A17C97">
        <w:rPr>
          <w:lang w:val="en-US"/>
        </w:rPr>
        <w:fldChar w:fldCharType="separate"/>
      </w:r>
      <w:r w:rsidR="00F51B55" w:rsidRPr="00A17C97">
        <w:rPr>
          <w:vertAlign w:val="superscript"/>
        </w:rPr>
        <w:t>[25]</w:t>
      </w:r>
      <w:r w:rsidRPr="00A17C97">
        <w:rPr>
          <w:lang w:val="en-US"/>
        </w:rPr>
        <w:fldChar w:fldCharType="end"/>
      </w:r>
      <w:r w:rsidRPr="00A17C97">
        <w:rPr>
          <w:lang w:val="en-US"/>
        </w:rPr>
        <w:t xml:space="preserve"> to serve as a supramolecular stabilizer to form a miscible blend in the ternary device</w:t>
      </w:r>
      <w:r w:rsidRPr="00A17C97">
        <w:rPr>
          <w:lang w:val="en-US"/>
        </w:rPr>
        <w:fldChar w:fldCharType="begin"/>
      </w:r>
      <w:r w:rsidR="00F51B55" w:rsidRPr="00A17C97">
        <w:rPr>
          <w:lang w:val="en-US"/>
        </w:rPr>
        <w:instrText xml:space="preserve"> ADDIN ZOTERO_ITEM CSL_CITATION {"citationID":"Pv9Uhi8T","properties":{"formattedCitation":"\\super [26]\\nosupersub{}","plainCitation":"[26]","noteIndex":0},"citationItems":[{"id":1451,"uris":["http://zotero.org/users/10832941/items/TY9QWUXE"],"itemData":{"id":1451,"type":"article-journal","container-title":"Advanced Energy Materials","ISSN":"16146832","issue":"28","journalAbbreviation":"Adv. Energy Mater.","language":"en","page":"1702741","source":"DOI.org (Crossref)","title":"Glass Forming Acceptor Alloys for Highly Efficient and Thermally Stable Ternary Organic Solar Cells","volume":"8","author":[{"family":"De Zerio","given":"Amaia Diaz"},{"family":"Müller","given":"Christian"}],"issued":{"date-parts":[["2018",10]]}}}],"schema":"https://github.com/citation-style-language/schema/raw/master/csl-citation.json"} </w:instrText>
      </w:r>
      <w:r w:rsidRPr="00A17C97">
        <w:rPr>
          <w:lang w:val="en-US"/>
        </w:rPr>
        <w:fldChar w:fldCharType="separate"/>
      </w:r>
      <w:r w:rsidR="00F51B55" w:rsidRPr="00A17C97">
        <w:rPr>
          <w:vertAlign w:val="superscript"/>
        </w:rPr>
        <w:t>[26]</w:t>
      </w:r>
      <w:r w:rsidRPr="00A17C97">
        <w:rPr>
          <w:lang w:val="en-US"/>
        </w:rPr>
        <w:fldChar w:fldCharType="end"/>
      </w:r>
      <w:r w:rsidRPr="00A17C97">
        <w:rPr>
          <w:lang w:val="en-US"/>
        </w:rPr>
        <w:t xml:space="preserve"> for enabling a favorable nanostructure</w:t>
      </w:r>
      <w:r w:rsidRPr="00A17C97">
        <w:rPr>
          <w:lang w:val="en-US"/>
        </w:rPr>
        <w:fldChar w:fldCharType="begin"/>
      </w:r>
      <w:r w:rsidR="00F51B55" w:rsidRPr="00A17C97">
        <w:rPr>
          <w:lang w:val="en-US"/>
        </w:rPr>
        <w:instrText xml:space="preserve"> ADDIN ZOTERO_ITEM CSL_CITATION {"citationID":"eZu10EDz","properties":{"formattedCitation":"\\super [27]\\nosupersub{}","plainCitation":"[27]","noteIndex":0},"citationItems":[{"id":819,"uris":["http://zotero.org/users/10832941/items/3YS9QGYJ"],"itemData":{"id":819,"type":"article-journal","container-title":"Nature Materials","ISSN":"1476-1122, 1476-4660","issue":"6","journalAbbreviation":"Nat. Mater.","language":"en","page":"656-663","source":"DOI.org (Crossref)","title":"Single-junction organic solar cells with over 19% efficiency enabled by a refined double-fibril network morphology","volume":"21","author":[{"family":"Zhu","given":"Lei"},{"family":"Zhang","given":"Ming"},{"family":"Xu","given":"Jinqiu"},{"family":"Li","given":"Chao"},{"family":"Yan","given":"Jun"},{"family":"Zhou","given":"Guanqing"},{"family":"Zhong","given":"Wenkai"},{"family":"Hao","given":"Tianyu"},{"family":"Song","given":"Jiali"},{"family":"Xue","given":"Xiaonan"},{"family":"Zhou","given":"Zichun"},{"family":"Zeng","given":"Rui"},{"family":"Zhu","given":"Haiming"},{"family":"Chen","given":"Chun-Chao"},{"family":"MacKenzie","given":"Roderick C. I."},{"family":"Zou","given":"Yecheng"},{"family":"Nelson","given":"Jenny"},{"family":"Zhang","given":"Yongming"},{"family":"Sun","given":"Yanming"},{"family":"Liu","given":"Feng"}],"issued":{"date-parts":[["2022",6]]}}}],"schema":"https://github.com/citation-style-language/schema/raw/master/csl-citation.json"} </w:instrText>
      </w:r>
      <w:r w:rsidRPr="00A17C97">
        <w:rPr>
          <w:lang w:val="en-US"/>
        </w:rPr>
        <w:fldChar w:fldCharType="separate"/>
      </w:r>
      <w:r w:rsidR="00F51B55" w:rsidRPr="00A17C97">
        <w:rPr>
          <w:vertAlign w:val="superscript"/>
        </w:rPr>
        <w:t>[27]</w:t>
      </w:r>
      <w:r w:rsidRPr="00A17C97">
        <w:rPr>
          <w:lang w:val="en-US"/>
        </w:rPr>
        <w:fldChar w:fldCharType="end"/>
      </w:r>
      <w:r w:rsidRPr="00A17C97">
        <w:rPr>
          <w:lang w:val="en-US"/>
        </w:rPr>
        <w:t xml:space="preserve"> and robust morphology to minimize the burn-in loss. Herein, we report three dimerized acceptors </w:t>
      </w:r>
      <w:r w:rsidR="00E944E4" w:rsidRPr="00A17C97">
        <w:rPr>
          <w:lang w:val="en-US"/>
        </w:rPr>
        <w:t xml:space="preserve">with </w:t>
      </w:r>
      <w:r w:rsidR="0007763C" w:rsidRPr="00A17C97">
        <w:t>adjustable thermal transition properties</w:t>
      </w:r>
      <w:r w:rsidRPr="00A17C97">
        <w:rPr>
          <w:lang w:val="en-US"/>
        </w:rPr>
        <w:t xml:space="preserve">, for application as supramolecular stabilizers to tune the thermal transition properties of absorbers in OSCs. By introducing dimer stabilizers and optimizing their flexible linker length, the </w:t>
      </w:r>
      <w:r w:rsidRPr="00A17C97">
        <w:rPr>
          <w:i/>
          <w:iCs/>
          <w:lang w:val="en-US"/>
        </w:rPr>
        <w:t>T</w:t>
      </w:r>
      <w:r w:rsidRPr="00A17C97">
        <w:rPr>
          <w:vertAlign w:val="subscript"/>
          <w:lang w:val="en-US"/>
        </w:rPr>
        <w:t>g</w:t>
      </w:r>
      <w:r w:rsidRPr="00A17C97">
        <w:rPr>
          <w:lang w:val="en-US"/>
        </w:rPr>
        <w:t xml:space="preserve"> and </w:t>
      </w:r>
      <w:proofErr w:type="spellStart"/>
      <w:r w:rsidRPr="00A17C97">
        <w:rPr>
          <w:i/>
          <w:iCs/>
          <w:lang w:val="en-US"/>
        </w:rPr>
        <w:t>T</w:t>
      </w:r>
      <w:r w:rsidRPr="00A17C97">
        <w:rPr>
          <w:vertAlign w:val="subscript"/>
          <w:lang w:val="en-US"/>
        </w:rPr>
        <w:t>onset</w:t>
      </w:r>
      <w:proofErr w:type="spellEnd"/>
      <w:r w:rsidRPr="00A17C97">
        <w:rPr>
          <w:lang w:val="en-US"/>
        </w:rPr>
        <w:t xml:space="preserve"> of the acceptor blends can be improved </w:t>
      </w:r>
      <w:r w:rsidRPr="00A17C97">
        <w:rPr>
          <w:lang w:val="en-US"/>
        </w:rPr>
        <w:lastRenderedPageBreak/>
        <w:t>compared to that of the pristine BTP-eC9</w:t>
      </w:r>
      <w:r w:rsidR="00965D9D" w:rsidRPr="00A17C97">
        <w:rPr>
          <w:lang w:val="en-US"/>
        </w:rPr>
        <w:t>, which</w:t>
      </w:r>
      <w:r w:rsidRPr="00A17C97">
        <w:rPr>
          <w:lang w:val="en-US"/>
        </w:rPr>
        <w:t xml:space="preserve"> help restrict molecular diffusion to result in robust active layer morphology. Consequently, </w:t>
      </w:r>
      <w:r w:rsidR="00E944E4" w:rsidRPr="00A17C97">
        <w:rPr>
          <w:lang w:val="en-US"/>
        </w:rPr>
        <w:t xml:space="preserve">the incorporation of dimer stabilizer in </w:t>
      </w:r>
      <w:r w:rsidRPr="00A17C97">
        <w:rPr>
          <w:lang w:val="en-US"/>
        </w:rPr>
        <w:t xml:space="preserve">ternary planar-mixed heterojunction (PMHJ) OPV cells </w:t>
      </w:r>
      <w:r w:rsidR="00E944E4" w:rsidRPr="00A17C97">
        <w:rPr>
          <w:lang w:val="en-US"/>
        </w:rPr>
        <w:t>help</w:t>
      </w:r>
      <w:r w:rsidR="00965D9D" w:rsidRPr="00A17C97">
        <w:rPr>
          <w:lang w:val="en-US"/>
        </w:rPr>
        <w:t>s</w:t>
      </w:r>
      <w:r w:rsidR="00E944E4" w:rsidRPr="00A17C97">
        <w:rPr>
          <w:lang w:val="en-US"/>
        </w:rPr>
        <w:t xml:space="preserve"> stabilize active layer</w:t>
      </w:r>
      <w:r w:rsidRPr="00A17C97">
        <w:rPr>
          <w:lang w:val="en-US"/>
        </w:rPr>
        <w:t xml:space="preserve"> nanostructure</w:t>
      </w:r>
      <w:r w:rsidRPr="00A17C97">
        <w:rPr>
          <w:lang w:val="en-US"/>
        </w:rPr>
        <w:fldChar w:fldCharType="begin"/>
      </w:r>
      <w:r w:rsidR="00F51B55" w:rsidRPr="00A17C97">
        <w:rPr>
          <w:lang w:val="en-US"/>
        </w:rPr>
        <w:instrText xml:space="preserve"> ADDIN ZOTERO_ITEM CSL_CITATION {"citationID":"WdRfUkjV","properties":{"formattedCitation":"\\super [28,29]\\nosupersub{}","plainCitation":"[28,29]","noteIndex":0},"citationItems":[{"id":851,"uris":["http://zotero.org/users/10832941/items/NCYDWAIP"],"itemData":{"id":851,"type":"article-journal","abstract":"This article analyzes and discusses a multi-objective optimization-based layer-by-layer blade-coating approach, which provides a new technology choice for large-scale manufacturing of organic solar cells.\n          , \n            \n              A major breakthrough in organic solar cells (OSCs) in the last thirty years was the development of the bulk heterojunction (BHJ) solution processing strategy, which effectively provided a nanoscale phase-separated morphology, aiding in the separation of Coulombically bound excitons and facilitating charge transport and extraction. Compared with the application of the layer-by-layer (LbL) approach proposed in the same period, the BHJ spin-coating technology shows overwhelming advantages for evaluating the performance of photovoltaic materials and achieving more-efficient photoelectric conversion. Thus, in this study, we have further compared the BHJ and LbL processing strategies\n              via\n              the doctor-blade coating technology because it is a roll-to-roll compatible high-throughput thin film fabrication route. We systematically evaluated multiple target parameters, including morphological characteristics, optical simulation, physical kinetics, device efficiency, and blend stability issues. It is worth emphasizing that our findings disprove the old stereotypes such as the BHJ processing method is superior to the LbL technology for the preparation of high-performance OSCs and the LbL approach requires an orthogonal solvent and donor/acceptor materials with special solubility. Our studies demonstrate that the LbL blade-coating approach is a promising strategy to effectively reduce the efficiency-stability gap of OSCs and even a superior alternative to the BHJ method in commercial applications.","container-title":"Energy &amp; Environmental Science","ISSN":"1754-5692, 1754-5706","issue":"10","journalAbbreviation":"Energy Environ. Sci.","language":"en","page":"3118-3132","source":"DOI.org (Crossref)","title":"A multi-objective optimization-based layer-by-layer blade-coating approach for organic solar cells: rational control of vertical stratification for high performance","title-short":"A multi-objective optimization-based layer-by-layer blade-coating approach for organic solar cells","volume":"12","author":[{"family":"Sun","given":"Rui"},{"family":"Guo","given":"Jie"},{"family":"Wu","given":"Qiang"},{"family":"Zhang","given":"Zhuohan"},{"family":"Yang","given":"Wenyan"},{"family":"Guo","given":"Jing"},{"family":"Shi","given":"Mumin"},{"family":"Zhang","given":"Yaohong"},{"family":"Kahmann","given":"Simon"},{"family":"Ye","given":"Long"},{"family":"Jiao","given":"Xuechen"},{"family":"Loi","given":"Maria A."},{"family":"Shen","given":"Qing"},{"family":"Ade","given":"Harald"},{"family":"Tang","given":"Weihua"},{"family":"Brabec","given":"Christoph J."},{"family":"Min","given":"Jie"}],"issued":{"date-parts":[["2019"]]}},"label":"page"},{"id":1125,"uris":["http://zotero.org/users/10832941/items/6SDQLZJZ</w:instrText>
      </w:r>
      <w:r w:rsidR="00F51B55" w:rsidRPr="00A17C97">
        <w:rPr>
          <w:rFonts w:hint="eastAsia"/>
          <w:lang w:val="en-US"/>
        </w:rPr>
        <w:instrText>"],"itemData":{"id":1125,"type":"article-journal","container-title":"Advanced Materials","ISSN":"0935-9648, 1521-4095","issue":"33","journalAbbreviation":"Adv. Mater.","language":"en","page":"2202608","source":"DOI.org (Crossref)","title":"A Top</w:instrText>
      </w:r>
      <w:r w:rsidR="00F51B55" w:rsidRPr="00A17C97">
        <w:rPr>
          <w:rFonts w:hint="eastAsia"/>
          <w:lang w:val="en-US"/>
        </w:rPr>
        <w:instrText>‐</w:instrText>
      </w:r>
      <w:r w:rsidR="00F51B55" w:rsidRPr="00A17C97">
        <w:rPr>
          <w:rFonts w:hint="eastAsia"/>
          <w:lang w:val="en-US"/>
        </w:rPr>
        <w:instrText>Down Strategy to Engineer Active Layer Morphology for Highly Efficient and Stable All</w:instrText>
      </w:r>
      <w:r w:rsidR="00F51B55" w:rsidRPr="00A17C97">
        <w:rPr>
          <w:rFonts w:hint="eastAsia"/>
          <w:lang w:val="en-US"/>
        </w:rPr>
        <w:instrText>‐</w:instrText>
      </w:r>
      <w:r w:rsidR="00F51B55" w:rsidRPr="00A17C97">
        <w:rPr>
          <w:rFonts w:hint="eastAsia"/>
          <w:lang w:val="en-US"/>
        </w:rPr>
        <w:instrText>Polymer Solar Cells","volume":"34","author":[{"family":"Fu","given":"Huiting"},{"family":"Peng","given":"Zhengxing"},{"family":"Fan","given":"Qunping"},{"family":"Lin","given":"F</w:instrText>
      </w:r>
      <w:r w:rsidR="00F51B55" w:rsidRPr="00A17C97">
        <w:rPr>
          <w:lang w:val="en-US"/>
        </w:rPr>
        <w:instrText>rancis R."},{"family":"Qi","given":"Feng"},{"family":"Ran","given":"Yixin"},{"family":"Wu","given":"Ziang"},{"family":"Fan","given":"Baobing"},{"family":"Jiang","given":"Kui"},{"family":"Woo","given":"Han Young"},{"family":"Lu","given":"Guanghao"},{"famil</w:instrText>
      </w:r>
      <w:r w:rsidR="00F51B55" w:rsidRPr="00A17C97">
        <w:rPr>
          <w:rFonts w:hint="eastAsia"/>
          <w:lang w:val="en-US"/>
        </w:rPr>
        <w:instrText>y":"Ade","given":"Harald"},{"family":"Jen","given":"Alex K.</w:instrText>
      </w:r>
      <w:r w:rsidR="00F51B55" w:rsidRPr="00A17C97">
        <w:rPr>
          <w:rFonts w:hint="eastAsia"/>
          <w:lang w:val="en-US"/>
        </w:rPr>
        <w:instrText>‐</w:instrText>
      </w:r>
      <w:r w:rsidR="00F51B55" w:rsidRPr="00A17C97">
        <w:rPr>
          <w:rFonts w:hint="eastAsia"/>
          <w:lang w:val="en-US"/>
        </w:rPr>
        <w:instrText xml:space="preserve">Y."}],"issued":{"date-parts":[["2022",8]]}},"label":"page"}],"schema":"https://github.com/citation-style-language/schema/raw/master/csl-citation.json"} </w:instrText>
      </w:r>
      <w:r w:rsidRPr="00A17C97">
        <w:rPr>
          <w:lang w:val="en-US"/>
        </w:rPr>
        <w:fldChar w:fldCharType="separate"/>
      </w:r>
      <w:r w:rsidR="00F51B55" w:rsidRPr="00A17C97">
        <w:rPr>
          <w:vertAlign w:val="superscript"/>
        </w:rPr>
        <w:t>[28,29]</w:t>
      </w:r>
      <w:r w:rsidRPr="00A17C97">
        <w:rPr>
          <w:lang w:val="en-US"/>
        </w:rPr>
        <w:fldChar w:fldCharType="end"/>
      </w:r>
      <w:r w:rsidR="00E944E4" w:rsidRPr="00A17C97">
        <w:rPr>
          <w:lang w:val="en-US"/>
        </w:rPr>
        <w:t xml:space="preserve">, </w:t>
      </w:r>
      <w:r w:rsidRPr="00A17C97">
        <w:rPr>
          <w:lang w:val="en-US"/>
        </w:rPr>
        <w:t>enabl</w:t>
      </w:r>
      <w:r w:rsidR="00E944E4" w:rsidRPr="00A17C97">
        <w:rPr>
          <w:lang w:val="en-US"/>
        </w:rPr>
        <w:t>ing</w:t>
      </w:r>
      <w:r w:rsidRPr="00A17C97">
        <w:rPr>
          <w:lang w:val="en-US"/>
        </w:rPr>
        <w:t xml:space="preserve"> robust morphology to improve device </w:t>
      </w:r>
      <w:r w:rsidR="00E944E4" w:rsidRPr="00A17C97">
        <w:rPr>
          <w:lang w:val="en-US"/>
        </w:rPr>
        <w:t>stability</w:t>
      </w:r>
      <w:r w:rsidRPr="00A17C97">
        <w:rPr>
          <w:lang w:val="en-US"/>
        </w:rPr>
        <w:t xml:space="preserve">. </w:t>
      </w:r>
      <w:r w:rsidR="00E944E4" w:rsidRPr="00A17C97">
        <w:rPr>
          <w:lang w:val="en-US"/>
        </w:rPr>
        <w:t>Based on these findings, w</w:t>
      </w:r>
      <w:r w:rsidRPr="00A17C97">
        <w:rPr>
          <w:lang w:val="en-US"/>
        </w:rPr>
        <w:t xml:space="preserve">e </w:t>
      </w:r>
      <w:proofErr w:type="gramStart"/>
      <w:r w:rsidRPr="00A17C97">
        <w:rPr>
          <w:lang w:val="en-US"/>
        </w:rPr>
        <w:t>achieve</w:t>
      </w:r>
      <w:proofErr w:type="gramEnd"/>
      <w:r w:rsidRPr="00A17C97">
        <w:rPr>
          <w:lang w:val="en-US"/>
        </w:rPr>
        <w:t xml:space="preserve"> over 19% PCE in </w:t>
      </w:r>
      <w:r w:rsidR="00E944E4" w:rsidRPr="00A17C97">
        <w:rPr>
          <w:lang w:val="en-US"/>
        </w:rPr>
        <w:t xml:space="preserve">the </w:t>
      </w:r>
      <w:r w:rsidRPr="00A17C97">
        <w:rPr>
          <w:lang w:val="en-US"/>
        </w:rPr>
        <w:t>derived devices</w:t>
      </w:r>
      <w:r w:rsidR="00E944E4" w:rsidRPr="00A17C97">
        <w:rPr>
          <w:lang w:val="en-US"/>
        </w:rPr>
        <w:t xml:space="preserve">, </w:t>
      </w:r>
      <w:r w:rsidR="00965D9D" w:rsidRPr="00A17C97">
        <w:rPr>
          <w:lang w:val="en-US"/>
        </w:rPr>
        <w:t>and</w:t>
      </w:r>
      <w:r w:rsidR="00E944E4" w:rsidRPr="00A17C97">
        <w:rPr>
          <w:lang w:val="en-US"/>
        </w:rPr>
        <w:t xml:space="preserve"> a</w:t>
      </w:r>
      <w:r w:rsidRPr="00A17C97">
        <w:rPr>
          <w:lang w:val="en-US"/>
        </w:rPr>
        <w:t xml:space="preserve"> </w:t>
      </w:r>
      <w:r w:rsidR="00E944E4" w:rsidRPr="00A17C97">
        <w:rPr>
          <w:lang w:val="en-US"/>
        </w:rPr>
        <w:t>negligible</w:t>
      </w:r>
      <w:r w:rsidRPr="00A17C97">
        <w:rPr>
          <w:lang w:val="en-US"/>
        </w:rPr>
        <w:t xml:space="preserve"> burn-in loss for realizing a </w:t>
      </w:r>
      <w:r w:rsidRPr="00A17C97">
        <w:rPr>
          <w:i/>
          <w:iCs/>
          <w:lang w:val="en-US"/>
        </w:rPr>
        <w:t>T</w:t>
      </w:r>
      <w:r w:rsidRPr="00A17C97">
        <w:rPr>
          <w:vertAlign w:val="subscript"/>
          <w:lang w:val="en-US"/>
        </w:rPr>
        <w:t>98</w:t>
      </w:r>
      <w:r w:rsidRPr="00A17C97">
        <w:rPr>
          <w:lang w:val="en-US"/>
        </w:rPr>
        <w:t xml:space="preserve"> lifetime of 600 h. Our work elucidates the causes and solutions to the notorious PCE burn-in loss and offers guidelines for the future development of highly efficient and durable</w:t>
      </w:r>
      <w:r w:rsidR="00E944E4" w:rsidRPr="00A17C97">
        <w:rPr>
          <w:lang w:val="en-US"/>
        </w:rPr>
        <w:t xml:space="preserve"> OSC</w:t>
      </w:r>
      <w:r w:rsidRPr="00A17C97">
        <w:rPr>
          <w:lang w:val="en-US"/>
        </w:rPr>
        <w:t>s.</w:t>
      </w:r>
      <w:bookmarkEnd w:id="5"/>
    </w:p>
    <w:p w14:paraId="5EAE8AE7" w14:textId="0AD67FFA" w:rsidR="002E0BD3" w:rsidRPr="00466F8E" w:rsidRDefault="002E0BD3" w:rsidP="00DF0955">
      <w:pPr>
        <w:rPr>
          <w:rFonts w:eastAsiaTheme="minorEastAsia" w:hint="eastAsia"/>
          <w:lang w:val="en-US" w:eastAsia="zh-CN"/>
        </w:rPr>
      </w:pPr>
    </w:p>
    <w:p w14:paraId="47CB59FE" w14:textId="5BAAE4C9" w:rsidR="002E0BD3" w:rsidRPr="00A17C97" w:rsidRDefault="002E0BD3" w:rsidP="002E0BD3">
      <w:pPr>
        <w:spacing w:line="360" w:lineRule="auto"/>
        <w:jc w:val="both"/>
        <w:rPr>
          <w:rFonts w:eastAsiaTheme="minorEastAsia"/>
          <w:b/>
          <w:bCs/>
          <w:lang w:val="en-US" w:eastAsia="zh-CN"/>
        </w:rPr>
      </w:pPr>
      <w:r w:rsidRPr="00A17C97">
        <w:rPr>
          <w:rFonts w:eastAsiaTheme="minorEastAsia" w:hint="eastAsia"/>
          <w:b/>
          <w:bCs/>
          <w:lang w:val="en-US" w:eastAsia="zh-CN"/>
        </w:rPr>
        <w:t>2</w:t>
      </w:r>
      <w:r w:rsidRPr="00A17C97">
        <w:rPr>
          <w:rFonts w:eastAsiaTheme="minorEastAsia"/>
          <w:b/>
          <w:bCs/>
          <w:lang w:val="en-US" w:eastAsia="zh-CN"/>
        </w:rPr>
        <w:t>. Results and Discussions</w:t>
      </w:r>
    </w:p>
    <w:p w14:paraId="67AE5276" w14:textId="77777777" w:rsidR="006C1256" w:rsidRPr="00A17C97" w:rsidRDefault="006C1256" w:rsidP="006C1256">
      <w:pPr>
        <w:spacing w:line="360" w:lineRule="auto"/>
        <w:jc w:val="center"/>
      </w:pPr>
      <w:r w:rsidRPr="00A17C97">
        <w:rPr>
          <w:noProof/>
        </w:rPr>
        <w:drawing>
          <wp:inline distT="0" distB="0" distL="0" distR="0" wp14:anchorId="4775A8CD" wp14:editId="427B5610">
            <wp:extent cx="5734597" cy="2547635"/>
            <wp:effectExtent l="0" t="0" r="0" b="0"/>
            <wp:docPr id="29" name="图片 28">
              <a:extLst xmlns:a="http://schemas.openxmlformats.org/drawingml/2006/main">
                <a:ext uri="{FF2B5EF4-FFF2-40B4-BE49-F238E27FC236}">
                  <a16:creationId xmlns:a16="http://schemas.microsoft.com/office/drawing/2014/main" id="{195D0726-F990-FD94-C93E-D7390A299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195D0726-F990-FD94-C93E-D7390A299631}"/>
                        </a:ext>
                      </a:extLst>
                    </pic:cNvPr>
                    <pic:cNvPicPr>
                      <a:picLocks noChangeAspect="1"/>
                    </pic:cNvPicPr>
                  </pic:nvPicPr>
                  <pic:blipFill rotWithShape="1">
                    <a:blip r:embed="rId11"/>
                    <a:srcRect r="21992"/>
                    <a:stretch/>
                  </pic:blipFill>
                  <pic:spPr>
                    <a:xfrm>
                      <a:off x="0" y="0"/>
                      <a:ext cx="5773264" cy="2564813"/>
                    </a:xfrm>
                    <a:prstGeom prst="rect">
                      <a:avLst/>
                    </a:prstGeom>
                  </pic:spPr>
                </pic:pic>
              </a:graphicData>
            </a:graphic>
          </wp:inline>
        </w:drawing>
      </w:r>
    </w:p>
    <w:p w14:paraId="259E5D7F" w14:textId="083D997B" w:rsidR="006C1256" w:rsidRPr="00A17C97" w:rsidRDefault="006C1256" w:rsidP="006C1256">
      <w:pPr>
        <w:spacing w:after="240" w:line="360" w:lineRule="auto"/>
        <w:jc w:val="both"/>
      </w:pPr>
      <w:r w:rsidRPr="00A17C97">
        <w:rPr>
          <w:rFonts w:hint="eastAsia"/>
          <w:b/>
          <w:bCs/>
        </w:rPr>
        <w:t>F</w:t>
      </w:r>
      <w:r w:rsidRPr="00A17C97">
        <w:rPr>
          <w:b/>
          <w:bCs/>
        </w:rPr>
        <w:t xml:space="preserve">igure 1. Properties of dimer acceptors. </w:t>
      </w:r>
      <w:r w:rsidRPr="00A17C97">
        <w:t>(</w:t>
      </w:r>
      <w:r w:rsidRPr="00A17C97">
        <w:rPr>
          <w:b/>
          <w:bCs/>
        </w:rPr>
        <w:t>a</w:t>
      </w:r>
      <w:r w:rsidRPr="00A17C97">
        <w:t xml:space="preserve">) The chemical structure of </w:t>
      </w:r>
      <w:r w:rsidRPr="00A17C97">
        <w:rPr>
          <w:i/>
          <w:iCs/>
        </w:rPr>
        <w:t>d</w:t>
      </w:r>
      <w:r w:rsidRPr="00A17C97">
        <w:t xml:space="preserve">BTP-ThC2, </w:t>
      </w:r>
      <w:r w:rsidRPr="00A17C97">
        <w:rPr>
          <w:i/>
          <w:iCs/>
        </w:rPr>
        <w:t>d</w:t>
      </w:r>
      <w:r w:rsidRPr="00A17C97">
        <w:t xml:space="preserve">BTP-ThC4, and </w:t>
      </w:r>
      <w:r w:rsidRPr="00A17C97">
        <w:rPr>
          <w:i/>
          <w:iCs/>
        </w:rPr>
        <w:t>d</w:t>
      </w:r>
      <w:r w:rsidRPr="00A17C97">
        <w:t>BTP-ThC6. (</w:t>
      </w:r>
      <w:r w:rsidRPr="00A17C97">
        <w:rPr>
          <w:b/>
          <w:bCs/>
        </w:rPr>
        <w:t>b</w:t>
      </w:r>
      <w:r w:rsidRPr="00A17C97">
        <w:t>-</w:t>
      </w:r>
      <w:r w:rsidRPr="00A17C97">
        <w:rPr>
          <w:b/>
          <w:bCs/>
        </w:rPr>
        <w:t>e</w:t>
      </w:r>
      <w:r w:rsidRPr="00A17C97">
        <w:t>) The temperature-dependent absorption spectra of pristine BTP-eC9 film (</w:t>
      </w:r>
      <w:r w:rsidRPr="00A17C97">
        <w:rPr>
          <w:b/>
          <w:bCs/>
        </w:rPr>
        <w:t>b</w:t>
      </w:r>
      <w:r w:rsidRPr="00A17C97">
        <w:t>) and BTP-eC9</w:t>
      </w:r>
      <w:r w:rsidRPr="00A17C97">
        <w:rPr>
          <w:rFonts w:hint="eastAsia"/>
        </w:rPr>
        <w:t>:</w:t>
      </w:r>
      <w:r w:rsidRPr="00A17C97">
        <w:rPr>
          <w:i/>
          <w:iCs/>
        </w:rPr>
        <w:t>d</w:t>
      </w:r>
      <w:r w:rsidRPr="00A17C97">
        <w:t>BTP-ThC4 film (</w:t>
      </w:r>
      <w:r w:rsidRPr="00A17C97">
        <w:rPr>
          <w:b/>
          <w:bCs/>
        </w:rPr>
        <w:t>d</w:t>
      </w:r>
      <w:r w:rsidRPr="00A17C97">
        <w:t xml:space="preserve">), and </w:t>
      </w:r>
      <w:bookmarkStart w:id="7" w:name="_Hlk144888938"/>
      <w:r w:rsidRPr="00A17C97">
        <w:t>the temperature-dependent variations of absorption deviation</w:t>
      </w:r>
      <w:bookmarkEnd w:id="7"/>
      <w:r w:rsidRPr="00A17C97">
        <w:t xml:space="preserve"> for the pristine BTP-eC9 film (</w:t>
      </w:r>
      <w:r w:rsidRPr="00A17C97">
        <w:rPr>
          <w:b/>
          <w:bCs/>
        </w:rPr>
        <w:t>c</w:t>
      </w:r>
      <w:r w:rsidRPr="00A17C97">
        <w:t>) and BTP-eC9</w:t>
      </w:r>
      <w:r w:rsidRPr="00A17C97">
        <w:rPr>
          <w:rFonts w:hint="eastAsia"/>
        </w:rPr>
        <w:t>:</w:t>
      </w:r>
      <w:r w:rsidRPr="00A17C97">
        <w:rPr>
          <w:i/>
          <w:iCs/>
        </w:rPr>
        <w:t>d</w:t>
      </w:r>
      <w:r w:rsidRPr="00A17C97">
        <w:t>BTP-ThC4 film (</w:t>
      </w:r>
      <w:r w:rsidRPr="00A17C97">
        <w:rPr>
          <w:b/>
          <w:bCs/>
        </w:rPr>
        <w:t>e</w:t>
      </w:r>
      <w:r w:rsidRPr="00A17C97">
        <w:t>). (</w:t>
      </w:r>
      <w:r w:rsidRPr="00A17C97">
        <w:rPr>
          <w:b/>
          <w:bCs/>
        </w:rPr>
        <w:t>f</w:t>
      </w:r>
      <w:r w:rsidRPr="00A17C97">
        <w:t>)</w:t>
      </w:r>
      <w:r w:rsidRPr="00A17C97">
        <w:rPr>
          <w:b/>
          <w:bCs/>
        </w:rPr>
        <w:t xml:space="preserve"> </w:t>
      </w:r>
      <w:r w:rsidRPr="00A17C97">
        <w:t>The endo-up DSC thermograms of pristine BTP-eC9</w:t>
      </w:r>
      <w:r w:rsidRPr="00A17C97">
        <w:rPr>
          <w:rFonts w:hint="eastAsia"/>
        </w:rPr>
        <w:t>,</w:t>
      </w:r>
      <w:r w:rsidRPr="00A17C97">
        <w:t xml:space="preserve"> </w:t>
      </w:r>
      <w:r w:rsidRPr="00A17C97">
        <w:rPr>
          <w:i/>
          <w:iCs/>
        </w:rPr>
        <w:t>d</w:t>
      </w:r>
      <w:r w:rsidRPr="00A17C97">
        <w:t xml:space="preserve">BTP-ThC2, </w:t>
      </w:r>
      <w:r w:rsidRPr="00A17C97">
        <w:rPr>
          <w:i/>
          <w:iCs/>
        </w:rPr>
        <w:t>d</w:t>
      </w:r>
      <w:r w:rsidRPr="00A17C97">
        <w:t xml:space="preserve">BTP-ThC4 and </w:t>
      </w:r>
      <w:r w:rsidRPr="00A17C97">
        <w:rPr>
          <w:i/>
          <w:iCs/>
        </w:rPr>
        <w:t>d</w:t>
      </w:r>
      <w:r w:rsidRPr="00A17C97">
        <w:t>BTP-ThC6 films and blend BTP-eC9:</w:t>
      </w:r>
      <w:r w:rsidRPr="00A17C97">
        <w:rPr>
          <w:i/>
          <w:iCs/>
        </w:rPr>
        <w:t>d</w:t>
      </w:r>
      <w:r w:rsidRPr="00A17C97">
        <w:t>BTP-ThC2, BTP-eC9:</w:t>
      </w:r>
      <w:r w:rsidRPr="00A17C97">
        <w:rPr>
          <w:i/>
          <w:iCs/>
        </w:rPr>
        <w:t>d</w:t>
      </w:r>
      <w:r w:rsidRPr="00A17C97">
        <w:t>BTP-ThC4 and BTP-eC9:</w:t>
      </w:r>
      <w:r w:rsidRPr="00A17C97">
        <w:rPr>
          <w:i/>
          <w:iCs/>
        </w:rPr>
        <w:t>d</w:t>
      </w:r>
      <w:r w:rsidRPr="00A17C97">
        <w:t>BTP-ThC6 films. The heating rate during the DSC measurements is 10 ℃/min. In the DSC thermograms, the black and red lines mark the peak temperature (</w:t>
      </w:r>
      <w:r w:rsidRPr="00A17C97">
        <w:rPr>
          <w:i/>
          <w:iCs/>
        </w:rPr>
        <w:t>T</w:t>
      </w:r>
      <w:r w:rsidRPr="00A17C97">
        <w:rPr>
          <w:vertAlign w:val="subscript"/>
        </w:rPr>
        <w:t>c</w:t>
      </w:r>
      <w:r w:rsidRPr="00A17C97">
        <w:t>) and onset temperature (</w:t>
      </w:r>
      <w:r w:rsidRPr="00A17C97">
        <w:rPr>
          <w:i/>
          <w:iCs/>
        </w:rPr>
        <w:t>T</w:t>
      </w:r>
      <w:r w:rsidRPr="00A17C97">
        <w:rPr>
          <w:vertAlign w:val="subscript"/>
        </w:rPr>
        <w:t>onset</w:t>
      </w:r>
      <w:r w:rsidRPr="00A17C97">
        <w:t>) of crystallization, respectively.</w:t>
      </w:r>
    </w:p>
    <w:p w14:paraId="0CDBCF59" w14:textId="77777777" w:rsidR="006C1256" w:rsidRPr="00A17C97" w:rsidRDefault="006C1256" w:rsidP="002E0BD3">
      <w:pPr>
        <w:spacing w:line="360" w:lineRule="auto"/>
        <w:jc w:val="both"/>
        <w:rPr>
          <w:rFonts w:eastAsiaTheme="minorEastAsia"/>
          <w:b/>
          <w:bCs/>
          <w:lang w:eastAsia="zh-CN"/>
        </w:rPr>
      </w:pPr>
    </w:p>
    <w:p w14:paraId="4E6033AA" w14:textId="5996E4FE" w:rsidR="002E0BD3" w:rsidRPr="00A17C97" w:rsidRDefault="002E0BD3" w:rsidP="002E0BD3">
      <w:pPr>
        <w:spacing w:line="360" w:lineRule="auto"/>
        <w:jc w:val="both"/>
        <w:rPr>
          <w:rFonts w:eastAsiaTheme="minorEastAsia"/>
          <w:b/>
          <w:bCs/>
          <w:lang w:val="en-US" w:eastAsia="zh-CN"/>
        </w:rPr>
      </w:pPr>
      <w:r w:rsidRPr="00A17C97">
        <w:rPr>
          <w:rFonts w:eastAsiaTheme="minorEastAsia" w:hint="eastAsia"/>
          <w:b/>
          <w:bCs/>
          <w:lang w:val="en-US" w:eastAsia="zh-CN"/>
        </w:rPr>
        <w:t>2</w:t>
      </w:r>
      <w:r w:rsidRPr="00A17C97">
        <w:rPr>
          <w:rFonts w:eastAsiaTheme="minorEastAsia"/>
          <w:b/>
          <w:bCs/>
          <w:lang w:val="en-US" w:eastAsia="zh-CN"/>
        </w:rPr>
        <w:t>.1. Properties of Dimer Acceptors</w:t>
      </w:r>
    </w:p>
    <w:p w14:paraId="780DEE06" w14:textId="53DA0841" w:rsidR="002E0BD3" w:rsidRDefault="002E0BD3" w:rsidP="006960F3">
      <w:pPr>
        <w:spacing w:line="360" w:lineRule="auto"/>
        <w:ind w:firstLine="708"/>
        <w:jc w:val="both"/>
        <w:rPr>
          <w:rFonts w:eastAsiaTheme="minorEastAsia"/>
          <w:lang w:val="en-US" w:eastAsia="zh-CN"/>
        </w:rPr>
      </w:pPr>
      <w:bookmarkStart w:id="8" w:name="_Hlk150762167"/>
      <w:r w:rsidRPr="00A17C97">
        <w:rPr>
          <w:rFonts w:eastAsiaTheme="minorEastAsia" w:hint="eastAsia"/>
          <w:lang w:val="en-US" w:eastAsia="zh-CN"/>
        </w:rPr>
        <w:t>T</w:t>
      </w:r>
      <w:r w:rsidRPr="00A17C97">
        <w:rPr>
          <w:rFonts w:eastAsiaTheme="minorEastAsia"/>
          <w:lang w:val="en-US" w:eastAsia="zh-CN"/>
        </w:rPr>
        <w:t>hree dimer acceptors (</w:t>
      </w:r>
      <w:r w:rsidRPr="00A17C97">
        <w:rPr>
          <w:rFonts w:eastAsiaTheme="minorEastAsia"/>
          <w:i/>
          <w:iCs/>
          <w:lang w:val="en-US" w:eastAsia="zh-CN"/>
        </w:rPr>
        <w:t>d</w:t>
      </w:r>
      <w:r w:rsidRPr="00A17C97">
        <w:rPr>
          <w:rFonts w:eastAsiaTheme="minorEastAsia"/>
          <w:lang w:val="en-US" w:eastAsia="zh-CN"/>
        </w:rPr>
        <w:t xml:space="preserve">BTP-ThC2, </w:t>
      </w:r>
      <w:r w:rsidRPr="00A17C97">
        <w:rPr>
          <w:rFonts w:eastAsiaTheme="minorEastAsia"/>
          <w:i/>
          <w:iCs/>
          <w:lang w:val="en-US" w:eastAsia="zh-CN"/>
        </w:rPr>
        <w:t>d</w:t>
      </w:r>
      <w:r w:rsidRPr="00A17C97">
        <w:rPr>
          <w:rFonts w:eastAsiaTheme="minorEastAsia"/>
          <w:lang w:val="en-US" w:eastAsia="zh-CN"/>
        </w:rPr>
        <w:t xml:space="preserve">BTP-ThC4 and </w:t>
      </w:r>
      <w:r w:rsidRPr="00A17C97">
        <w:rPr>
          <w:rFonts w:eastAsiaTheme="minorEastAsia"/>
          <w:i/>
          <w:iCs/>
          <w:lang w:val="en-US" w:eastAsia="zh-CN"/>
        </w:rPr>
        <w:t>d</w:t>
      </w:r>
      <w:r w:rsidRPr="00A17C97">
        <w:rPr>
          <w:rFonts w:eastAsiaTheme="minorEastAsia"/>
          <w:lang w:val="en-US" w:eastAsia="zh-CN"/>
        </w:rPr>
        <w:t>BTP-ThC6) with Y6-derived conjugated backbones and different flexible linkers (</w:t>
      </w:r>
      <w:r w:rsidRPr="00A17C97">
        <w:rPr>
          <w:rFonts w:eastAsiaTheme="minorEastAsia"/>
          <w:b/>
          <w:bCs/>
          <w:lang w:val="en-US" w:eastAsia="zh-CN"/>
        </w:rPr>
        <w:t>Figure 1a</w:t>
      </w:r>
      <w:r w:rsidRPr="00A17C97">
        <w:rPr>
          <w:rFonts w:eastAsiaTheme="minorEastAsia"/>
          <w:lang w:val="en-US" w:eastAsia="zh-CN"/>
        </w:rPr>
        <w:t>) were synthesized as shown in Figure S1</w:t>
      </w:r>
      <w:r w:rsidR="00C00221" w:rsidRPr="00A17C97">
        <w:rPr>
          <w:rFonts w:eastAsiaTheme="minorEastAsia"/>
          <w:lang w:val="en-US" w:eastAsia="zh-CN"/>
        </w:rPr>
        <w:t xml:space="preserve"> (Supporting Information, SI)</w:t>
      </w:r>
      <w:r w:rsidRPr="00A17C97">
        <w:rPr>
          <w:rFonts w:eastAsiaTheme="minorEastAsia"/>
          <w:lang w:val="en-US" w:eastAsia="zh-CN"/>
        </w:rPr>
        <w:t>, and the structural information of intermediates and final products are provided in Figures S2-9</w:t>
      </w:r>
      <w:r w:rsidR="009A4FF2" w:rsidRPr="00A17C97">
        <w:rPr>
          <w:rFonts w:eastAsiaTheme="minorEastAsia"/>
          <w:lang w:val="en-US" w:eastAsia="zh-CN"/>
        </w:rPr>
        <w:t xml:space="preserve"> (SI)</w:t>
      </w:r>
      <w:r w:rsidRPr="00A17C97">
        <w:rPr>
          <w:rFonts w:eastAsiaTheme="minorEastAsia"/>
          <w:lang w:val="en-US" w:eastAsia="zh-CN"/>
        </w:rPr>
        <w:t>.</w:t>
      </w:r>
      <w:r w:rsidRPr="00A17C97">
        <w:rPr>
          <w:rFonts w:eastAsiaTheme="minorEastAsia" w:hint="eastAsia"/>
          <w:lang w:val="en-US" w:eastAsia="zh-CN"/>
        </w:rPr>
        <w:t xml:space="preserve"> </w:t>
      </w:r>
      <w:r w:rsidRPr="00A17C97">
        <w:rPr>
          <w:rFonts w:eastAsiaTheme="minorEastAsia"/>
          <w:lang w:val="en-US" w:eastAsia="zh-CN"/>
        </w:rPr>
        <w:t xml:space="preserve">The results of density-functional theory (DFT) </w:t>
      </w:r>
      <w:r w:rsidRPr="00A17C97">
        <w:rPr>
          <w:rFonts w:eastAsiaTheme="minorEastAsia"/>
          <w:lang w:val="en-US" w:eastAsia="zh-CN"/>
        </w:rPr>
        <w:lastRenderedPageBreak/>
        <w:t>calculations (Figure S10</w:t>
      </w:r>
      <w:r w:rsidR="009A4FF2" w:rsidRPr="00A17C97">
        <w:rPr>
          <w:rFonts w:eastAsiaTheme="minorEastAsia" w:hint="eastAsia"/>
          <w:lang w:val="en-US" w:eastAsia="zh-CN"/>
        </w:rPr>
        <w:t>,</w:t>
      </w:r>
      <w:r w:rsidR="009A4FF2" w:rsidRPr="00A17C97">
        <w:rPr>
          <w:rFonts w:eastAsiaTheme="minorEastAsia"/>
          <w:lang w:val="en-US" w:eastAsia="zh-CN"/>
        </w:rPr>
        <w:t xml:space="preserve"> SI</w:t>
      </w:r>
      <w:r w:rsidRPr="00A17C97">
        <w:rPr>
          <w:rFonts w:eastAsiaTheme="minorEastAsia"/>
          <w:lang w:val="en-US" w:eastAsia="zh-CN"/>
        </w:rPr>
        <w:t xml:space="preserve">) show that increasing the flexible linker length leads to decreased dihedral angle between the thienyls </w:t>
      </w:r>
      <w:r w:rsidR="009A4FF2" w:rsidRPr="00A17C97">
        <w:rPr>
          <w:rFonts w:eastAsiaTheme="minorEastAsia"/>
          <w:lang w:val="en-US" w:eastAsia="zh-CN"/>
        </w:rPr>
        <w:t>of</w:t>
      </w:r>
      <w:r w:rsidRPr="00A17C97">
        <w:rPr>
          <w:rFonts w:eastAsiaTheme="minorEastAsia"/>
          <w:lang w:val="en-US" w:eastAsia="zh-CN"/>
        </w:rPr>
        <w:t xml:space="preserve"> the flexible linker and the acceptor </w:t>
      </w:r>
      <w:r w:rsidR="009A4FF2" w:rsidRPr="00A17C97">
        <w:rPr>
          <w:rFonts w:eastAsiaTheme="minorEastAsia"/>
          <w:lang w:val="en-US" w:eastAsia="zh-CN"/>
        </w:rPr>
        <w:t>backbone</w:t>
      </w:r>
      <w:r w:rsidRPr="00A17C97">
        <w:rPr>
          <w:rFonts w:eastAsiaTheme="minorEastAsia"/>
          <w:lang w:val="en-US" w:eastAsia="zh-CN"/>
        </w:rPr>
        <w:t xml:space="preserve">, thereby reducing the torsion of dimers and further regulating </w:t>
      </w:r>
      <w:r w:rsidR="00072775" w:rsidRPr="00A17C97">
        <w:rPr>
          <w:rFonts w:eastAsiaTheme="minorEastAsia"/>
          <w:lang w:val="en-US" w:eastAsia="zh-CN"/>
        </w:rPr>
        <w:t xml:space="preserve">the </w:t>
      </w:r>
      <w:r w:rsidR="0007763C" w:rsidRPr="00A17C97">
        <w:rPr>
          <w:rFonts w:eastAsiaTheme="minorEastAsia"/>
          <w:lang w:val="en-US" w:eastAsia="zh-CN"/>
        </w:rPr>
        <w:t>thermal transition properties,</w:t>
      </w:r>
      <w:r w:rsidRPr="00A17C97">
        <w:rPr>
          <w:rFonts w:eastAsiaTheme="minorEastAsia"/>
          <w:lang w:val="en-US" w:eastAsia="zh-CN"/>
        </w:rPr>
        <w:t xml:space="preserve"> crystallization</w:t>
      </w:r>
      <w:r w:rsidR="00072775" w:rsidRPr="00A17C97">
        <w:rPr>
          <w:rFonts w:eastAsiaTheme="minorEastAsia"/>
          <w:lang w:val="en-US" w:eastAsia="zh-CN"/>
        </w:rPr>
        <w:t>,</w:t>
      </w:r>
      <w:r w:rsidRPr="00A17C97">
        <w:rPr>
          <w:rFonts w:eastAsiaTheme="minorEastAsia"/>
          <w:lang w:val="en-US" w:eastAsia="zh-CN"/>
        </w:rPr>
        <w:t xml:space="preserve"> and supramolecular π-π interactions between dimers and SMNFAs.</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{"citationID":"6a0hDeA6","properties":{"formattedCitation":"\\super [30\\uc0\\u8211{}32]\\nosupersub{}","plainCitation":"[30–32]","noteIndex":0},"citationItems":[{"id":1412,"uris":["http://zotero.org/users/10832941/items/ALGX5GXN"],"itemData":{"id":1412,"type":"article-journal","abstract":"Non-fullerene small molecular acceptors (NFSMAs) exhibit promising photovoltaic performance; however, their electron mobilities are still relatively lower than those of fullerene derivatives.\n          , \n            Non-fullerene small molecular acceptors (NFSMAs) exhibit promising photovoltaic performance; however, their electron mobilities are still relatively lower than those of fullerene derivatives. The construction of a highly planar conjugated system is an important strategy to achieve high charge mobility. In chemical parlance, it is tedious and costly to synthesize planar compounds by restricting the rotation at a specific bond. Recently, nonbonding intramolecular interactions, also termed “conformational locks,” have been considered as an alternative way to achieve planar geometry. The successful implementation of this approach for designing polymers has been extensively reported. Recently, several examples of NFSMAs containing conformational locks have been presented in the literature. This situation encourages us to perform a detailed theoretical investigation in designing planar small molecular acceptors. Various nonbonding interactions were studied using accurate computational methods, and molecules with multiple nonbonding interactions showed high planarity. Planar acceptors showed red-shifted absorption with high oscillator strengths. In addition, backbone planarity plays a very important role in tuning the charge transport properties and decreasing reorganization energy. Our results could provide important information to guide the further design of promising NFSMA materials.","container-title":"Physical Chemistry Chemical Physics","ISSN":"1463-9076, 1463-9084","issue":"4","journalAbbreviation":"Phys. Chem. Chem. Phys.","language":"en","page":"2128-2139","source":"DOI.org (Crossref)","title":"First-principles theoretical designing of planar non-fullerene small molecular acceptors for organic solar cells: manipulation of noncovalent interactions","title-short":"First-principles theoretical designing of planar non-fullerene small molecular acceptors for organic solar cells","volume":"21","author":[{"family":"Mahmood","given":"Asif"},{"family":"Tang","given":"Ailing"},{"family":"Wang","given":"Xiaochen"},{"family":"Zhou","given":"Erjun"}],"issued":{"date-parts":[["2019"]]}},"label":"page"},{"id":24,"uris":["http://zotero.org/users/10832941/items/L4ZTGAE8"],"itemData":{"id":24,"type":"article-journal","abstract":"Understanding the molecular structure and self-assembly of thiadiazole-derived non-fullerene acceptors (NFAs) is very critical for elucidating the origin of their extraordinary charge generation and transport properties that enable high power conversion eﬃciencies to be achieved in these systems. A comprehensive crystallographic study on a state-of-the-art NFA, Y6, and its selenium analog, CH1007, has been conducted which revealed that the face-to-face π-core interaction induced by benzo[2,1,3]thiadiazole S−N-containing moieties plays a signiﬁcant role in governing the molecular geometries and unique packing of Y6 and CH1007 to ensure their superior charge-transport properties. Moreover, beneﬁtting from the red-shifted optical absorption via selenium substitution, photovoltaic devices based on a PM6:CH1007:PC71BM ternary blend delivered an exceptionally high short-circuit current of 27.48 mA/cm2 and a power conversion eﬃciency of 17.08%.","archive":"Q1","archive_location":"</w:instrText>
      </w:r>
      <w:r w:rsidR="00F51B55" w:rsidRPr="00A17C97">
        <w:rPr>
          <w:rFonts w:eastAsiaTheme="minorEastAsia" w:hint="eastAsia"/>
          <w:lang w:val="en-US" w:eastAsia="zh-CN"/>
        </w:rPr>
        <w:instrText>化学</w:instrText>
      </w:r>
      <w:r w:rsidR="00F51B55" w:rsidRPr="00A17C97">
        <w:rPr>
          <w:rFonts w:eastAsiaTheme="minorEastAsia"/>
          <w:lang w:val="en-US" w:eastAsia="zh-CN"/>
        </w:rPr>
        <w:instrText>1</w:instrText>
      </w:r>
      <w:r w:rsidR="00F51B55" w:rsidRPr="00A17C97">
        <w:rPr>
          <w:rFonts w:eastAsiaTheme="minorEastAsia" w:hint="eastAsia"/>
          <w:lang w:val="en-US" w:eastAsia="zh-CN"/>
        </w:rPr>
        <w:instrText>区</w:instrText>
      </w:r>
      <w:r w:rsidR="00F51B55" w:rsidRPr="00A17C97">
        <w:rPr>
          <w:rFonts w:eastAsiaTheme="minorEastAsia"/>
          <w:lang w:val="en-US" w:eastAsia="zh-CN"/>
        </w:rPr>
        <w:instrText xml:space="preserve"> Top","call-number":"16.3832","collect</w:instrText>
      </w:r>
      <w:r w:rsidR="00F51B55" w:rsidRPr="00A17C97">
        <w:rPr>
          <w:rFonts w:eastAsiaTheme="minorEastAsia" w:hint="eastAsia"/>
          <w:lang w:val="en-US" w:eastAsia="zh-CN"/>
        </w:rPr>
        <w:instrText>ion-title":"</w:instrText>
      </w:r>
      <w:r w:rsidR="00F51B55" w:rsidRPr="00A17C97">
        <w:rPr>
          <w:rFonts w:eastAsiaTheme="minorEastAsia" w:hint="eastAsia"/>
          <w:lang w:val="en-US" w:eastAsia="zh-CN"/>
        </w:rPr>
        <w:instrText>无</w:instrText>
      </w:r>
      <w:r w:rsidR="00F51B55" w:rsidRPr="00A17C97">
        <w:rPr>
          <w:rFonts w:eastAsiaTheme="minorEastAsia" w:hint="eastAsia"/>
          <w:lang w:val="en-US" w:eastAsia="zh-CN"/>
        </w:rPr>
        <w:instrText>","container-title":"Journal of the American Chemical Society","ISSN":"0002-7863, 1520-5126","issue":"36","journalAbbreviation":"J. Am. Chem. Soc.","language":"en","license":"16.289","page":"15246-15251","source":"</w:instrText>
      </w:r>
      <w:r w:rsidR="00F51B55" w:rsidRPr="00A17C97">
        <w:rPr>
          <w:rFonts w:eastAsiaTheme="minorEastAsia" w:hint="eastAsia"/>
          <w:lang w:val="en-US" w:eastAsia="zh-CN"/>
        </w:rPr>
        <w:instrText>化学综合</w:instrText>
      </w:r>
      <w:r w:rsidR="00F51B55" w:rsidRPr="00A17C97">
        <w:rPr>
          <w:rFonts w:eastAsiaTheme="minorEastAsia" w:hint="eastAsia"/>
          <w:lang w:val="en-US" w:eastAsia="zh-CN"/>
        </w:rPr>
        <w:instrText>1</w:instrText>
      </w:r>
      <w:r w:rsidR="00F51B55" w:rsidRPr="00A17C97">
        <w:rPr>
          <w:rFonts w:eastAsiaTheme="minorEastAsia" w:hint="eastAsia"/>
          <w:lang w:val="en-US" w:eastAsia="zh-CN"/>
        </w:rPr>
        <w:instrText>区</w:instrText>
      </w:r>
      <w:r w:rsidR="00F51B55" w:rsidRPr="00A17C97">
        <w:rPr>
          <w:rFonts w:eastAsiaTheme="minorEastAsia" w:hint="eastAsia"/>
          <w:lang w:val="en-US" w:eastAsia="zh-CN"/>
        </w:rPr>
        <w:instrText>","title":"A Non-fulle</w:instrText>
      </w:r>
      <w:r w:rsidR="00F51B55" w:rsidRPr="00A17C97">
        <w:rPr>
          <w:rFonts w:eastAsiaTheme="minorEastAsia"/>
          <w:lang w:val="en-US" w:eastAsia="zh-CN"/>
        </w:rPr>
        <w:instrText xml:space="preserve">rene Acceptor with Enhanced Intermolecular π-Core Interaction for High-Performance Organic Solar Cells","volume":"142","author":[{"family":"Lin","given":"Francis"},{"family":"Jiang","given":"Kui"},{"family":"Kaminsky","given":"Werner"},{"family":"Zhu","given":"Zonglong"},{"family":"Jen","given":"Alex K.-Y."}],"issued":{"date-parts":[["2020",9,9]]}},"label":"page"},{"id":1414,"uris":["http://zotero.org/users/10832941/items/A73GXS5C"],"itemData":{"id":1414,"type":"article-journal","container-title":"Chemistry - An Asian Journal","ISSN":"18614728","issue":"8","journalAbbreviation":"Chem. Asian J.","language":"en","page":"918-923","source":"DOI.org (Crossref)","title":"Isomeric N-Annulated Perylene Diimide Dimers for Organic Solar Cells","volume":"13","author":[{"family":"Ma","given":"Zetong"},{"family":"Fu","given":"Huiting"},{"family":"Meng","given":"Dong"},{"family":"Jiang","given":"Wei"},{"family":"Sun","given":"Yanming"},{"family":"Wang","given":"Zhaohui"}],"issued":{"date-parts":[["2018",4,16]]}},"label":"page"}],"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[30–32]</w:t>
      </w:r>
      <w:r w:rsidRPr="00A17C97">
        <w:rPr>
          <w:rFonts w:eastAsiaTheme="minorEastAsia"/>
          <w:lang w:val="en-US" w:eastAsia="zh-CN"/>
        </w:rPr>
        <w:fldChar w:fldCharType="end"/>
      </w:r>
      <w:r w:rsidRPr="00A17C97">
        <w:rPr>
          <w:rFonts w:eastAsiaTheme="minorEastAsia"/>
          <w:lang w:val="en-US" w:eastAsia="zh-CN"/>
        </w:rPr>
        <w:t xml:space="preserve"> The lowest unoccupied molecular orbital (LUMO)/highest occupied molecular orbital (HOMO) energy levels of </w:t>
      </w:r>
      <w:r w:rsidRPr="00A17C97">
        <w:rPr>
          <w:rFonts w:eastAsiaTheme="minorEastAsia"/>
          <w:i/>
          <w:iCs/>
          <w:lang w:val="en-US" w:eastAsia="zh-CN"/>
        </w:rPr>
        <w:t>d</w:t>
      </w:r>
      <w:r w:rsidRPr="00A17C97">
        <w:rPr>
          <w:rFonts w:eastAsiaTheme="minorEastAsia"/>
          <w:lang w:val="en-US" w:eastAsia="zh-CN"/>
        </w:rPr>
        <w:t xml:space="preserve">BTP-ThC2, </w:t>
      </w:r>
      <w:r w:rsidRPr="00A17C97">
        <w:rPr>
          <w:rFonts w:eastAsiaTheme="minorEastAsia"/>
          <w:i/>
          <w:iCs/>
          <w:lang w:val="en-US" w:eastAsia="zh-CN"/>
        </w:rPr>
        <w:t>d</w:t>
      </w:r>
      <w:r w:rsidRPr="00A17C97">
        <w:rPr>
          <w:rFonts w:eastAsiaTheme="minorEastAsia"/>
          <w:lang w:val="en-US" w:eastAsia="zh-CN"/>
        </w:rPr>
        <w:t xml:space="preserve">BTP-ThC4 and </w:t>
      </w:r>
      <w:r w:rsidRPr="00A17C97">
        <w:rPr>
          <w:rFonts w:eastAsiaTheme="minorEastAsia"/>
          <w:i/>
          <w:iCs/>
          <w:lang w:val="en-US" w:eastAsia="zh-CN"/>
        </w:rPr>
        <w:t>d</w:t>
      </w:r>
      <w:r w:rsidRPr="00A17C97">
        <w:rPr>
          <w:rFonts w:eastAsiaTheme="minorEastAsia"/>
          <w:lang w:val="en-US" w:eastAsia="zh-CN"/>
        </w:rPr>
        <w:t xml:space="preserve">BTP-ThC6 were determined as 3.75/5.67 </w:t>
      </w:r>
      <w:r w:rsidRPr="00A17C97">
        <w:rPr>
          <w:rFonts w:eastAsiaTheme="minorEastAsia" w:hint="eastAsia"/>
          <w:lang w:val="en-US" w:eastAsia="zh-CN"/>
        </w:rPr>
        <w:t>eV</w:t>
      </w:r>
      <w:r w:rsidRPr="00A17C97">
        <w:rPr>
          <w:rFonts w:eastAsiaTheme="minorEastAsia"/>
          <w:lang w:val="en-US" w:eastAsia="zh-CN"/>
        </w:rPr>
        <w:t xml:space="preserve">, 3.75/5.68 eV, and 3.77/5.69 eV </w:t>
      </w:r>
      <w:r w:rsidRPr="00A17C97">
        <w:rPr>
          <w:rFonts w:eastAsiaTheme="minorEastAsia" w:hint="eastAsia"/>
          <w:lang w:val="en-US" w:eastAsia="zh-CN"/>
        </w:rPr>
        <w:t>(</w:t>
      </w:r>
      <w:r w:rsidRPr="00A17C97">
        <w:rPr>
          <w:rFonts w:eastAsiaTheme="minorEastAsia"/>
          <w:lang w:val="en-US" w:eastAsia="zh-CN"/>
        </w:rPr>
        <w:t>Figure S11</w:t>
      </w:r>
      <w:r w:rsidR="00C00221" w:rsidRPr="00A17C97">
        <w:rPr>
          <w:rFonts w:eastAsiaTheme="minorEastAsia"/>
          <w:lang w:val="en-US" w:eastAsia="zh-CN"/>
        </w:rPr>
        <w:t>, SI</w:t>
      </w:r>
      <w:r w:rsidRPr="00A17C97">
        <w:rPr>
          <w:rFonts w:eastAsiaTheme="minorEastAsia"/>
          <w:lang w:val="en-US" w:eastAsia="zh-CN"/>
        </w:rPr>
        <w:t>), respectively. Given that the LUMO/HOMO levels of BTP-eC9 are 4.05/5.64 eV,</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{"citationID":"rQ9g85ZY","properties":{"formattedCitation":"\\super [33]\\nosupersub{}","plainCitation":"[33]","noteIndex":0},"citationItems":[{"id":1336,"uris":["http://zotero.org/users/10832941/items/HIINZNVV"],"itemData"</w:instrText>
      </w:r>
      <w:r w:rsidR="00F51B55" w:rsidRPr="00A17C97">
        <w:rPr>
          <w:rFonts w:eastAsiaTheme="minorEastAsia" w:hint="eastAsia"/>
          <w:lang w:val="en-US" w:eastAsia="zh-CN"/>
        </w:rPr>
        <w:instrText>:{"id":1336,"type":"article-journal","container-title":"Advanced Materials","ISSN":"0935-9648, 1521-4095","issue":"19","journalAbbreviation":"Adv. Mater.","language":"en","page":"1908205","source":"DOI.org (Crossref)","title":"Single</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Junction Organic Phot</w:instrText>
      </w:r>
      <w:r w:rsidR="00F51B55" w:rsidRPr="00A17C97">
        <w:rPr>
          <w:rFonts w:eastAsiaTheme="minorEastAsia"/>
          <w:lang w:val="en-US" w:eastAsia="zh-CN"/>
        </w:rPr>
        <w:instrText xml:space="preserve">ovoltaic Cells with Approaching 18% Efficiency","volume":"32","author":[{"family":"Cui","given":"Yong"},{"family":"Yao","given":"Huifeng"},{"family":"Zhang","given":"Jianqi"},{"family":"Xian","given":"Kaihu"},{"family":"Zhang","given":"Tao"},{"family":"Hong","given":"Ling"},{"family":"Wang","given":"Yuming"},{"family":"Xu","given":"Ye"},{"family":"Ma","given":"Kangqiao"},{"family":"An","given":"Cunbin"},{"family":"He","given":"Chang"},{"family":"Wei","given":"Zhixiang"},{"family":"Gao","given":"Feng"},{"family":"Hou","given":"Jianhui"}],"issued":{"date-parts":[["2020",5]]}}}],"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[33]</w:t>
      </w:r>
      <w:r w:rsidRPr="00A17C97">
        <w:rPr>
          <w:rFonts w:eastAsiaTheme="minorEastAsia"/>
          <w:lang w:val="en-US" w:eastAsia="zh-CN"/>
        </w:rPr>
        <w:fldChar w:fldCharType="end"/>
      </w:r>
      <w:r w:rsidRPr="00A17C97">
        <w:rPr>
          <w:rFonts w:eastAsiaTheme="minorEastAsia"/>
          <w:lang w:val="en-US" w:eastAsia="zh-CN"/>
        </w:rPr>
        <w:t xml:space="preserve"> the introduction of these dimer acceptors with slightly larger bandgap into BTP-eC9 matrix can form the type I quantum well structure</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{"citationID":"pUpg4Cm9","properties":{"formattedCitation":"\\super [34]\\nosupersub{}","plainCitation":"[34]","noteIndex":0},"citationItems":[{"id":34,"uris":["http://zotero.org/users/10832941/items/73L3PCJ8"],"itemData":{"id":34,"type":"article-journal","container-title":"Nature Nanotechnology","ISSN":"1748-3387, 1748-3395","issue":"1","journalAbbreviation":"Nat. Nanotechnol.","language":"en","page":"53-60","source":"DOI.org (Crossref)","title":"Dilution effect for highly efficient multiple-component organic solar cells","volume":"17","author":[{"family":"Zuo","given":"Lijian"},{"family":"Jo","given":"Sae Byeok"},{"family":"Li","given":"Yaokai"},{"family":"Meng","given":"Yuhuan"},{"family":"Stoddard","given":"Ryan J."},{"family":"Liu","given":"Yun"},{"family":"Lin","given":"Francis"},{"family":"Shi","given":"Xueliang"},{"family":"Liu","given":"Feng"},{"family":"Hillhouse","given":"Hugh W."},{"family":"Ginger","given":"David S."},{"family":"Chen","given":"Hongzheng"},{"family":"Jen","given":"Alex K.-Y."}],"issued":{"date-parts":[["2022",1]]}}}],"schema":"https://github.com/citation-style-language/schema/raw/master/csl-citation.json"}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[34]</w:t>
      </w:r>
      <w:r w:rsidRPr="00A17C97">
        <w:rPr>
          <w:rFonts w:eastAsiaTheme="minorEastAsia"/>
          <w:lang w:val="en-US" w:eastAsia="zh-CN"/>
        </w:rPr>
        <w:fldChar w:fldCharType="end"/>
      </w:r>
      <w:r w:rsidRPr="00A17C97">
        <w:rPr>
          <w:rFonts w:eastAsiaTheme="minorEastAsia"/>
          <w:lang w:val="en-US" w:eastAsia="zh-CN"/>
        </w:rPr>
        <w:t xml:space="preserve"> (Figure S11</w:t>
      </w:r>
      <w:r w:rsidR="009A4FF2" w:rsidRPr="00A17C97">
        <w:rPr>
          <w:rFonts w:eastAsiaTheme="minorEastAsia"/>
          <w:lang w:val="en-US" w:eastAsia="zh-CN"/>
        </w:rPr>
        <w:t>, SI</w:t>
      </w:r>
      <w:r w:rsidRPr="00A17C97">
        <w:rPr>
          <w:rFonts w:eastAsiaTheme="minorEastAsia"/>
          <w:lang w:val="en-US" w:eastAsia="zh-CN"/>
        </w:rPr>
        <w:t>) to enhance the open-circuit voltage (</w:t>
      </w:r>
      <w:r w:rsidRPr="00A17C97">
        <w:rPr>
          <w:rFonts w:eastAsiaTheme="minorEastAsia"/>
          <w:i/>
          <w:iCs/>
          <w:lang w:val="en-US" w:eastAsia="zh-CN"/>
        </w:rPr>
        <w:t>V</w:t>
      </w:r>
      <w:r w:rsidRPr="00A17C97">
        <w:rPr>
          <w:rFonts w:eastAsiaTheme="minorEastAsia"/>
          <w:vertAlign w:val="subscript"/>
          <w:lang w:val="en-US" w:eastAsia="zh-CN"/>
        </w:rPr>
        <w:t>oc</w:t>
      </w:r>
      <w:r w:rsidRPr="00A17C97">
        <w:rPr>
          <w:rFonts w:eastAsiaTheme="minorEastAsia"/>
          <w:lang w:val="en-US" w:eastAsia="zh-CN"/>
        </w:rPr>
        <w:t>) of devices through the dilution effect.</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{"citationID":"VXLyJVPw","properties":{"formattedCitation":"\\super [34]\\nosupersub{}","plainCitation":"[34]","noteIndex":0},"citationItems":[{"id":34,"uris":["http://zotero.org/users/10832941/items/73L3PCJ8"],"itemData":{"id":34,"type":"article-journal","container-title":"Nature Nanotechnology","ISSN":"1748-3387, 1748-3395","issue":"1","journalAbbreviation":"Nat. Nanotechnol.","language":"en","page":"53-60","source":"DOI.org (Crossref)","title":"Dilution effect for highly efficient multiple-component organic solar cells","volume":"17","author":[{"family":"Zuo","given":"Lijian"},{"family":"Jo","given":"Sae Byeok"},{"family":"Li","given":"Yaokai"},{"family":"Meng","given":"Yuhuan"},{"family":"Stoddard","given":"Ryan J."},{"family":"Liu","given":"Yun"},{"family":"Lin","given":"Francis"},{"family":"Shi","given":"Xueliang"},{"family":"Liu","given":"Feng"},{"family":"Hillhouse","given":"Hugh W."},{"family":"Ginger","given":"David S."},{"family":"Chen","given":"Hongzheng"},{"family":"Jen","given":"Alex K.-Y."}],"issued":{"date-parts":[["2022",1]]}}}],"schema":"https://github.com/citation-style-language/schema/raw/master/csl-citation.json"}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[34]</w:t>
      </w:r>
      <w:r w:rsidRPr="00A17C97">
        <w:rPr>
          <w:rFonts w:eastAsiaTheme="minorEastAsia"/>
          <w:lang w:val="en-US" w:eastAsia="zh-CN"/>
        </w:rPr>
        <w:fldChar w:fldCharType="end"/>
      </w:r>
      <w:r w:rsidRPr="00A17C97">
        <w:rPr>
          <w:rFonts w:eastAsiaTheme="minorEastAsia"/>
          <w:lang w:val="en-US" w:eastAsia="zh-CN"/>
        </w:rPr>
        <w:t xml:space="preserve"> The optical bandgaps of BTP-eC9, </w:t>
      </w:r>
      <w:r w:rsidRPr="00A17C97">
        <w:rPr>
          <w:rFonts w:eastAsiaTheme="minorEastAsia"/>
          <w:i/>
          <w:iCs/>
          <w:lang w:val="en-US" w:eastAsia="zh-CN"/>
        </w:rPr>
        <w:t>d</w:t>
      </w:r>
      <w:r w:rsidRPr="00A17C97">
        <w:rPr>
          <w:rFonts w:eastAsiaTheme="minorEastAsia"/>
          <w:lang w:val="en-US" w:eastAsia="zh-CN"/>
        </w:rPr>
        <w:t xml:space="preserve">BTP-ThC2, </w:t>
      </w:r>
      <w:r w:rsidRPr="00A17C97">
        <w:rPr>
          <w:rFonts w:eastAsiaTheme="minorEastAsia"/>
          <w:i/>
          <w:iCs/>
          <w:lang w:val="en-US" w:eastAsia="zh-CN"/>
        </w:rPr>
        <w:t>d</w:t>
      </w:r>
      <w:r w:rsidRPr="00A17C97">
        <w:rPr>
          <w:rFonts w:eastAsiaTheme="minorEastAsia"/>
          <w:lang w:val="en-US" w:eastAsia="zh-CN"/>
        </w:rPr>
        <w:t xml:space="preserve">BTP-ThC4, and </w:t>
      </w:r>
      <w:r w:rsidRPr="00A17C97">
        <w:rPr>
          <w:rFonts w:eastAsiaTheme="minorEastAsia"/>
          <w:i/>
          <w:iCs/>
          <w:lang w:val="en-US" w:eastAsia="zh-CN"/>
        </w:rPr>
        <w:t>d</w:t>
      </w:r>
      <w:r w:rsidRPr="00A17C97">
        <w:rPr>
          <w:rFonts w:eastAsiaTheme="minorEastAsia"/>
          <w:lang w:val="en-US" w:eastAsia="zh-CN"/>
        </w:rPr>
        <w:t>BTP-ThC6 were determined as 1.32, 1.39, 1.40, and 1.39 eV (Figure S11</w:t>
      </w:r>
      <w:r w:rsidR="009A4FF2" w:rsidRPr="00A17C97">
        <w:rPr>
          <w:rFonts w:eastAsiaTheme="minorEastAsia"/>
          <w:lang w:val="en-US" w:eastAsia="zh-CN"/>
        </w:rPr>
        <w:t>, SI</w:t>
      </w:r>
      <w:r w:rsidRPr="00A17C97">
        <w:rPr>
          <w:rFonts w:eastAsiaTheme="minorEastAsia"/>
          <w:lang w:val="en-US" w:eastAsia="zh-CN"/>
        </w:rPr>
        <w:t>), respectively, whose trend agrees well with the results from cyclic voltammetry</w:t>
      </w:r>
      <w:r w:rsidRPr="00A17C97">
        <w:rPr>
          <w:rFonts w:eastAsiaTheme="minorEastAsia" w:hint="eastAsia"/>
          <w:lang w:val="en-US" w:eastAsia="zh-CN"/>
        </w:rPr>
        <w:t xml:space="preserve"> </w:t>
      </w:r>
      <w:r w:rsidRPr="00A17C97">
        <w:rPr>
          <w:rFonts w:eastAsiaTheme="minorEastAsia"/>
          <w:lang w:val="en-US" w:eastAsia="zh-CN"/>
        </w:rPr>
        <w:t>(CV) measurements.</w:t>
      </w:r>
      <w:bookmarkEnd w:id="8"/>
    </w:p>
    <w:p w14:paraId="1DF781A8" w14:textId="77777777" w:rsidR="002E0BD3" w:rsidRDefault="002E0BD3" w:rsidP="002E0BD3">
      <w:pPr>
        <w:spacing w:line="360" w:lineRule="auto"/>
        <w:jc w:val="both"/>
        <w:rPr>
          <w:rFonts w:eastAsiaTheme="minorEastAsia"/>
          <w:lang w:eastAsia="zh-CN"/>
        </w:rPr>
      </w:pPr>
    </w:p>
    <w:p w14:paraId="05A0B992" w14:textId="77777777" w:rsidR="0023656E" w:rsidRDefault="0023656E" w:rsidP="0023656E">
      <w:pPr>
        <w:spacing w:line="360" w:lineRule="auto"/>
        <w:jc w:val="both"/>
      </w:pPr>
      <w:r w:rsidRPr="000236EB">
        <w:rPr>
          <w:b/>
          <w:bCs/>
        </w:rPr>
        <w:t>Table 1.</w:t>
      </w:r>
      <w:r>
        <w:t xml:space="preserve"> The parameters related to thermal transitions </w:t>
      </w:r>
      <w:r>
        <w:rPr>
          <w:rFonts w:hint="eastAsia"/>
        </w:rPr>
        <w:t>o</w:t>
      </w:r>
      <w:r>
        <w:t xml:space="preserve">f pristine BTP-eC9 and blended acceptors. </w:t>
      </w:r>
    </w:p>
    <w:tbl>
      <w:tblPr>
        <w:tblStyle w:val="af"/>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2322"/>
        <w:gridCol w:w="1695"/>
        <w:gridCol w:w="2268"/>
      </w:tblGrid>
      <w:tr w:rsidR="0023656E" w:rsidRPr="000236EB" w14:paraId="31C3F07C" w14:textId="77777777" w:rsidTr="0023656E">
        <w:tc>
          <w:tcPr>
            <w:tcW w:w="1536" w:type="pct"/>
            <w:tcBorders>
              <w:top w:val="single" w:sz="4" w:space="0" w:color="auto"/>
              <w:bottom w:val="single" w:sz="4" w:space="0" w:color="auto"/>
            </w:tcBorders>
            <w:vAlign w:val="center"/>
          </w:tcPr>
          <w:p w14:paraId="01FBB9B6" w14:textId="77777777" w:rsidR="0023656E" w:rsidRPr="00587A83" w:rsidRDefault="0023656E" w:rsidP="0023656E">
            <w:pPr>
              <w:jc w:val="center"/>
              <w:rPr>
                <w:rFonts w:ascii="Times New Roman" w:hAnsi="Times New Roman" w:cs="Times New Roman"/>
                <w:b/>
                <w:bCs/>
                <w:szCs w:val="21"/>
              </w:rPr>
            </w:pPr>
            <w:r w:rsidRPr="00587A83">
              <w:rPr>
                <w:rFonts w:ascii="Times New Roman" w:hAnsi="Times New Roman" w:cs="Times New Roman" w:hint="eastAsia"/>
                <w:b/>
                <w:bCs/>
                <w:szCs w:val="21"/>
              </w:rPr>
              <w:t>M</w:t>
            </w:r>
            <w:r w:rsidRPr="00587A83">
              <w:rPr>
                <w:rFonts w:ascii="Times New Roman" w:hAnsi="Times New Roman" w:cs="Times New Roman"/>
                <w:b/>
                <w:bCs/>
                <w:szCs w:val="21"/>
              </w:rPr>
              <w:t>aterials</w:t>
            </w:r>
          </w:p>
        </w:tc>
        <w:tc>
          <w:tcPr>
            <w:tcW w:w="1280" w:type="pct"/>
            <w:tcBorders>
              <w:top w:val="single" w:sz="4" w:space="0" w:color="auto"/>
              <w:bottom w:val="single" w:sz="4" w:space="0" w:color="auto"/>
            </w:tcBorders>
            <w:vAlign w:val="center"/>
          </w:tcPr>
          <w:p w14:paraId="311019EA" w14:textId="62BB4B94" w:rsidR="0023656E" w:rsidRDefault="0023656E" w:rsidP="0023656E">
            <w:pPr>
              <w:jc w:val="center"/>
              <w:rPr>
                <w:rFonts w:ascii="Times New Roman" w:hAnsi="Times New Roman" w:cs="Times New Roman"/>
                <w:b/>
                <w:bCs/>
                <w:szCs w:val="21"/>
              </w:rPr>
            </w:pPr>
            <w:r w:rsidRPr="00587A83">
              <w:rPr>
                <w:rFonts w:ascii="Times New Roman" w:hAnsi="Times New Roman" w:cs="Times New Roman" w:hint="eastAsia"/>
                <w:b/>
                <w:bCs/>
                <w:i/>
                <w:iCs/>
                <w:szCs w:val="21"/>
              </w:rPr>
              <w:t>T</w:t>
            </w:r>
            <w:r w:rsidRPr="00587A83">
              <w:rPr>
                <w:rFonts w:ascii="Times New Roman" w:hAnsi="Times New Roman" w:cs="Times New Roman"/>
                <w:b/>
                <w:bCs/>
                <w:szCs w:val="21"/>
                <w:vertAlign w:val="subscript"/>
              </w:rPr>
              <w:t>g</w:t>
            </w:r>
            <w:r w:rsidRPr="00587A83">
              <w:rPr>
                <w:rFonts w:ascii="Times New Roman" w:hAnsi="Times New Roman" w:cs="Times New Roman"/>
                <w:b/>
                <w:bCs/>
                <w:szCs w:val="21"/>
                <w:vertAlign w:val="superscript"/>
              </w:rPr>
              <w:t xml:space="preserve"> a</w:t>
            </w:r>
          </w:p>
          <w:p w14:paraId="51BEF296" w14:textId="77777777" w:rsidR="0023656E" w:rsidRPr="00587A83" w:rsidRDefault="0023656E" w:rsidP="0023656E">
            <w:pPr>
              <w:jc w:val="center"/>
              <w:rPr>
                <w:rFonts w:ascii="Times New Roman" w:hAnsi="Times New Roman" w:cs="Times New Roman"/>
                <w:b/>
                <w:bCs/>
                <w:szCs w:val="21"/>
              </w:rPr>
            </w:pPr>
            <w:r w:rsidRPr="00587A83">
              <w:rPr>
                <w:rFonts w:ascii="Times New Roman" w:hAnsi="Times New Roman" w:cs="Times New Roman"/>
                <w:b/>
                <w:bCs/>
                <w:szCs w:val="21"/>
              </w:rPr>
              <w:t>(</w:t>
            </w:r>
            <w:r w:rsidRPr="00587A83">
              <w:rPr>
                <w:rFonts w:ascii="Times New Roman" w:hAnsi="Times New Roman" w:cs="Times New Roman"/>
                <w:b/>
                <w:bCs/>
                <w:szCs w:val="21"/>
                <w:vertAlign w:val="superscript"/>
              </w:rPr>
              <w:t>o</w:t>
            </w:r>
            <w:r w:rsidRPr="00587A83">
              <w:rPr>
                <w:rFonts w:ascii="Times New Roman" w:hAnsi="Times New Roman" w:cs="Times New Roman"/>
                <w:b/>
                <w:bCs/>
                <w:szCs w:val="21"/>
              </w:rPr>
              <w:t>C)</w:t>
            </w:r>
          </w:p>
        </w:tc>
        <w:tc>
          <w:tcPr>
            <w:tcW w:w="934" w:type="pct"/>
            <w:tcBorders>
              <w:top w:val="single" w:sz="4" w:space="0" w:color="auto"/>
              <w:bottom w:val="single" w:sz="4" w:space="0" w:color="auto"/>
            </w:tcBorders>
            <w:vAlign w:val="center"/>
          </w:tcPr>
          <w:p w14:paraId="256D4766" w14:textId="77777777" w:rsidR="0023656E" w:rsidRDefault="0023656E" w:rsidP="0023656E">
            <w:pPr>
              <w:jc w:val="center"/>
              <w:rPr>
                <w:rFonts w:ascii="Times New Roman" w:hAnsi="Times New Roman" w:cs="Times New Roman"/>
                <w:b/>
                <w:bCs/>
                <w:szCs w:val="21"/>
              </w:rPr>
            </w:pPr>
            <w:r w:rsidRPr="00587A83">
              <w:rPr>
                <w:rFonts w:ascii="Times New Roman" w:hAnsi="Times New Roman" w:cs="Times New Roman" w:hint="eastAsia"/>
                <w:b/>
                <w:bCs/>
                <w:i/>
                <w:iCs/>
                <w:szCs w:val="21"/>
              </w:rPr>
              <w:t>T</w:t>
            </w:r>
            <w:r w:rsidRPr="00587A83">
              <w:rPr>
                <w:rFonts w:ascii="Times New Roman" w:hAnsi="Times New Roman" w:cs="Times New Roman"/>
                <w:b/>
                <w:bCs/>
                <w:szCs w:val="21"/>
                <w:vertAlign w:val="subscript"/>
              </w:rPr>
              <w:t>onset</w:t>
            </w:r>
            <w:r w:rsidRPr="00587A83">
              <w:rPr>
                <w:rFonts w:ascii="Times New Roman" w:hAnsi="Times New Roman" w:cs="Times New Roman"/>
                <w:b/>
                <w:bCs/>
                <w:szCs w:val="21"/>
              </w:rPr>
              <w:t xml:space="preserve"> </w:t>
            </w:r>
            <w:r w:rsidRPr="00587A83">
              <w:rPr>
                <w:rFonts w:ascii="Times New Roman" w:hAnsi="Times New Roman" w:cs="Times New Roman"/>
                <w:b/>
                <w:bCs/>
                <w:szCs w:val="21"/>
                <w:vertAlign w:val="superscript"/>
              </w:rPr>
              <w:t>b</w:t>
            </w:r>
          </w:p>
          <w:p w14:paraId="6C58E4E6" w14:textId="77777777" w:rsidR="0023656E" w:rsidRPr="00587A83" w:rsidRDefault="0023656E" w:rsidP="0023656E">
            <w:pPr>
              <w:jc w:val="center"/>
              <w:rPr>
                <w:rFonts w:ascii="Times New Roman" w:hAnsi="Times New Roman" w:cs="Times New Roman"/>
                <w:b/>
                <w:bCs/>
                <w:szCs w:val="21"/>
              </w:rPr>
            </w:pPr>
            <w:r w:rsidRPr="00587A83">
              <w:rPr>
                <w:rFonts w:ascii="Times New Roman" w:hAnsi="Times New Roman" w:cs="Times New Roman"/>
                <w:b/>
                <w:bCs/>
                <w:szCs w:val="21"/>
              </w:rPr>
              <w:t>(</w:t>
            </w:r>
            <w:r w:rsidRPr="00587A83">
              <w:rPr>
                <w:rFonts w:ascii="Times New Roman" w:hAnsi="Times New Roman" w:cs="Times New Roman"/>
                <w:b/>
                <w:bCs/>
                <w:szCs w:val="21"/>
                <w:vertAlign w:val="superscript"/>
              </w:rPr>
              <w:t>o</w:t>
            </w:r>
            <w:r w:rsidRPr="00587A83">
              <w:rPr>
                <w:rFonts w:ascii="Times New Roman" w:hAnsi="Times New Roman" w:cs="Times New Roman"/>
                <w:b/>
                <w:bCs/>
                <w:szCs w:val="21"/>
              </w:rPr>
              <w:t>C)</w:t>
            </w:r>
          </w:p>
        </w:tc>
        <w:tc>
          <w:tcPr>
            <w:tcW w:w="1250" w:type="pct"/>
            <w:tcBorders>
              <w:top w:val="single" w:sz="4" w:space="0" w:color="auto"/>
              <w:bottom w:val="single" w:sz="4" w:space="0" w:color="auto"/>
            </w:tcBorders>
            <w:vAlign w:val="center"/>
          </w:tcPr>
          <w:p w14:paraId="29524B62" w14:textId="464F5B0F" w:rsidR="0023656E" w:rsidRDefault="0023656E" w:rsidP="0023656E">
            <w:pPr>
              <w:jc w:val="center"/>
              <w:rPr>
                <w:rFonts w:ascii="Times New Roman" w:hAnsi="Times New Roman" w:cs="Times New Roman"/>
                <w:b/>
                <w:bCs/>
                <w:szCs w:val="21"/>
              </w:rPr>
            </w:pPr>
            <w:r w:rsidRPr="00587A83">
              <w:rPr>
                <w:rFonts w:ascii="Times New Roman" w:hAnsi="Times New Roman" w:cs="Times New Roman" w:hint="eastAsia"/>
                <w:b/>
                <w:bCs/>
                <w:i/>
                <w:iCs/>
                <w:szCs w:val="21"/>
              </w:rPr>
              <w:t>T</w:t>
            </w:r>
            <w:r w:rsidRPr="00587A83">
              <w:rPr>
                <w:rFonts w:ascii="Times New Roman" w:hAnsi="Times New Roman" w:cs="Times New Roman"/>
                <w:b/>
                <w:bCs/>
                <w:szCs w:val="21"/>
                <w:vertAlign w:val="subscript"/>
              </w:rPr>
              <w:t>c</w:t>
            </w:r>
            <w:r w:rsidRPr="00587A83">
              <w:rPr>
                <w:rFonts w:ascii="Times New Roman" w:hAnsi="Times New Roman" w:cs="Times New Roman"/>
                <w:b/>
                <w:bCs/>
                <w:szCs w:val="21"/>
                <w:vertAlign w:val="superscript"/>
              </w:rPr>
              <w:t xml:space="preserve"> b</w:t>
            </w:r>
          </w:p>
          <w:p w14:paraId="5522C3F2" w14:textId="77777777" w:rsidR="0023656E" w:rsidRPr="00587A83" w:rsidRDefault="0023656E" w:rsidP="0023656E">
            <w:pPr>
              <w:jc w:val="center"/>
              <w:rPr>
                <w:rFonts w:ascii="Times New Roman" w:hAnsi="Times New Roman" w:cs="Times New Roman"/>
                <w:b/>
                <w:bCs/>
                <w:szCs w:val="21"/>
              </w:rPr>
            </w:pPr>
            <w:r w:rsidRPr="00587A83">
              <w:rPr>
                <w:rFonts w:ascii="Times New Roman" w:hAnsi="Times New Roman" w:cs="Times New Roman"/>
                <w:b/>
                <w:bCs/>
                <w:szCs w:val="21"/>
              </w:rPr>
              <w:t>(</w:t>
            </w:r>
            <w:r w:rsidRPr="00587A83">
              <w:rPr>
                <w:rFonts w:ascii="Times New Roman" w:hAnsi="Times New Roman" w:cs="Times New Roman"/>
                <w:b/>
                <w:bCs/>
                <w:szCs w:val="21"/>
                <w:vertAlign w:val="superscript"/>
              </w:rPr>
              <w:t>o</w:t>
            </w:r>
            <w:r w:rsidRPr="00587A83">
              <w:rPr>
                <w:rFonts w:ascii="Times New Roman" w:hAnsi="Times New Roman" w:cs="Times New Roman"/>
                <w:b/>
                <w:bCs/>
                <w:szCs w:val="21"/>
              </w:rPr>
              <w:t>C)</w:t>
            </w:r>
          </w:p>
        </w:tc>
      </w:tr>
      <w:tr w:rsidR="0023656E" w14:paraId="14EC622B" w14:textId="77777777" w:rsidTr="0023656E">
        <w:tc>
          <w:tcPr>
            <w:tcW w:w="1536" w:type="pct"/>
            <w:tcBorders>
              <w:top w:val="single" w:sz="4" w:space="0" w:color="auto"/>
            </w:tcBorders>
            <w:vAlign w:val="center"/>
          </w:tcPr>
          <w:p w14:paraId="44ED8928"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B</w:t>
            </w:r>
            <w:r w:rsidRPr="00587A83">
              <w:rPr>
                <w:rFonts w:ascii="Times New Roman" w:hAnsi="Times New Roman" w:cs="Times New Roman"/>
                <w:szCs w:val="21"/>
              </w:rPr>
              <w:t>TP-eC9</w:t>
            </w:r>
          </w:p>
        </w:tc>
        <w:tc>
          <w:tcPr>
            <w:tcW w:w="1280" w:type="pct"/>
            <w:tcBorders>
              <w:top w:val="single" w:sz="4" w:space="0" w:color="auto"/>
            </w:tcBorders>
            <w:vAlign w:val="center"/>
          </w:tcPr>
          <w:p w14:paraId="67B3A1A4"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7</w:t>
            </w:r>
            <w:r w:rsidRPr="00587A83">
              <w:rPr>
                <w:rFonts w:ascii="Times New Roman" w:hAnsi="Times New Roman" w:cs="Times New Roman"/>
                <w:szCs w:val="21"/>
              </w:rPr>
              <w:t>2</w:t>
            </w:r>
          </w:p>
        </w:tc>
        <w:tc>
          <w:tcPr>
            <w:tcW w:w="934" w:type="pct"/>
            <w:tcBorders>
              <w:top w:val="single" w:sz="4" w:space="0" w:color="auto"/>
            </w:tcBorders>
            <w:vAlign w:val="center"/>
          </w:tcPr>
          <w:p w14:paraId="714CEFCF" w14:textId="65A213B1" w:rsidR="0023656E" w:rsidRPr="00587A83" w:rsidRDefault="0023656E" w:rsidP="0023656E">
            <w:pPr>
              <w:jc w:val="center"/>
              <w:rPr>
                <w:rFonts w:ascii="Times New Roman" w:hAnsi="Times New Roman" w:cs="Times New Roman"/>
                <w:szCs w:val="21"/>
                <w:lang w:eastAsia="zh-CN"/>
              </w:rPr>
            </w:pPr>
            <w:r w:rsidRPr="00587A83">
              <w:rPr>
                <w:rFonts w:ascii="Times New Roman" w:hAnsi="Times New Roman" w:cs="Times New Roman" w:hint="eastAsia"/>
                <w:szCs w:val="21"/>
              </w:rPr>
              <w:t>1</w:t>
            </w:r>
            <w:r w:rsidRPr="00587A83">
              <w:rPr>
                <w:rFonts w:ascii="Times New Roman" w:hAnsi="Times New Roman" w:cs="Times New Roman"/>
                <w:szCs w:val="21"/>
              </w:rPr>
              <w:t>6</w:t>
            </w:r>
            <w:r w:rsidR="005E2109">
              <w:rPr>
                <w:rFonts w:ascii="Times New Roman" w:hAnsi="Times New Roman" w:cs="Times New Roman" w:hint="eastAsia"/>
                <w:szCs w:val="21"/>
                <w:lang w:eastAsia="zh-CN"/>
              </w:rPr>
              <w:t>2</w:t>
            </w:r>
          </w:p>
        </w:tc>
        <w:tc>
          <w:tcPr>
            <w:tcW w:w="1250" w:type="pct"/>
            <w:tcBorders>
              <w:top w:val="single" w:sz="4" w:space="0" w:color="auto"/>
            </w:tcBorders>
            <w:vAlign w:val="center"/>
          </w:tcPr>
          <w:p w14:paraId="2F98D33C"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89</w:t>
            </w:r>
          </w:p>
        </w:tc>
      </w:tr>
      <w:tr w:rsidR="0023656E" w14:paraId="674B9575" w14:textId="77777777" w:rsidTr="0023656E">
        <w:tc>
          <w:tcPr>
            <w:tcW w:w="1536" w:type="pct"/>
            <w:vAlign w:val="center"/>
          </w:tcPr>
          <w:p w14:paraId="4B7EB608"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B</w:t>
            </w:r>
            <w:r w:rsidRPr="00587A83">
              <w:rPr>
                <w:rFonts w:ascii="Times New Roman" w:hAnsi="Times New Roman" w:cs="Times New Roman"/>
                <w:szCs w:val="21"/>
              </w:rPr>
              <w:t>TP-eC9:</w:t>
            </w:r>
            <w:r w:rsidRPr="00587A83">
              <w:rPr>
                <w:rFonts w:ascii="Times New Roman" w:hAnsi="Times New Roman" w:cs="Times New Roman"/>
                <w:i/>
                <w:iCs/>
                <w:szCs w:val="21"/>
              </w:rPr>
              <w:t>d</w:t>
            </w:r>
            <w:r w:rsidRPr="00587A83">
              <w:rPr>
                <w:rFonts w:ascii="Times New Roman" w:hAnsi="Times New Roman" w:cs="Times New Roman"/>
                <w:szCs w:val="21"/>
              </w:rPr>
              <w:t>BTP-ThC2</w:t>
            </w:r>
          </w:p>
        </w:tc>
        <w:tc>
          <w:tcPr>
            <w:tcW w:w="1280" w:type="pct"/>
            <w:vAlign w:val="center"/>
          </w:tcPr>
          <w:p w14:paraId="571A2367"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7</w:t>
            </w:r>
            <w:r w:rsidRPr="00587A83">
              <w:rPr>
                <w:rFonts w:ascii="Times New Roman" w:hAnsi="Times New Roman" w:cs="Times New Roman"/>
                <w:szCs w:val="21"/>
              </w:rPr>
              <w:t>4</w:t>
            </w:r>
          </w:p>
        </w:tc>
        <w:tc>
          <w:tcPr>
            <w:tcW w:w="934" w:type="pct"/>
            <w:vAlign w:val="center"/>
          </w:tcPr>
          <w:p w14:paraId="20CCFFBC"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73</w:t>
            </w:r>
          </w:p>
        </w:tc>
        <w:tc>
          <w:tcPr>
            <w:tcW w:w="1250" w:type="pct"/>
            <w:vAlign w:val="center"/>
          </w:tcPr>
          <w:p w14:paraId="737B968D"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90</w:t>
            </w:r>
          </w:p>
        </w:tc>
      </w:tr>
      <w:tr w:rsidR="0023656E" w14:paraId="00A9851A" w14:textId="77777777" w:rsidTr="0023656E">
        <w:tc>
          <w:tcPr>
            <w:tcW w:w="1536" w:type="pct"/>
            <w:vAlign w:val="center"/>
          </w:tcPr>
          <w:p w14:paraId="59B19B9E"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B</w:t>
            </w:r>
            <w:r w:rsidRPr="00587A83">
              <w:rPr>
                <w:rFonts w:ascii="Times New Roman" w:hAnsi="Times New Roman" w:cs="Times New Roman"/>
                <w:szCs w:val="21"/>
              </w:rPr>
              <w:t>TP-eC9:</w:t>
            </w:r>
            <w:r w:rsidRPr="00587A83">
              <w:rPr>
                <w:rFonts w:ascii="Times New Roman" w:hAnsi="Times New Roman" w:cs="Times New Roman"/>
                <w:i/>
                <w:iCs/>
                <w:szCs w:val="21"/>
              </w:rPr>
              <w:t>d</w:t>
            </w:r>
            <w:r w:rsidRPr="00587A83">
              <w:rPr>
                <w:rFonts w:ascii="Times New Roman" w:hAnsi="Times New Roman" w:cs="Times New Roman"/>
                <w:szCs w:val="21"/>
              </w:rPr>
              <w:t>BTP-ThC4</w:t>
            </w:r>
          </w:p>
        </w:tc>
        <w:tc>
          <w:tcPr>
            <w:tcW w:w="1280" w:type="pct"/>
            <w:vAlign w:val="center"/>
          </w:tcPr>
          <w:p w14:paraId="0DABEEBE"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8</w:t>
            </w:r>
            <w:r w:rsidRPr="00587A83">
              <w:rPr>
                <w:rFonts w:ascii="Times New Roman" w:hAnsi="Times New Roman" w:cs="Times New Roman"/>
                <w:szCs w:val="21"/>
              </w:rPr>
              <w:t>2</w:t>
            </w:r>
          </w:p>
        </w:tc>
        <w:tc>
          <w:tcPr>
            <w:tcW w:w="934" w:type="pct"/>
            <w:vAlign w:val="center"/>
          </w:tcPr>
          <w:p w14:paraId="17F2A98C"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7</w:t>
            </w:r>
            <w:r>
              <w:rPr>
                <w:rFonts w:ascii="Times New Roman" w:hAnsi="Times New Roman" w:cs="Times New Roman"/>
                <w:szCs w:val="21"/>
              </w:rPr>
              <w:t>5</w:t>
            </w:r>
          </w:p>
        </w:tc>
        <w:tc>
          <w:tcPr>
            <w:tcW w:w="1250" w:type="pct"/>
            <w:vAlign w:val="center"/>
          </w:tcPr>
          <w:p w14:paraId="535F0E04"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92</w:t>
            </w:r>
          </w:p>
        </w:tc>
      </w:tr>
      <w:tr w:rsidR="0023656E" w14:paraId="1C85F689" w14:textId="77777777" w:rsidTr="0023656E">
        <w:tc>
          <w:tcPr>
            <w:tcW w:w="1536" w:type="pct"/>
            <w:vAlign w:val="center"/>
          </w:tcPr>
          <w:p w14:paraId="0263DB2A"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B</w:t>
            </w:r>
            <w:r w:rsidRPr="00587A83">
              <w:rPr>
                <w:rFonts w:ascii="Times New Roman" w:hAnsi="Times New Roman" w:cs="Times New Roman"/>
                <w:szCs w:val="21"/>
              </w:rPr>
              <w:t>TP-eC9:</w:t>
            </w:r>
            <w:r w:rsidRPr="00587A83">
              <w:rPr>
                <w:rFonts w:ascii="Times New Roman" w:hAnsi="Times New Roman" w:cs="Times New Roman"/>
                <w:i/>
                <w:iCs/>
                <w:szCs w:val="21"/>
              </w:rPr>
              <w:t>d</w:t>
            </w:r>
            <w:r w:rsidRPr="00587A83">
              <w:rPr>
                <w:rFonts w:ascii="Times New Roman" w:hAnsi="Times New Roman" w:cs="Times New Roman"/>
                <w:szCs w:val="21"/>
              </w:rPr>
              <w:t>BTP-ThC6</w:t>
            </w:r>
          </w:p>
        </w:tc>
        <w:tc>
          <w:tcPr>
            <w:tcW w:w="1280" w:type="pct"/>
            <w:vAlign w:val="center"/>
          </w:tcPr>
          <w:p w14:paraId="4BDB8DE2"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7</w:t>
            </w:r>
            <w:r w:rsidRPr="00587A83">
              <w:rPr>
                <w:rFonts w:ascii="Times New Roman" w:hAnsi="Times New Roman" w:cs="Times New Roman"/>
                <w:szCs w:val="21"/>
              </w:rPr>
              <w:t>8</w:t>
            </w:r>
          </w:p>
        </w:tc>
        <w:tc>
          <w:tcPr>
            <w:tcW w:w="934" w:type="pct"/>
            <w:vAlign w:val="center"/>
          </w:tcPr>
          <w:p w14:paraId="40DF0236"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74</w:t>
            </w:r>
          </w:p>
        </w:tc>
        <w:tc>
          <w:tcPr>
            <w:tcW w:w="1250" w:type="pct"/>
            <w:vAlign w:val="center"/>
          </w:tcPr>
          <w:p w14:paraId="46649A73" w14:textId="77777777" w:rsidR="0023656E" w:rsidRPr="00587A83" w:rsidRDefault="0023656E" w:rsidP="0023656E">
            <w:pPr>
              <w:jc w:val="center"/>
              <w:rPr>
                <w:rFonts w:ascii="Times New Roman" w:hAnsi="Times New Roman" w:cs="Times New Roman"/>
                <w:szCs w:val="21"/>
              </w:rPr>
            </w:pPr>
            <w:r w:rsidRPr="00587A83">
              <w:rPr>
                <w:rFonts w:ascii="Times New Roman" w:hAnsi="Times New Roman" w:cs="Times New Roman" w:hint="eastAsia"/>
                <w:szCs w:val="21"/>
              </w:rPr>
              <w:t>1</w:t>
            </w:r>
            <w:r w:rsidRPr="00587A83">
              <w:rPr>
                <w:rFonts w:ascii="Times New Roman" w:hAnsi="Times New Roman" w:cs="Times New Roman"/>
                <w:szCs w:val="21"/>
              </w:rPr>
              <w:t>90</w:t>
            </w:r>
          </w:p>
        </w:tc>
      </w:tr>
    </w:tbl>
    <w:p w14:paraId="5A4FA78E" w14:textId="77777777" w:rsidR="0023656E" w:rsidRPr="00C723E2" w:rsidRDefault="0023656E" w:rsidP="0023656E">
      <w:pPr>
        <w:spacing w:line="360" w:lineRule="auto"/>
        <w:jc w:val="both"/>
        <w:rPr>
          <w:szCs w:val="21"/>
        </w:rPr>
      </w:pPr>
      <w:r w:rsidRPr="00C723E2">
        <w:rPr>
          <w:rFonts w:hint="eastAsia"/>
          <w:szCs w:val="21"/>
          <w:vertAlign w:val="superscript"/>
        </w:rPr>
        <w:t>a</w:t>
      </w:r>
      <w:r w:rsidRPr="00C723E2">
        <w:rPr>
          <w:szCs w:val="21"/>
          <w:vertAlign w:val="superscript"/>
        </w:rPr>
        <w:t>.</w:t>
      </w:r>
      <w:r w:rsidRPr="00C723E2">
        <w:rPr>
          <w:szCs w:val="21"/>
        </w:rPr>
        <w:t>The glass-transition temperature extracted from the temperature-dependent absorption spectra.</w:t>
      </w:r>
    </w:p>
    <w:p w14:paraId="7B49E348" w14:textId="3CDBDEDC" w:rsidR="006C1256" w:rsidRDefault="0023656E" w:rsidP="0023656E">
      <w:pPr>
        <w:spacing w:line="360" w:lineRule="auto"/>
        <w:jc w:val="both"/>
        <w:rPr>
          <w:szCs w:val="21"/>
        </w:rPr>
      </w:pPr>
      <w:r w:rsidRPr="00C723E2">
        <w:rPr>
          <w:rFonts w:hint="eastAsia"/>
          <w:szCs w:val="21"/>
          <w:vertAlign w:val="superscript"/>
        </w:rPr>
        <w:t>b</w:t>
      </w:r>
      <w:r w:rsidRPr="00C723E2">
        <w:rPr>
          <w:szCs w:val="21"/>
          <w:vertAlign w:val="superscript"/>
        </w:rPr>
        <w:t>.</w:t>
      </w:r>
      <w:r w:rsidRPr="00C723E2">
        <w:rPr>
          <w:szCs w:val="21"/>
        </w:rPr>
        <w:t xml:space="preserve">The onset temperature and </w:t>
      </w:r>
      <w:r>
        <w:rPr>
          <w:szCs w:val="21"/>
        </w:rPr>
        <w:t>peak</w:t>
      </w:r>
      <w:r w:rsidRPr="00C723E2">
        <w:rPr>
          <w:szCs w:val="21"/>
        </w:rPr>
        <w:t xml:space="preserve"> temperature of crystallization obtained from the DSC thermograms.</w:t>
      </w:r>
    </w:p>
    <w:p w14:paraId="0D665136" w14:textId="77777777" w:rsidR="0023656E" w:rsidRDefault="0023656E" w:rsidP="0023656E">
      <w:pPr>
        <w:spacing w:line="360" w:lineRule="auto"/>
        <w:jc w:val="both"/>
        <w:rPr>
          <w:rFonts w:eastAsiaTheme="minorEastAsia"/>
          <w:lang w:eastAsia="zh-CN"/>
        </w:rPr>
      </w:pPr>
    </w:p>
    <w:p w14:paraId="1538AC52" w14:textId="3052F65E" w:rsidR="002E0BD3" w:rsidRPr="006C1256" w:rsidRDefault="002E0BD3" w:rsidP="002E0BD3">
      <w:pPr>
        <w:spacing w:line="360" w:lineRule="auto"/>
        <w:jc w:val="both"/>
        <w:rPr>
          <w:rFonts w:eastAsiaTheme="minorEastAsia"/>
          <w:b/>
          <w:bCs/>
          <w:lang w:eastAsia="zh-CN"/>
        </w:rPr>
      </w:pPr>
      <w:r w:rsidRPr="006C1256">
        <w:rPr>
          <w:rFonts w:eastAsiaTheme="minorEastAsia" w:hint="eastAsia"/>
          <w:b/>
          <w:bCs/>
          <w:lang w:eastAsia="zh-CN"/>
        </w:rPr>
        <w:t>2</w:t>
      </w:r>
      <w:r w:rsidRPr="006C1256">
        <w:rPr>
          <w:rFonts w:eastAsiaTheme="minorEastAsia"/>
          <w:b/>
          <w:bCs/>
          <w:lang w:eastAsia="zh-CN"/>
        </w:rPr>
        <w:t>.2. Thermal Transitions</w:t>
      </w:r>
    </w:p>
    <w:p w14:paraId="697A8ADF" w14:textId="47C07BBB" w:rsidR="002E0BD3" w:rsidRPr="00A17C97" w:rsidRDefault="002E0BD3" w:rsidP="0006534A">
      <w:pPr>
        <w:spacing w:line="360" w:lineRule="auto"/>
        <w:ind w:firstLine="708"/>
        <w:jc w:val="both"/>
        <w:rPr>
          <w:rFonts w:eastAsiaTheme="minorEastAsia"/>
          <w:lang w:val="en-US" w:eastAsia="zh-CN"/>
        </w:rPr>
      </w:pPr>
      <w:bookmarkStart w:id="9" w:name="_Hlk150762315"/>
      <w:r w:rsidRPr="002E0BD3">
        <w:rPr>
          <w:rFonts w:eastAsiaTheme="minorEastAsia"/>
          <w:lang w:val="en-US" w:eastAsia="zh-CN"/>
        </w:rPr>
        <w:t>The initial intention of synthe</w:t>
      </w:r>
      <w:r w:rsidRPr="002E0BD3">
        <w:rPr>
          <w:rFonts w:eastAsiaTheme="minorEastAsia" w:hint="eastAsia"/>
          <w:lang w:val="en-US" w:eastAsia="zh-CN"/>
        </w:rPr>
        <w:t>siz</w:t>
      </w:r>
      <w:r w:rsidRPr="002E0BD3">
        <w:rPr>
          <w:rFonts w:eastAsiaTheme="minorEastAsia"/>
          <w:lang w:val="en-US" w:eastAsia="zh-CN"/>
        </w:rPr>
        <w:t xml:space="preserve">ing dimers is to improve the morphological stability of SMNFAs-based OSC active layer. Therefore, the thermal transition properties associated with molecular diffusion were first investigated to understand how dimers can affect device performance. </w:t>
      </w:r>
      <w:r w:rsidR="0006534A">
        <w:rPr>
          <w:rFonts w:eastAsiaTheme="minorEastAsia"/>
          <w:lang w:val="en-US" w:eastAsia="zh-CN"/>
        </w:rPr>
        <w:t>T</w:t>
      </w:r>
      <w:r w:rsidRPr="002E0BD3">
        <w:rPr>
          <w:rFonts w:eastAsiaTheme="minorEastAsia"/>
          <w:lang w:val="en-US" w:eastAsia="zh-CN"/>
        </w:rPr>
        <w:t>he initial long-chain motion of molecular segments before reaching the rubbery state</w:t>
      </w:r>
      <w:r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{"citationID":"xQGNWCxb","properties":{"formattedCitation":"\\super [35]\\nosupersub{}","plainCitation":"[35]","noteIndex":0},"citationItems":[{"id":1455,"uris":["http://zotero.org/users/10832941/items/EUFV9V5X"],"itemData":{"id":1455,"type":"article-journal","abstract":"The thermodynamic properties of amorphous phases of linear molecular chains are obtained from statistical mechanics by means of a form of the quasi-lattice theory which allows for chain stiffness and the variation of volume with temperature. A second-order transition is predicted for these systems.\n            This second-order transition has all the qualitative features of the glass transition observed experimentally. It occurs at a temperature which is an increasing function of both chain stiffness and chain length and a decreasing function of free volume.\n            The molecular ``relaxation times'' are shown to increase rapidly as the second-order transition temperature is approached from above.\n            To permit quantitative application of the theory and determine the relationship between the second-order transition and the glass transition observed in ``slow'' experiments these two transitions are tentatively identified. By this means quantitative predictions are made concerning the variations of (1) glass temperature with molecular weight, (2) volume with temperature, (3) volume with molecular weight, (4) volume at the glass temperature with the glass temperature for various molecular weights of the same polymer, (5) specific heat vs temperature, and (6) glass temperature with mole fraction of low-molecular weight solvent, since extensive experimental results are available for these properties. These and other theoretical predictions are found to be in excellent agreement with the experimental results.","container-title":"The Journal of Chemical Physics","ISSN":"0021-9606, 1089-7690","issue":"3","journalAbbreviation":"J. Chem. Phys.","language":"en","page":"373-383","source":"DOI.org (Crossref)","title":"Nature of the Glass Transition and the Glassy State","volume":"28","author":[{"family":"Gibbs","given":"Julian H."},{"family":"DiMarzio","given":"Edmund A."}],"issued":{"date-parts":[["1958",3,1]]}}}],"schema":"https://github.com/citation-style-language/schema/raw/master/csl-citation.json"} </w:instrText>
      </w:r>
      <w:r w:rsidRPr="002E0BD3">
        <w:rPr>
          <w:rFonts w:eastAsiaTheme="minorEastAsia"/>
          <w:lang w:val="en-US" w:eastAsia="zh-CN"/>
        </w:rPr>
        <w:fldChar w:fldCharType="separate"/>
      </w:r>
      <w:r w:rsidR="00F51B55" w:rsidRPr="00F51B55">
        <w:rPr>
          <w:vertAlign w:val="superscript"/>
        </w:rPr>
        <w:t>[35]</w:t>
      </w:r>
      <w:r w:rsidRPr="002E0BD3">
        <w:rPr>
          <w:rFonts w:eastAsiaTheme="minorEastAsia"/>
          <w:lang w:eastAsia="zh-CN"/>
        </w:rPr>
        <w:fldChar w:fldCharType="end"/>
      </w:r>
      <w:r w:rsidRPr="002E0BD3">
        <w:rPr>
          <w:rFonts w:eastAsiaTheme="minorEastAsia"/>
          <w:vertAlign w:val="superscript"/>
          <w:lang w:val="en-US" w:eastAsia="zh-CN"/>
        </w:rPr>
        <w:t>-</w:t>
      </w:r>
      <w:r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{"citationID":"azQIjnb0","properties":{"formattedCitation":"\\super [36]\\nosupersub{}","plainCitation":"[36]","noteIndex":0},"citationItems":[{"id":1453,"uris":["http://zotero.org/users/10832941/items/BR8K4CTF"],"itemData":{"id":1453,"type":"article-journal","container-title":"Polymer","ISSN":"00323861","issue":"17","journalAbbreviation":"Polymer","language":"en","page":"3301-3312","source":"DOI.org (Crossref)","title":"Glass-rubber constitutive model for amorphous polymers near the glass transition","volume":"36","author":[{"family":"Buckley","given":"C"}],"issued":{"date-parts":[["1995"]]}}}],"schema":"https://github.com/citation-style-language/schema/raw/master/csl-citation.json"} </w:instrText>
      </w:r>
      <w:r w:rsidRPr="002E0BD3">
        <w:rPr>
          <w:rFonts w:eastAsiaTheme="minorEastAsia"/>
          <w:lang w:val="en-US" w:eastAsia="zh-CN"/>
        </w:rPr>
        <w:fldChar w:fldCharType="separate"/>
      </w:r>
      <w:r w:rsidR="00F51B55" w:rsidRPr="00F51B55">
        <w:rPr>
          <w:vertAlign w:val="superscript"/>
        </w:rPr>
        <w:t>[36]</w:t>
      </w:r>
      <w:r w:rsidRPr="002E0BD3">
        <w:rPr>
          <w:rFonts w:eastAsiaTheme="minorEastAsia"/>
          <w:lang w:eastAsia="zh-CN"/>
        </w:rPr>
        <w:fldChar w:fldCharType="end"/>
      </w:r>
      <w:r w:rsidRPr="002E0BD3">
        <w:rPr>
          <w:rFonts w:eastAsiaTheme="minorEastAsia"/>
          <w:lang w:val="en-US" w:eastAsia="zh-CN"/>
        </w:rPr>
        <w:t xml:space="preserve"> </w:t>
      </w:r>
      <w:r w:rsidR="0006534A">
        <w:rPr>
          <w:rFonts w:eastAsiaTheme="minorEastAsia" w:hint="eastAsia"/>
          <w:lang w:val="en-US" w:eastAsia="zh-CN"/>
        </w:rPr>
        <w:t>can</w:t>
      </w:r>
      <w:r w:rsidR="0006534A">
        <w:rPr>
          <w:rFonts w:eastAsiaTheme="minorEastAsia"/>
          <w:lang w:val="en-US" w:eastAsia="zh-CN"/>
        </w:rPr>
        <w:t xml:space="preserve"> be reflected by the</w:t>
      </w:r>
      <w:r w:rsidR="0006534A" w:rsidRPr="0006534A">
        <w:rPr>
          <w:rFonts w:eastAsiaTheme="minorEastAsia"/>
          <w:lang w:val="en-US" w:eastAsia="zh-CN"/>
        </w:rPr>
        <w:t xml:space="preserve"> </w:t>
      </w:r>
      <w:r w:rsidR="0006534A" w:rsidRPr="002E0BD3">
        <w:rPr>
          <w:rFonts w:eastAsiaTheme="minorEastAsia"/>
          <w:lang w:val="en-US" w:eastAsia="zh-CN"/>
        </w:rPr>
        <w:t>glass-transition temperature (</w:t>
      </w:r>
      <w:r w:rsidR="0006534A" w:rsidRPr="002E0BD3">
        <w:rPr>
          <w:rFonts w:eastAsiaTheme="minorEastAsia"/>
          <w:i/>
          <w:iCs/>
          <w:lang w:val="en-US" w:eastAsia="zh-CN"/>
        </w:rPr>
        <w:t>T</w:t>
      </w:r>
      <w:r w:rsidR="0006534A" w:rsidRPr="002E0BD3">
        <w:rPr>
          <w:rFonts w:eastAsiaTheme="minorEastAsia"/>
          <w:vertAlign w:val="subscript"/>
          <w:lang w:val="en-US" w:eastAsia="zh-CN"/>
        </w:rPr>
        <w:t>g</w:t>
      </w:r>
      <w:r w:rsidR="0006534A" w:rsidRPr="002E0BD3">
        <w:rPr>
          <w:rFonts w:eastAsiaTheme="minorEastAsia"/>
          <w:lang w:val="en-US" w:eastAsia="zh-CN"/>
        </w:rPr>
        <w:t>)</w:t>
      </w:r>
      <w:r w:rsidR="0006534A">
        <w:rPr>
          <w:rFonts w:eastAsiaTheme="minorEastAsia"/>
          <w:lang w:val="en-US" w:eastAsia="zh-CN"/>
        </w:rPr>
        <w:t>, which was determined by t</w:t>
      </w:r>
      <w:r w:rsidRPr="002E0BD3">
        <w:rPr>
          <w:rFonts w:eastAsiaTheme="minorEastAsia"/>
          <w:lang w:val="en-US" w:eastAsia="zh-CN"/>
        </w:rPr>
        <w:t xml:space="preserve">he temperature-dependent absorption spectra </w:t>
      </w:r>
      <w:r w:rsidR="0006534A">
        <w:rPr>
          <w:rFonts w:eastAsiaTheme="minorEastAsia"/>
          <w:lang w:val="en-US" w:eastAsia="zh-CN"/>
        </w:rPr>
        <w:t>in this research.</w:t>
      </w:r>
      <w:r w:rsidRPr="002E0BD3">
        <w:rPr>
          <w:rFonts w:eastAsiaTheme="minorEastAsia" w:hint="eastAsia"/>
          <w:lang w:val="en-US" w:eastAsia="zh-CN"/>
        </w:rPr>
        <w:t xml:space="preserve"> </w:t>
      </w:r>
      <w:r w:rsidRPr="002E0BD3">
        <w:rPr>
          <w:rFonts w:eastAsiaTheme="minorEastAsia"/>
          <w:lang w:val="en-US" w:eastAsia="zh-CN"/>
        </w:rPr>
        <w:t xml:space="preserve">As displayed in </w:t>
      </w:r>
      <w:r w:rsidRPr="002E0BD3">
        <w:rPr>
          <w:rFonts w:eastAsiaTheme="minorEastAsia"/>
          <w:b/>
          <w:bCs/>
          <w:lang w:val="en-US" w:eastAsia="zh-CN"/>
        </w:rPr>
        <w:t>Figures 1b-c</w:t>
      </w:r>
      <w:r w:rsidRPr="002E0BD3">
        <w:rPr>
          <w:rFonts w:eastAsiaTheme="minorEastAsia"/>
          <w:lang w:val="en-US" w:eastAsia="zh-CN"/>
        </w:rPr>
        <w:t xml:space="preserve">, the </w:t>
      </w:r>
      <w:r w:rsidRPr="002E0BD3">
        <w:rPr>
          <w:rFonts w:eastAsiaTheme="minorEastAsia" w:hint="eastAsia"/>
          <w:lang w:val="en-US" w:eastAsia="zh-CN"/>
        </w:rPr>
        <w:t>ab</w:t>
      </w:r>
      <w:r w:rsidRPr="002E0BD3">
        <w:rPr>
          <w:rFonts w:eastAsiaTheme="minorEastAsia"/>
          <w:lang w:val="en-US" w:eastAsia="zh-CN"/>
        </w:rPr>
        <w:t xml:space="preserve">sorption deviation of pristine BTP-eC9 film shows an inflection point representing the </w:t>
      </w:r>
      <w:r w:rsidRPr="002E0BD3">
        <w:rPr>
          <w:rFonts w:eastAsiaTheme="minorEastAsia"/>
          <w:i/>
          <w:iCs/>
          <w:lang w:val="en-US" w:eastAsia="zh-CN"/>
        </w:rPr>
        <w:t>T</w:t>
      </w:r>
      <w:r w:rsidRPr="002E0BD3">
        <w:rPr>
          <w:rFonts w:eastAsiaTheme="minorEastAsia"/>
          <w:vertAlign w:val="subscript"/>
          <w:lang w:val="en-US" w:eastAsia="zh-CN"/>
        </w:rPr>
        <w:t>g</w:t>
      </w:r>
      <w:r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{"citationID":"rYN2FYea","properties":{"formattedCitation":"\\super [37]\\nosupersub{}","plainCitation":"[37]","noteIndex":0},"citationItems":[{"id":1432,"uris":["http://zotero.org/users/10832941/items/GUQP9Z8S"],"itemData":{"id":1432,"type":"article-journal","abstract":"The glass transition temperature (Tg) of a conjugated polymer can be used to predict its morphological stability and mechanical properties. Despite the importance of this parameter in applications from organic solar cells to wearable electronics, it is not easy to measure. The Tg is often too weak to detect using conventional diﬀerential scanning calorimetry (DSC). Alternative methods</w:instrText>
      </w:r>
      <w:r w:rsidR="00F51B55">
        <w:rPr>
          <w:rFonts w:eastAsiaTheme="minorEastAsia" w:hint="eastAsia"/>
          <w:lang w:val="en-US" w:eastAsia="zh-CN"/>
        </w:rPr>
        <w:instrText></w:instrText>
      </w:r>
      <w:r w:rsidR="00F51B55">
        <w:rPr>
          <w:rFonts w:eastAsiaTheme="minorEastAsia"/>
          <w:lang w:val="en-US" w:eastAsia="zh-CN"/>
        </w:rPr>
        <w:instrText>e.g., variable temperature ellipsometry</w:instrText>
      </w:r>
      <w:r w:rsidR="00F51B55">
        <w:rPr>
          <w:rFonts w:eastAsiaTheme="minorEastAsia" w:hint="eastAsia"/>
          <w:lang w:val="en-US" w:eastAsia="zh-CN"/>
        </w:rPr>
        <w:instrText></w:instrText>
      </w:r>
      <w:r w:rsidR="00F51B55">
        <w:rPr>
          <w:rFonts w:eastAsiaTheme="minorEastAsia"/>
          <w:lang w:val="en-US" w:eastAsia="zh-CN"/>
        </w:rPr>
        <w:instrText xml:space="preserve">require specialized equipment. This paper describes a technique for measuring the Tg of thin ﬁlms of semicrystalline conjugated polymers using only a hot plate and an ultraviolet−visible (UV−vis) spectrometer. UV−vis spectroscopy is used to measure changes in the absorption spectrum due to molecular-scale rearrangement of polymers when heated past Tg, corresponding to the onset of the formation of photophysical aggregates. A deviation metric, deﬁned as the sum of the squared deviation in absorbance between as-cast and annealed ﬁlms, is used to quantify shifts in the absorption spectra. The glass transition is observed as a change in slope in a plot of the deviation metric versus temperature. To demonstrate the usefulness of this technique, a variety of semiconducting polymers are tested: P3BT, PBTTT-C14, F8BT, PDTSTPD, PTB7, PCDTBT, TQ1, and MEH-PPV. These polymers represent a range of solid-state morphologies, from highly ordered to predominantly amorphous. A successful measurement of Tg depends on the ability of the polymer to form photophysical aggregates. The results obtained using this method for P3BT, PBTTT-C14, F8BT, and PDTSTPD are in agreement with values of Tg that have been reported in the literature. Molecular dynamics simulations are used to show how the morphology evolves upon annealing: above the Tg, an initially kinetically trapped morphology undergoes structural rearrangement to assume a more thermodynamically preferred structure. The temperature at which onset of this rearrangement occurs in the simulation is concomitant with the spectroscopically determined value of Tg.","container-title":"Chemistry of Materials","ISSN":"0897-4756, 1520-5002","issue":"7","journalAbbreviation":"Chem. Mater.","language":"en","page":"2646-2654","source":"DOI.org (Crossref)","title":"Measuring the Glass Transition Temperature of Conjugated Polymer Films with Ultraviolet–Visible Spectroscopy","volume":"29","author":[{"family":"Root","given":"Samuel E."},{"family":"Alkhadra","given":"Mohammad A."},{"family":"Rodriquez","given":"Daniel"},{"family":"Printz","given":"Adam D."},{"family":"Lipomi","given":"Darren J."}],"issued":{"date-parts":[["2017",4,11]]}}}],"schema":"https://github.com/citation-style-language/schema/raw/master/csl-citation.json"} </w:instrText>
      </w:r>
      <w:r w:rsidRPr="002E0BD3">
        <w:rPr>
          <w:rFonts w:eastAsiaTheme="minorEastAsia"/>
          <w:lang w:val="en-US" w:eastAsia="zh-CN"/>
        </w:rPr>
        <w:fldChar w:fldCharType="separate"/>
      </w:r>
      <w:r w:rsidR="00F51B55" w:rsidRPr="00F51B55">
        <w:rPr>
          <w:vertAlign w:val="superscript"/>
        </w:rPr>
        <w:t>[37]</w:t>
      </w:r>
      <w:r w:rsidRPr="002E0BD3">
        <w:rPr>
          <w:rFonts w:eastAsiaTheme="minorEastAsia"/>
          <w:lang w:eastAsia="zh-CN"/>
        </w:rPr>
        <w:fldChar w:fldCharType="end"/>
      </w:r>
      <w:r w:rsidRPr="002E0BD3">
        <w:rPr>
          <w:rFonts w:eastAsiaTheme="minorEastAsia"/>
          <w:lang w:val="en-US" w:eastAsia="zh-CN"/>
        </w:rPr>
        <w:t xml:space="preserve"> of around 72 </w:t>
      </w:r>
      <w:proofErr w:type="spellStart"/>
      <w:r w:rsidRPr="002E0BD3">
        <w:rPr>
          <w:rFonts w:eastAsiaTheme="minorEastAsia"/>
          <w:vertAlign w:val="superscript"/>
          <w:lang w:val="en-US" w:eastAsia="zh-CN"/>
        </w:rPr>
        <w:t>o</w:t>
      </w:r>
      <w:r w:rsidRPr="002E0BD3">
        <w:rPr>
          <w:rFonts w:eastAsiaTheme="minorEastAsia"/>
          <w:lang w:val="en-US" w:eastAsia="zh-CN"/>
        </w:rPr>
        <w:t>C</w:t>
      </w:r>
      <w:proofErr w:type="spellEnd"/>
      <w:r w:rsidRPr="002E0BD3">
        <w:rPr>
          <w:rFonts w:eastAsiaTheme="minorEastAsia"/>
          <w:lang w:val="en-US" w:eastAsia="zh-CN"/>
        </w:rPr>
        <w:t xml:space="preserve"> accompanied by a red-shift of 0-0 absorption peak</w:t>
      </w:r>
      <w:r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{"citationID":"aweAvbrv","properties":{"formattedCitation":"\\super [38]\\nosupersub{}","plainCitation":"[38]","noteIndex":0},"citationItems":[{"id":1408,"uris":["http://zotero.org/users/10832941/items/KHUNLJ8I"],"itemData":{"id":1408,"type":"article-journal","container-title":"Accounts of Chemical Research","ISSN":"0001-4842, 1520-4898","issue":"3","journalAbbreviation":"Acc. Chem. Res.","language":"en","page":"429-439","source":"DOI.org (Crossref)","title":"The Spectral Signatures of Frenkel Polarons in H- and J-Aggregates","volume":"43","author":[{"family":"Spano","given":"Frank C."}],"issued":{"date-parts":[["2010",3,16]]}}}],"schema":"https://github.com/citation-style-language/schema/raw/master/csl-citation.json"} </w:instrText>
      </w:r>
      <w:r w:rsidRPr="002E0BD3">
        <w:rPr>
          <w:rFonts w:eastAsiaTheme="minorEastAsia"/>
          <w:lang w:val="en-US" w:eastAsia="zh-CN"/>
        </w:rPr>
        <w:fldChar w:fldCharType="separate"/>
      </w:r>
      <w:r w:rsidR="00F51B55" w:rsidRPr="00F51B55">
        <w:rPr>
          <w:vertAlign w:val="superscript"/>
        </w:rPr>
        <w:t>[38]</w:t>
      </w:r>
      <w:r w:rsidRPr="002E0BD3">
        <w:rPr>
          <w:rFonts w:eastAsiaTheme="minorEastAsia"/>
          <w:lang w:eastAsia="zh-CN"/>
        </w:rPr>
        <w:fldChar w:fldCharType="end"/>
      </w:r>
      <w:r w:rsidRPr="002E0BD3">
        <w:rPr>
          <w:rFonts w:eastAsiaTheme="minorEastAsia"/>
          <w:lang w:val="en-US" w:eastAsia="zh-CN"/>
        </w:rPr>
        <w:t xml:space="preserve"> of 19 nm. This indicates strong J-aggregation</w:t>
      </w:r>
      <w:r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{"citationID":"wDm0KGv1","properties":{"formattedCitation":"\\super [39]\\nosupersub{}","plainCitation":"[39]","noteIndex":0},"citationItems":[{"id":1410,"uris":["http://zotero.org/users/10832941/items/3CW463HF"],"itemData":{"id":1410,"type":"article-journal","abstract":"Various types of molecular stacking can form in NFAs, which influence light absorption and efficiency of organic solar cells.\n          , \n            Organic solar cells (OSCs) employing non-fullerene acceptors (NFAs) have drawn significant research attention in recent years. Molecular stacking and aggregation of electron donors and acceptors within the photoactive layer is vitally important for light absorption and the photon-to-electricity conversion process. Herein, we present the versatile molecular stacking of the state-of-the-art NFAs, as well as the affecting factors including the chemical structures of NFAs and physical processing conditions. We highlight in particular experimental approaches to regulate molecular stacking and aggregation and summarize the influences of these features on optoelectronic and photovoltaic properties of NFA-based OSCs, which provide crucial guidance for further development of high performance OSCs.","container-title":"Journal of Materials Chemistry A","ISSN":"2050-7488, 2050-7496","issue":"31","journalAbbreviation":"J. Mater. Chem. A","language":"en","page":"15607-15619","source":"DOI.org (Crossref)","title":"Aggregation of non-fullerene acceptors in organic solar cells","volume":"8","author":[{"family":"Li","given":"Donghui"},{"family":"Zhang","given":"Xue"},{"family":"Liu","given":"Dan"},{"family":"Wang","given":"Tao"}],"issued":{"date-parts":[["2020"]]}}}],"schema":"https://github.com/citation-style-language/schema/raw/master/csl-citation.json"} </w:instrText>
      </w:r>
      <w:r w:rsidRPr="002E0BD3">
        <w:rPr>
          <w:rFonts w:eastAsiaTheme="minorEastAsia"/>
          <w:lang w:val="en-US" w:eastAsia="zh-CN"/>
        </w:rPr>
        <w:fldChar w:fldCharType="separate"/>
      </w:r>
      <w:r w:rsidR="00F51B55" w:rsidRPr="00F51B55">
        <w:rPr>
          <w:vertAlign w:val="superscript"/>
        </w:rPr>
        <w:t>[39]</w:t>
      </w:r>
      <w:r w:rsidRPr="002E0BD3">
        <w:rPr>
          <w:rFonts w:eastAsiaTheme="minorEastAsia"/>
          <w:lang w:eastAsia="zh-CN"/>
        </w:rPr>
        <w:fldChar w:fldCharType="end"/>
      </w:r>
      <w:r w:rsidRPr="002E0BD3">
        <w:rPr>
          <w:rFonts w:eastAsiaTheme="minorEastAsia"/>
          <w:lang w:val="en-US" w:eastAsia="zh-CN"/>
        </w:rPr>
        <w:t xml:space="preserve"> is formed due to the re-organization of BTP-eC9. In contrast, </w:t>
      </w:r>
      <w:r w:rsidRPr="002E0BD3">
        <w:rPr>
          <w:rFonts w:eastAsiaTheme="minorEastAsia"/>
          <w:lang w:val="en-US" w:eastAsia="zh-CN"/>
        </w:rPr>
        <w:lastRenderedPageBreak/>
        <w:t>the acceptor blends composed of dimers and BTP-eC9 (</w:t>
      </w:r>
      <w:r w:rsidRPr="002E0BD3">
        <w:rPr>
          <w:rFonts w:eastAsiaTheme="minorEastAsia"/>
          <w:b/>
          <w:bCs/>
          <w:lang w:val="en-US" w:eastAsia="zh-CN"/>
        </w:rPr>
        <w:t>T</w:t>
      </w:r>
      <w:r w:rsidRPr="002E0BD3">
        <w:rPr>
          <w:rFonts w:eastAsiaTheme="minorEastAsia" w:hint="eastAsia"/>
          <w:b/>
          <w:bCs/>
          <w:lang w:val="en-US" w:eastAsia="zh-CN"/>
        </w:rPr>
        <w:t>ab</w:t>
      </w:r>
      <w:r w:rsidRPr="002E0BD3">
        <w:rPr>
          <w:rFonts w:eastAsiaTheme="minorEastAsia"/>
          <w:b/>
          <w:bCs/>
          <w:lang w:val="en-US" w:eastAsia="zh-CN"/>
        </w:rPr>
        <w:t>le 1</w:t>
      </w:r>
      <w:r w:rsidRPr="002E0BD3">
        <w:rPr>
          <w:rFonts w:eastAsiaTheme="minorEastAsia"/>
          <w:lang w:val="en-US" w:eastAsia="zh-CN"/>
        </w:rPr>
        <w:t xml:space="preserve">, Figure S12 and Table S1) show higher </w:t>
      </w:r>
      <w:proofErr w:type="spellStart"/>
      <w:r w:rsidRPr="002E0BD3">
        <w:rPr>
          <w:rFonts w:eastAsiaTheme="minorEastAsia"/>
          <w:i/>
          <w:iCs/>
          <w:lang w:val="en-US" w:eastAsia="zh-CN"/>
        </w:rPr>
        <w:t>T</w:t>
      </w:r>
      <w:r w:rsidRPr="002E0BD3">
        <w:rPr>
          <w:rFonts w:eastAsiaTheme="minorEastAsia"/>
          <w:vertAlign w:val="subscript"/>
          <w:lang w:val="en-US" w:eastAsia="zh-CN"/>
        </w:rPr>
        <w:t>g</w:t>
      </w:r>
      <w:r w:rsidRPr="002E0BD3">
        <w:rPr>
          <w:rFonts w:eastAsiaTheme="minorEastAsia"/>
          <w:lang w:val="en-US" w:eastAsia="zh-CN"/>
        </w:rPr>
        <w:t>s</w:t>
      </w:r>
      <w:proofErr w:type="spellEnd"/>
      <w:r w:rsidRPr="002E0BD3">
        <w:rPr>
          <w:rFonts w:eastAsiaTheme="minorEastAsia"/>
          <w:lang w:val="en-US" w:eastAsia="zh-CN"/>
        </w:rPr>
        <w:t xml:space="preserve"> than that of the pristine BTP-eC9 film, indicating dimers can serve as supramolecular stabilizers to </w:t>
      </w:r>
      <w:r w:rsidR="00072775">
        <w:rPr>
          <w:rFonts w:eastAsiaTheme="minorEastAsia"/>
          <w:lang w:val="en-US" w:eastAsia="zh-CN"/>
        </w:rPr>
        <w:t>inhibit</w:t>
      </w:r>
      <w:r w:rsidR="00072775" w:rsidRPr="002E0BD3">
        <w:rPr>
          <w:rFonts w:eastAsiaTheme="minorEastAsia"/>
          <w:lang w:val="en-US" w:eastAsia="zh-CN"/>
        </w:rPr>
        <w:t xml:space="preserve"> </w:t>
      </w:r>
      <w:r w:rsidRPr="002E0BD3">
        <w:rPr>
          <w:rFonts w:eastAsiaTheme="minorEastAsia"/>
          <w:lang w:val="en-US" w:eastAsia="zh-CN"/>
        </w:rPr>
        <w:t>the diffusion of SMNFAs by forming intimate π-π stacking.</w:t>
      </w:r>
      <w:r w:rsidR="0006534A">
        <w:rPr>
          <w:rFonts w:eastAsiaTheme="minorEastAsia"/>
          <w:lang w:val="en-US" w:eastAsia="zh-CN"/>
        </w:rPr>
        <w:t xml:space="preserve"> Among all blends, t</w:t>
      </w:r>
      <w:r w:rsidRPr="002E0BD3">
        <w:rPr>
          <w:rFonts w:eastAsiaTheme="minorEastAsia"/>
          <w:lang w:val="en-US" w:eastAsia="zh-CN"/>
        </w:rPr>
        <w:t>he BTP-eC</w:t>
      </w:r>
      <w:proofErr w:type="gramStart"/>
      <w:r w:rsidRPr="002E0BD3">
        <w:rPr>
          <w:rFonts w:eastAsiaTheme="minorEastAsia"/>
          <w:lang w:val="en-US" w:eastAsia="zh-CN"/>
        </w:rPr>
        <w:t>9:</w:t>
      </w:r>
      <w:r w:rsidRPr="002E0BD3">
        <w:rPr>
          <w:rFonts w:eastAsiaTheme="minorEastAsia"/>
          <w:i/>
          <w:iCs/>
          <w:lang w:val="en-US" w:eastAsia="zh-CN"/>
        </w:rPr>
        <w:t>d</w:t>
      </w:r>
      <w:r w:rsidRPr="002E0BD3">
        <w:rPr>
          <w:rFonts w:eastAsiaTheme="minorEastAsia"/>
          <w:lang w:val="en-US" w:eastAsia="zh-CN"/>
        </w:rPr>
        <w:t>BTP</w:t>
      </w:r>
      <w:proofErr w:type="gramEnd"/>
      <w:r w:rsidRPr="002E0BD3">
        <w:rPr>
          <w:rFonts w:eastAsiaTheme="minorEastAsia"/>
          <w:lang w:val="en-US" w:eastAsia="zh-CN"/>
        </w:rPr>
        <w:t xml:space="preserve">-ThC4 blend exhibits the highest </w:t>
      </w:r>
      <w:r w:rsidRPr="002E0BD3">
        <w:rPr>
          <w:rFonts w:eastAsiaTheme="minorEastAsia"/>
          <w:i/>
          <w:iCs/>
          <w:lang w:val="en-US" w:eastAsia="zh-CN"/>
        </w:rPr>
        <w:t>T</w:t>
      </w:r>
      <w:r w:rsidRPr="002E0BD3">
        <w:rPr>
          <w:rFonts w:eastAsiaTheme="minorEastAsia"/>
          <w:vertAlign w:val="subscript"/>
          <w:lang w:val="en-US" w:eastAsia="zh-CN"/>
        </w:rPr>
        <w:t>g</w:t>
      </w:r>
      <w:r w:rsidRPr="002E0BD3">
        <w:rPr>
          <w:rFonts w:eastAsiaTheme="minorEastAsia"/>
          <w:lang w:val="en-US" w:eastAsia="zh-CN"/>
        </w:rPr>
        <w:t xml:space="preserve"> of 82 </w:t>
      </w:r>
      <w:proofErr w:type="spellStart"/>
      <w:r w:rsidRPr="002E0BD3">
        <w:rPr>
          <w:rFonts w:eastAsiaTheme="minorEastAsia"/>
          <w:vertAlign w:val="superscript"/>
          <w:lang w:val="en-US" w:eastAsia="zh-CN"/>
        </w:rPr>
        <w:t>o</w:t>
      </w:r>
      <w:r w:rsidRPr="002E0BD3">
        <w:rPr>
          <w:rFonts w:eastAsiaTheme="minorEastAsia"/>
          <w:lang w:val="en-US" w:eastAsia="zh-CN"/>
        </w:rPr>
        <w:t>C</w:t>
      </w:r>
      <w:proofErr w:type="spellEnd"/>
      <w:r w:rsidRPr="002E0BD3">
        <w:rPr>
          <w:rFonts w:eastAsiaTheme="minorEastAsia"/>
          <w:lang w:val="en-US" w:eastAsia="zh-CN"/>
        </w:rPr>
        <w:t xml:space="preserve"> and the red-shift of 0-0 absorption peak can be reduced by 8 nm (</w:t>
      </w:r>
      <w:r w:rsidRPr="002E0BD3">
        <w:rPr>
          <w:rFonts w:eastAsiaTheme="minorEastAsia"/>
          <w:b/>
          <w:bCs/>
          <w:lang w:val="en-US" w:eastAsia="zh-CN"/>
        </w:rPr>
        <w:t>Figures 1d-e</w:t>
      </w:r>
      <w:r w:rsidRPr="002E0BD3">
        <w:rPr>
          <w:rFonts w:eastAsiaTheme="minorEastAsia"/>
          <w:lang w:val="en-US" w:eastAsia="zh-CN"/>
        </w:rPr>
        <w:t>), illustrating that the linker length can govern the interactions between dimer and SMNFA for mitigating SMNFA diffusion to avoid excessive aggregation. For reference, the introduction of the monomer into BTP-eC9 d</w:t>
      </w:r>
      <w:r w:rsidRPr="00A17C97">
        <w:rPr>
          <w:rFonts w:eastAsiaTheme="minorEastAsia"/>
          <w:lang w:val="en-US" w:eastAsia="zh-CN"/>
        </w:rPr>
        <w:t xml:space="preserve">oes not improve the </w:t>
      </w:r>
      <w:r w:rsidRPr="00A17C97">
        <w:rPr>
          <w:rFonts w:eastAsiaTheme="minorEastAsia"/>
          <w:i/>
          <w:iCs/>
          <w:lang w:val="en-US" w:eastAsia="zh-CN"/>
        </w:rPr>
        <w:t>T</w:t>
      </w:r>
      <w:r w:rsidRPr="00A17C97">
        <w:rPr>
          <w:rFonts w:eastAsiaTheme="minorEastAsia"/>
          <w:vertAlign w:val="subscript"/>
          <w:lang w:val="en-US" w:eastAsia="zh-CN"/>
        </w:rPr>
        <w:t>g</w:t>
      </w:r>
      <w:r w:rsidRPr="00A17C97">
        <w:rPr>
          <w:rFonts w:eastAsiaTheme="minorEastAsia"/>
          <w:lang w:val="en-US" w:eastAsia="zh-CN"/>
        </w:rPr>
        <w:t xml:space="preserve"> (Figure S13</w:t>
      </w:r>
      <w:r w:rsidR="009A4FF2" w:rsidRPr="00A17C97">
        <w:rPr>
          <w:rFonts w:eastAsiaTheme="minorEastAsia"/>
          <w:lang w:val="en-US" w:eastAsia="zh-CN"/>
        </w:rPr>
        <w:t>, SI</w:t>
      </w:r>
      <w:r w:rsidRPr="00A17C97">
        <w:rPr>
          <w:rFonts w:eastAsiaTheme="minorEastAsia"/>
          <w:lang w:val="en-US" w:eastAsia="zh-CN"/>
        </w:rPr>
        <w:t xml:space="preserve">). </w:t>
      </w:r>
      <w:r w:rsidR="008B0BC6" w:rsidRPr="00A17C97">
        <w:rPr>
          <w:rFonts w:eastAsiaTheme="minorEastAsia"/>
          <w:lang w:val="en-US" w:eastAsia="zh-CN"/>
        </w:rPr>
        <w:t>Besides, a</w:t>
      </w:r>
      <w:r w:rsidRPr="00A17C97">
        <w:rPr>
          <w:rFonts w:eastAsiaTheme="minorEastAsia"/>
          <w:lang w:val="en-US" w:eastAsia="zh-CN"/>
        </w:rPr>
        <w:t>s exhibited in Figure S14 and Table S1</w:t>
      </w:r>
      <w:r w:rsidR="009A4FF2" w:rsidRPr="00A17C97">
        <w:rPr>
          <w:rFonts w:eastAsiaTheme="minorEastAsia"/>
          <w:lang w:val="en-US" w:eastAsia="zh-CN"/>
        </w:rPr>
        <w:t xml:space="preserve"> (SI)</w:t>
      </w:r>
      <w:r w:rsidRPr="00A17C97">
        <w:rPr>
          <w:rFonts w:eastAsiaTheme="minorEastAsia"/>
          <w:lang w:val="en-US" w:eastAsia="zh-CN"/>
        </w:rPr>
        <w:t xml:space="preserve">, the </w:t>
      </w:r>
      <w:proofErr w:type="spellStart"/>
      <w:r w:rsidRPr="00A17C97">
        <w:rPr>
          <w:rFonts w:eastAsiaTheme="minorEastAsia"/>
          <w:i/>
          <w:iCs/>
          <w:lang w:val="en-US" w:eastAsia="zh-CN"/>
        </w:rPr>
        <w:t>T</w:t>
      </w:r>
      <w:r w:rsidRPr="00A17C97">
        <w:rPr>
          <w:rFonts w:eastAsiaTheme="minorEastAsia"/>
          <w:vertAlign w:val="subscript"/>
          <w:lang w:val="en-US" w:eastAsia="zh-CN"/>
        </w:rPr>
        <w:t>g</w:t>
      </w:r>
      <w:r w:rsidR="008B0BC6" w:rsidRPr="00A17C97">
        <w:rPr>
          <w:rFonts w:eastAsiaTheme="minorEastAsia"/>
          <w:lang w:val="en-US" w:eastAsia="zh-CN"/>
        </w:rPr>
        <w:t>s</w:t>
      </w:r>
      <w:proofErr w:type="spellEnd"/>
      <w:r w:rsidRPr="00A17C97">
        <w:rPr>
          <w:rFonts w:eastAsiaTheme="minorEastAsia"/>
          <w:lang w:val="en-US" w:eastAsia="zh-CN"/>
        </w:rPr>
        <w:t xml:space="preserve"> of PMHJ films were further investigated, whose trend agrees well with that of acceptor blends. This</w:t>
      </w:r>
      <w:r w:rsidR="008B0BC6" w:rsidRPr="00A17C97">
        <w:rPr>
          <w:rFonts w:eastAsiaTheme="minorEastAsia"/>
          <w:lang w:val="en-US" w:eastAsia="zh-CN"/>
        </w:rPr>
        <w:t xml:space="preserve"> result indicates</w:t>
      </w:r>
      <w:r w:rsidRPr="00A17C97">
        <w:rPr>
          <w:rFonts w:eastAsiaTheme="minorEastAsia"/>
          <w:lang w:val="en-US" w:eastAsia="zh-CN"/>
        </w:rPr>
        <w:t xml:space="preserve"> that dimers </w:t>
      </w:r>
      <w:r w:rsidR="008B0BC6" w:rsidRPr="00A17C97">
        <w:rPr>
          <w:rFonts w:eastAsiaTheme="minorEastAsia"/>
          <w:lang w:val="en-US" w:eastAsia="zh-CN"/>
        </w:rPr>
        <w:t xml:space="preserve">have strong potential to </w:t>
      </w:r>
      <w:r w:rsidRPr="00A17C97">
        <w:rPr>
          <w:rFonts w:eastAsiaTheme="minorEastAsia"/>
          <w:lang w:val="en-US" w:eastAsia="zh-CN"/>
        </w:rPr>
        <w:t xml:space="preserve">retard the molecular diffusion in the composite containing polymer donors through the supramolecular π-π stacking to alleviate the meta-stable morphology of active layer. </w:t>
      </w:r>
    </w:p>
    <w:p w14:paraId="769B0512" w14:textId="7369306B" w:rsidR="001D4B28" w:rsidRDefault="00A81EF4" w:rsidP="00647012">
      <w:pPr>
        <w:spacing w:line="360" w:lineRule="auto"/>
        <w:ind w:firstLine="708"/>
        <w:jc w:val="both"/>
        <w:rPr>
          <w:rFonts w:eastAsiaTheme="minorEastAsia"/>
          <w:lang w:val="en-US" w:eastAsia="zh-CN"/>
        </w:rPr>
      </w:pPr>
      <w:r w:rsidRPr="00A17C97">
        <w:rPr>
          <w:rFonts w:eastAsiaTheme="minorEastAsia"/>
          <w:lang w:val="en-US" w:eastAsia="zh-CN"/>
        </w:rPr>
        <w:t xml:space="preserve">To further decipher the </w:t>
      </w:r>
      <w:r w:rsidR="00072775" w:rsidRPr="00A17C97">
        <w:rPr>
          <w:rFonts w:eastAsiaTheme="minorEastAsia"/>
          <w:lang w:val="en-US" w:eastAsia="zh-CN"/>
        </w:rPr>
        <w:t>emergence</w:t>
      </w:r>
      <w:r w:rsidRPr="00A17C97">
        <w:rPr>
          <w:rFonts w:eastAsiaTheme="minorEastAsia"/>
          <w:lang w:val="en-US" w:eastAsia="zh-CN"/>
        </w:rPr>
        <w:t xml:space="preserve"> of excessive aggregation </w:t>
      </w:r>
      <w:r w:rsidR="001D4B28" w:rsidRPr="00A17C97">
        <w:rPr>
          <w:rFonts w:eastAsiaTheme="minorEastAsia"/>
          <w:lang w:val="en-US" w:eastAsia="zh-CN"/>
        </w:rPr>
        <w:t xml:space="preserve">of </w:t>
      </w:r>
      <w:r w:rsidRPr="00A17C97">
        <w:rPr>
          <w:rFonts w:eastAsiaTheme="minorEastAsia"/>
          <w:lang w:val="en-US" w:eastAsia="zh-CN"/>
        </w:rPr>
        <w:t>SMNFAs</w:t>
      </w:r>
      <w:r w:rsidR="001D4B28" w:rsidRPr="00A17C97">
        <w:rPr>
          <w:rFonts w:eastAsiaTheme="minorEastAsia"/>
          <w:lang w:val="en-US" w:eastAsia="zh-CN"/>
        </w:rPr>
        <w:t xml:space="preserve"> observed in </w:t>
      </w:r>
      <w:r w:rsidR="001D4B28" w:rsidRPr="00A17C97">
        <w:rPr>
          <w:rFonts w:eastAsiaTheme="minorEastAsia"/>
          <w:b/>
          <w:bCs/>
          <w:lang w:val="en-US" w:eastAsia="zh-CN"/>
        </w:rPr>
        <w:t>Figure 1b</w:t>
      </w:r>
      <w:r w:rsidRPr="00A17C97">
        <w:rPr>
          <w:rFonts w:eastAsiaTheme="minorEastAsia"/>
          <w:lang w:val="en-US" w:eastAsia="zh-CN"/>
        </w:rPr>
        <w:t>, t</w:t>
      </w:r>
      <w:r w:rsidR="002E0BD3" w:rsidRPr="00A17C97">
        <w:rPr>
          <w:rFonts w:eastAsiaTheme="minorEastAsia"/>
          <w:lang w:val="en-US" w:eastAsia="zh-CN"/>
        </w:rPr>
        <w:t xml:space="preserve">he differential scanning calorimetry (DSC) measurements were performed to </w:t>
      </w:r>
      <w:r w:rsidR="00072775" w:rsidRPr="00A17C97">
        <w:rPr>
          <w:rFonts w:eastAsiaTheme="minorEastAsia"/>
          <w:lang w:val="en-US" w:eastAsia="zh-CN"/>
        </w:rPr>
        <w:t>provide</w:t>
      </w:r>
      <w:r w:rsidRPr="00A17C97">
        <w:rPr>
          <w:rFonts w:eastAsiaTheme="minorEastAsia"/>
          <w:lang w:val="en-US" w:eastAsia="zh-CN"/>
        </w:rPr>
        <w:t xml:space="preserve"> insights </w:t>
      </w:r>
      <w:proofErr w:type="gramStart"/>
      <w:r w:rsidR="00072775" w:rsidRPr="00A17C97">
        <w:rPr>
          <w:rFonts w:eastAsiaTheme="minorEastAsia"/>
          <w:lang w:val="en-US" w:eastAsia="zh-CN"/>
        </w:rPr>
        <w:t>to</w:t>
      </w:r>
      <w:proofErr w:type="gramEnd"/>
      <w:r w:rsidRPr="00A17C97">
        <w:rPr>
          <w:rFonts w:eastAsiaTheme="minorEastAsia"/>
          <w:lang w:val="en-US" w:eastAsia="zh-CN"/>
        </w:rPr>
        <w:t xml:space="preserve"> the </w:t>
      </w:r>
      <w:r w:rsidR="002E0BD3" w:rsidRPr="00A17C97">
        <w:rPr>
          <w:rFonts w:eastAsiaTheme="minorEastAsia"/>
          <w:lang w:val="en-US" w:eastAsia="zh-CN"/>
        </w:rPr>
        <w:t xml:space="preserve">crystallization of materials. A very broad crystallization peak located at 207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(crystallization temperature, </w:t>
      </w:r>
      <w:r w:rsidR="002E0BD3" w:rsidRPr="00A17C97">
        <w:rPr>
          <w:rFonts w:eastAsiaTheme="minorEastAsia"/>
          <w:i/>
          <w:iCs/>
          <w:lang w:val="en-US" w:eastAsia="zh-CN"/>
        </w:rPr>
        <w:t>T</w:t>
      </w:r>
      <w:r w:rsidR="002E0BD3" w:rsidRPr="00A17C97">
        <w:rPr>
          <w:rFonts w:eastAsiaTheme="minorEastAsia"/>
          <w:vertAlign w:val="subscript"/>
          <w:lang w:val="en-US" w:eastAsia="zh-CN"/>
        </w:rPr>
        <w:t>c</w:t>
      </w:r>
      <w:r w:rsidR="002E0BD3" w:rsidRPr="00A17C97">
        <w:rPr>
          <w:rFonts w:eastAsiaTheme="minorEastAsia"/>
          <w:lang w:val="en-US" w:eastAsia="zh-CN"/>
        </w:rPr>
        <w:t>) corresponding to an onset temperature (</w:t>
      </w:r>
      <w:proofErr w:type="spellStart"/>
      <w:r w:rsidR="002E0BD3" w:rsidRPr="00A17C97">
        <w:rPr>
          <w:rFonts w:eastAsiaTheme="minorEastAsia"/>
          <w:i/>
          <w:iCs/>
          <w:lang w:val="en-US" w:eastAsia="zh-CN"/>
        </w:rPr>
        <w:t>T</w:t>
      </w:r>
      <w:r w:rsidR="002E0BD3" w:rsidRPr="00A17C97">
        <w:rPr>
          <w:rFonts w:eastAsiaTheme="minorEastAsia"/>
          <w:vertAlign w:val="subscript"/>
          <w:lang w:val="en-US" w:eastAsia="zh-CN"/>
        </w:rPr>
        <w:t>onset</w:t>
      </w:r>
      <w:proofErr w:type="spellEnd"/>
      <w:r w:rsidR="002E0BD3" w:rsidRPr="00A17C97">
        <w:rPr>
          <w:rFonts w:eastAsiaTheme="minorEastAsia"/>
          <w:lang w:val="en-US" w:eastAsia="zh-CN"/>
        </w:rPr>
        <w:t xml:space="preserve"> = 174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of 33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lower than that obtained in the DSC thermograms for </w:t>
      </w:r>
      <w:r w:rsidR="002E0BD3" w:rsidRPr="00A17C97">
        <w:rPr>
          <w:rFonts w:eastAsiaTheme="minorEastAsia"/>
          <w:i/>
          <w:iCs/>
          <w:lang w:val="en-US" w:eastAsia="zh-CN"/>
        </w:rPr>
        <w:t>d</w:t>
      </w:r>
      <w:r w:rsidR="002E0BD3" w:rsidRPr="00A17C97">
        <w:rPr>
          <w:rFonts w:eastAsiaTheme="minorEastAsia"/>
          <w:lang w:val="en-US" w:eastAsia="zh-CN"/>
        </w:rPr>
        <w:t>BTP-ThC2 (</w:t>
      </w:r>
      <w:r w:rsidR="002E0BD3" w:rsidRPr="00A17C97">
        <w:rPr>
          <w:rFonts w:eastAsiaTheme="minorEastAsia"/>
          <w:b/>
          <w:bCs/>
          <w:lang w:val="en-US" w:eastAsia="zh-CN"/>
        </w:rPr>
        <w:t>Figure 1f</w:t>
      </w:r>
      <w:r w:rsidR="002E0BD3" w:rsidRPr="00A17C97">
        <w:rPr>
          <w:rFonts w:eastAsiaTheme="minorEastAsia"/>
          <w:lang w:val="en-US" w:eastAsia="zh-CN"/>
        </w:rPr>
        <w:t>, Figure S15 and Table S2</w:t>
      </w:r>
      <w:r w:rsidR="00B53095" w:rsidRPr="00A17C97">
        <w:rPr>
          <w:rFonts w:eastAsiaTheme="minorEastAsia"/>
          <w:lang w:val="en-US" w:eastAsia="zh-CN"/>
        </w:rPr>
        <w:t>, SI</w:t>
      </w:r>
      <w:r w:rsidR="002E0BD3" w:rsidRPr="00A17C97">
        <w:rPr>
          <w:rFonts w:eastAsiaTheme="minorEastAsia"/>
          <w:lang w:val="en-US" w:eastAsia="zh-CN"/>
        </w:rPr>
        <w:t>). This indicates the surface crystallization</w:t>
      </w:r>
      <w:r w:rsidR="002E0BD3"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{"citationID":"NkpBd2uj","properties":{"formattedCitation":"\\super [40]\\nosupersub{}","plainCitation":"[40]","noteIndex":0},"citationItems":[{"id":1554,"uris":["http://zotero.org/users/10832941/items/UW6RYE8K"],"itemData":{"id":1554,"type":"article-journal","container-title":"Polymer","ISSN":"00323861","issue":"3","journalAbbreviation":"Polymer","language":"en","page":"150-158","source":"DOI.org (Crossref)","title":"Kinetics of non-isothermal crystallization","volume":"12","author":[{"family":"Ozawa","given":"T."}],"issued":{"date-parts":[["1971",3]]}}}],"schema":"https://github.com/citation-style-language/schema/raw/master/csl-citation.json"} </w:instrText>
      </w:r>
      <w:r w:rsidR="002E0BD3" w:rsidRPr="00A17C97">
        <w:rPr>
          <w:rFonts w:eastAsiaTheme="minorEastAsia"/>
          <w:lang w:val="en-US" w:eastAsia="zh-CN"/>
        </w:rPr>
        <w:fldChar w:fldCharType="separate"/>
      </w:r>
      <w:r w:rsidR="00F51B55" w:rsidRPr="00A17C97">
        <w:rPr>
          <w:vertAlign w:val="superscript"/>
        </w:rPr>
        <w:t>[40]</w:t>
      </w:r>
      <w:r w:rsidR="002E0BD3" w:rsidRPr="00A17C97">
        <w:rPr>
          <w:rFonts w:eastAsiaTheme="minorEastAsia"/>
          <w:lang w:eastAsia="zh-CN"/>
        </w:rPr>
        <w:fldChar w:fldCharType="end"/>
      </w:r>
      <w:r w:rsidR="002E0BD3" w:rsidRPr="00A17C97">
        <w:rPr>
          <w:rFonts w:eastAsiaTheme="minorEastAsia"/>
          <w:lang w:val="en-US" w:eastAsia="zh-CN"/>
        </w:rPr>
        <w:t xml:space="preserve"> and local crystallization</w:t>
      </w:r>
      <w:r w:rsidR="002E0BD3"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{"citationID":"jmQyqgpH","properties":{"formattedCitation":"\\super [41]\\nosupersub{}","plainCitation":"[41]","noteIndex":0},"citationItems":[{"id":1556,"uris":["http://zotero.org/users/10832941/items/8WN6AIAU"],"itemData"</w:instrText>
      </w:r>
      <w:r w:rsidR="00F51B55" w:rsidRPr="00A17C97">
        <w:rPr>
          <w:rFonts w:eastAsiaTheme="minorEastAsia" w:hint="eastAsia"/>
          <w:lang w:val="en-US" w:eastAsia="zh-CN"/>
        </w:rPr>
        <w:instrText>:{"id":1556,"type":"article-journal","abstract":"Abstract\n            \n              With power conversion efficiency now over 17%, a long operational lifetime is essential for the successful application of organic solar cells. However, most non</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fullere</w:instrText>
      </w:r>
      <w:r w:rsidR="00F51B55" w:rsidRPr="00A17C97">
        <w:rPr>
          <w:rFonts w:eastAsiaTheme="minorEastAsia"/>
          <w:lang w:val="en-US" w:eastAsia="zh-CN"/>
        </w:rPr>
        <w:instrText>ne acceptors can crystallize and destroy devices, yet the fundamental underlying thermodynamic and kinetic aspects of acceptor crystallization have received limited attention. Here, room</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temperature (RT) diffusion coefficients of 3.4 × 10\n              −23\n              and 2.0 × 10\n              −22\n              are measured for ITIC</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2Cl and ITIC</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2F, two state</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of</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the</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art non</w:instrText>
      </w:r>
      <w:r w:rsidR="00F51B55" w:rsidRPr="00A17C97">
        <w:rPr>
          <w:rFonts w:eastAsiaTheme="minorEastAsia" w:hint="eastAsia"/>
          <w:lang w:val="en-US" w:eastAsia="zh-CN"/>
        </w:rPr>
        <w:instrText>‐</w:instrText>
      </w:r>
      <w:r w:rsidR="00F51B55" w:rsidRPr="00A17C97">
        <w:rPr>
          <w:rFonts w:eastAsiaTheme="minorEastAsia"/>
          <w:lang w:val="en-US" w:eastAsia="zh-CN"/>
        </w:rPr>
        <w:instrText>fullerene acceptors. The low coefficients are enough to provide for kinetic stabilization of the morphology against demixing a</w:instrText>
      </w:r>
      <w:r w:rsidR="00F51B55" w:rsidRPr="00A17C97">
        <w:rPr>
          <w:rFonts w:eastAsiaTheme="minorEastAsia" w:hint="eastAsia"/>
          <w:lang w:val="en-US" w:eastAsia="zh-CN"/>
        </w:rPr>
        <w:instrText>t RT. Additionally profound differences in crystallization characteristics are discovered between ITIC</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2F and ITIC</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2Cl. The differences as observed by secondary</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ion mass spectrometry, differential scanning calorimetry (DSC), grazing</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incidence wide</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angle X</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ray scattering, and microscopy can be related directly to device degradation and are attributed to the significantly different nucleation and growth rates, with a difference in the growth rate of a factor of 12 at RT. ITIC</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4F and ITIC</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4Cl exhibit similar</w:instrText>
      </w:r>
      <w:r w:rsidR="00F51B55" w:rsidRPr="00A17C97">
        <w:rPr>
          <w:rFonts w:eastAsiaTheme="minorEastAsia"/>
          <w:lang w:val="en-US" w:eastAsia="zh-CN"/>
        </w:rPr>
        <w:instrText xml:space="preserve"> characteristics. The results reveal the importance of diffusion coefficients and melting enthalpies in controlling the growth rates, and that differences in halogenation can drastically change crystallization kinetics and device stability. It is furthermore delineated how low nucleation density and large growth rates can be inferred from DSC and microscopy experiments which could be used to guide molecular design for stability.","container-title":"Advanced Materials","ISSN":"0935-9648, 1521-4095","issue"</w:instrText>
      </w:r>
      <w:r w:rsidR="00F51B55" w:rsidRPr="00A17C97">
        <w:rPr>
          <w:rFonts w:eastAsiaTheme="minorEastAsia" w:hint="eastAsia"/>
          <w:lang w:val="en-US" w:eastAsia="zh-CN"/>
        </w:rPr>
        <w:instrText>:"49","journalAbbreviation":"Adv. Mater.","language":"en","page":"2005348","source":"DOI.org (Crossref)","title":"The Role of Demixing and Crystallization Kinetics on the Stability of Non</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Fullerene Organic Solar Cells","volume":"32","author":[{"family":"H</w:instrText>
      </w:r>
      <w:r w:rsidR="00F51B55" w:rsidRPr="00A17C97">
        <w:rPr>
          <w:rFonts w:eastAsiaTheme="minorEastAsia"/>
          <w:lang w:val="en-US" w:eastAsia="zh-CN"/>
        </w:rPr>
        <w:instrText xml:space="preserve">u","given":"Huawei"},{"family":"Ghasemi","given":"Masoud"},{"family":"Peng","given":"Zhengxing"},{"family":"Zhang","given":"Jianquan"},{"family":"Rech","given":"Jeromy James"},{"family":"You","given":"Wei"},{"family":"Yan","given":"He"},{"family":"Ade","given":"Harald"}],"issued":{"date-parts":[["2020",12]]}}}],"schema":"https://github.com/citation-style-language/schema/raw/master/csl-citation.json"} </w:instrText>
      </w:r>
      <w:r w:rsidR="002E0BD3" w:rsidRPr="00A17C97">
        <w:rPr>
          <w:rFonts w:eastAsiaTheme="minorEastAsia"/>
          <w:lang w:val="en-US" w:eastAsia="zh-CN"/>
        </w:rPr>
        <w:fldChar w:fldCharType="separate"/>
      </w:r>
      <w:r w:rsidR="00F51B55" w:rsidRPr="00A17C97">
        <w:rPr>
          <w:vertAlign w:val="superscript"/>
        </w:rPr>
        <w:t>[41]</w:t>
      </w:r>
      <w:r w:rsidR="002E0BD3" w:rsidRPr="00A17C97">
        <w:rPr>
          <w:rFonts w:eastAsiaTheme="minorEastAsia"/>
          <w:lang w:eastAsia="zh-CN"/>
        </w:rPr>
        <w:fldChar w:fldCharType="end"/>
      </w:r>
      <w:r w:rsidR="002E0BD3" w:rsidRPr="00A17C97">
        <w:rPr>
          <w:rFonts w:eastAsiaTheme="minorEastAsia"/>
          <w:lang w:val="en-US" w:eastAsia="zh-CN"/>
        </w:rPr>
        <w:t xml:space="preserve"> were affected by the twisted backbone of </w:t>
      </w:r>
      <w:r w:rsidR="002E0BD3" w:rsidRPr="00A17C97">
        <w:rPr>
          <w:rFonts w:eastAsiaTheme="minorEastAsia"/>
          <w:i/>
          <w:iCs/>
          <w:lang w:val="en-US" w:eastAsia="zh-CN"/>
        </w:rPr>
        <w:t>d</w:t>
      </w:r>
      <w:r w:rsidR="002E0BD3" w:rsidRPr="00A17C97">
        <w:rPr>
          <w:rFonts w:eastAsiaTheme="minorEastAsia"/>
          <w:lang w:val="en-US" w:eastAsia="zh-CN"/>
        </w:rPr>
        <w:t>BTP-ThC2 which has the shortest flexible linker</w:t>
      </w:r>
      <w:r w:rsidRPr="00A17C97">
        <w:rPr>
          <w:rFonts w:eastAsiaTheme="minorEastAsia"/>
          <w:lang w:val="en-US" w:eastAsia="zh-CN"/>
        </w:rPr>
        <w:t xml:space="preserve"> (C2)</w:t>
      </w:r>
      <w:r w:rsidR="002E0BD3" w:rsidRPr="00A17C97">
        <w:rPr>
          <w:rFonts w:eastAsiaTheme="minorEastAsia"/>
          <w:lang w:val="en-US" w:eastAsia="zh-CN"/>
        </w:rPr>
        <w:t>. On the contrary, too long aliphatic linker (C6) triggers the formation of liquid crystalline phase</w:t>
      </w:r>
      <w:r w:rsidR="002E0BD3"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{"citationID":"xQuUXhWv","properties":{"formattedCitation":"\\super [42,43]\\nosupersub{}","plainCitation":"[42,43]","noteIndex":0},"citationItems":[{"id":1470,"uris":["http://zotero.org/users/10832941/items/5DVYSCAY"],"itemData":{"id":1470,"type":"article-journal","container-title":"Chemical Reviews","ISSN":"0009-2665, 1520-6890","issue":"3","journalAbbreviation":"Chem. Rev.","language":"en","page":"1139-1241","source":"DOI.org (Crossref)","title":"Discotic Liquid Crystals","volume":"116","author":[{"family":"Wöhrle","given":"Tobias"},{"family":"Wurzbach","given":"Iris"},{"family":"Kirres","given":"Jochen"},{"family":"Kostidou","given":"Antonia"},{"family":"Kapernaum","given":"Nadia"},{"family":"Litterscheidt","given":"Juri"},{"family":"Haenle","given":"Johannes Christian"},{"family":"Staffeld","given":"Peter"},{"family":"Baro","given":"Angelika"},{"family":"Giesselmann","given":"Frank"},{"family":"Laschat","given":"Sabine"}],"issued":{"date-parts":[["2016",2,10]]}},"label":"page"},{"id":1465,"uris":["http://zotero.org/users/10832941/items/XBDQEQTL"],"itemData":{"id":1465,"type":"article-journal","abstract":"Molecular dynamics simulations are described for liquid crystal molecules composed of two Gay-Berne particles connected by an eight-site Lennard-Jones alkyl chain. Calculations have been carried out for 512 molecules in the NVE and NPT ensembles for simulation times of up to 6.4 ns. The system exhibits the sequence of phases: isotropic liquid, smectic-A, smectic-B, and the simulations demonstrate the spontaneous growth of a smectic-A liquid crystal over a period of approximately 6 ns on cooling from the isotropic liquid. Model molecules are seen to remain flexible and able to change conformation in the smectic-A phase. As temperature is reduced molecules become elongated as the number of gauche conformations drops, leading to a small increase in the spacing of smectic layers. The latter is seen through the temperature dependence of the Gay-Berne radial distribution function resolved parallel to the direction of orientational order. Results are presented which show an odd–even variation of orientational order parameters for bonds in the alkyl chain, and a change in effective torsional potentials as the system is cooled from isotropic liquid to a smectic-A phase.","container-title":"The Journal of Chemical Physics","ISSN":"0021-9606, 1089-7690","issue":"20","journalAbbreviation":"J. Chem. Phys.","language":"en","page":"8654-8663","source":"DOI.org (Crossref)","title":"Molecular dynamics simulations of flexible liquid crystal molecules using a Gay-Berne/Lennard-Jones model","volume":"107","author":[{"family":"Wilson","given":"Mark R."}],"issued":{"date-parts":[["1997",11,22]]}},"label":"page"}],"schema":"https://github.com/citation-style-language/schema/raw/master/csl-citation.json"} </w:instrText>
      </w:r>
      <w:r w:rsidR="002E0BD3" w:rsidRPr="00A17C97">
        <w:rPr>
          <w:rFonts w:eastAsiaTheme="minorEastAsia"/>
          <w:lang w:val="en-US" w:eastAsia="zh-CN"/>
        </w:rPr>
        <w:fldChar w:fldCharType="separate"/>
      </w:r>
      <w:r w:rsidR="00F51B55" w:rsidRPr="00A17C97">
        <w:rPr>
          <w:vertAlign w:val="superscript"/>
        </w:rPr>
        <w:t>[42,43]</w:t>
      </w:r>
      <w:r w:rsidR="002E0BD3" w:rsidRPr="00A17C97">
        <w:rPr>
          <w:rFonts w:eastAsiaTheme="minorEastAsia"/>
          <w:lang w:eastAsia="zh-CN"/>
        </w:rPr>
        <w:fldChar w:fldCharType="end"/>
      </w:r>
      <w:r w:rsidR="002E0BD3" w:rsidRPr="00A17C97">
        <w:rPr>
          <w:rFonts w:eastAsiaTheme="minorEastAsia"/>
          <w:lang w:val="en-US" w:eastAsia="zh-CN"/>
        </w:rPr>
        <w:t xml:space="preserve"> to result in a pair of crystallization peaks emerging at 157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and 172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in the DSC thermogram of </w:t>
      </w:r>
      <w:r w:rsidR="002E0BD3" w:rsidRPr="00A17C97">
        <w:rPr>
          <w:rFonts w:eastAsiaTheme="minorEastAsia"/>
          <w:i/>
          <w:iCs/>
          <w:lang w:val="en-US" w:eastAsia="zh-CN"/>
        </w:rPr>
        <w:t>d</w:t>
      </w:r>
      <w:r w:rsidR="002E0BD3" w:rsidRPr="00A17C97">
        <w:rPr>
          <w:rFonts w:eastAsiaTheme="minorEastAsia"/>
          <w:lang w:val="en-US" w:eastAsia="zh-CN"/>
        </w:rPr>
        <w:t xml:space="preserve">BTP-ThC6. The </w:t>
      </w:r>
      <w:r w:rsidR="002E0BD3" w:rsidRPr="00A17C97">
        <w:rPr>
          <w:rFonts w:eastAsiaTheme="minorEastAsia"/>
          <w:i/>
          <w:iCs/>
          <w:lang w:val="en-US" w:eastAsia="zh-CN"/>
        </w:rPr>
        <w:t>d</w:t>
      </w:r>
      <w:r w:rsidR="002E0BD3" w:rsidRPr="00A17C97">
        <w:rPr>
          <w:rFonts w:eastAsiaTheme="minorEastAsia"/>
          <w:lang w:val="en-US" w:eastAsia="zh-CN"/>
        </w:rPr>
        <w:t xml:space="preserve">BTP-ThC4 with a moderate flexible linker length (C4) exhibits a similar </w:t>
      </w:r>
      <w:r w:rsidR="002E0BD3" w:rsidRPr="00A17C97">
        <w:rPr>
          <w:rFonts w:eastAsiaTheme="minorEastAsia"/>
          <w:i/>
          <w:iCs/>
          <w:lang w:val="en-US" w:eastAsia="zh-CN"/>
        </w:rPr>
        <w:t>T</w:t>
      </w:r>
      <w:r w:rsidR="002E0BD3" w:rsidRPr="00A17C97">
        <w:rPr>
          <w:rFonts w:eastAsiaTheme="minorEastAsia"/>
          <w:vertAlign w:val="subscript"/>
          <w:lang w:val="en-US" w:eastAsia="zh-CN"/>
        </w:rPr>
        <w:t>c</w:t>
      </w:r>
      <w:r w:rsidR="002E0BD3" w:rsidRPr="00A17C97">
        <w:rPr>
          <w:rFonts w:eastAsiaTheme="minorEastAsia"/>
          <w:lang w:val="en-US" w:eastAsia="zh-CN"/>
        </w:rPr>
        <w:t xml:space="preserve"> of 190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as BTP-eC9, but a higher </w:t>
      </w:r>
      <w:proofErr w:type="spellStart"/>
      <w:r w:rsidR="002E0BD3" w:rsidRPr="00A17C97">
        <w:rPr>
          <w:rFonts w:eastAsiaTheme="minorEastAsia"/>
          <w:i/>
          <w:iCs/>
          <w:lang w:val="en-US" w:eastAsia="zh-CN"/>
        </w:rPr>
        <w:t>T</w:t>
      </w:r>
      <w:r w:rsidR="002E0BD3" w:rsidRPr="00A17C97">
        <w:rPr>
          <w:rFonts w:eastAsiaTheme="minorEastAsia"/>
          <w:vertAlign w:val="subscript"/>
          <w:lang w:val="en-US" w:eastAsia="zh-CN"/>
        </w:rPr>
        <w:t>onset</w:t>
      </w:r>
      <w:proofErr w:type="spellEnd"/>
      <w:r w:rsidR="002E0BD3" w:rsidRPr="00A17C97">
        <w:rPr>
          <w:rFonts w:eastAsiaTheme="minorEastAsia"/>
          <w:lang w:val="en-US" w:eastAsia="zh-CN"/>
        </w:rPr>
        <w:t xml:space="preserve"> (177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than that of BTP-eC9 (164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w:t>
      </w:r>
      <w:r w:rsidR="005C6ACF" w:rsidRPr="00A17C97">
        <w:rPr>
          <w:rFonts w:eastAsiaTheme="minorEastAsia"/>
          <w:lang w:val="en-US" w:eastAsia="zh-CN"/>
        </w:rPr>
        <w:t xml:space="preserve">Differences in the crystallization properties of these dimers </w:t>
      </w:r>
      <w:r w:rsidR="00E376BD" w:rsidRPr="00A17C97">
        <w:rPr>
          <w:rFonts w:eastAsiaTheme="minorEastAsia"/>
          <w:lang w:val="en-US" w:eastAsia="zh-CN"/>
        </w:rPr>
        <w:t>further</w:t>
      </w:r>
      <w:r w:rsidR="005C6ACF" w:rsidRPr="00A17C97">
        <w:rPr>
          <w:rFonts w:eastAsiaTheme="minorEastAsia"/>
          <w:lang w:val="en-US" w:eastAsia="zh-CN"/>
        </w:rPr>
        <w:t xml:space="preserve"> contribute to the crystallization of the dimer-SMNFA blend</w:t>
      </w:r>
      <w:r w:rsidR="009A4FF2" w:rsidRPr="00A17C97">
        <w:rPr>
          <w:rFonts w:eastAsiaTheme="minorEastAsia"/>
          <w:lang w:val="en-US" w:eastAsia="zh-CN"/>
        </w:rPr>
        <w:t>s</w:t>
      </w:r>
      <w:r w:rsidR="005C6ACF" w:rsidRPr="00A17C97">
        <w:rPr>
          <w:rFonts w:eastAsiaTheme="minorEastAsia"/>
          <w:lang w:val="en-US" w:eastAsia="zh-CN"/>
        </w:rPr>
        <w:t xml:space="preserve">. </w:t>
      </w:r>
      <w:r w:rsidR="002E0BD3" w:rsidRPr="00A17C97">
        <w:rPr>
          <w:rFonts w:eastAsiaTheme="minorEastAsia"/>
          <w:lang w:val="en-US" w:eastAsia="zh-CN"/>
        </w:rPr>
        <w:t xml:space="preserve">As exhibited in </w:t>
      </w:r>
      <w:r w:rsidR="002E0BD3" w:rsidRPr="00A17C97">
        <w:rPr>
          <w:rFonts w:eastAsiaTheme="minorEastAsia"/>
          <w:b/>
          <w:bCs/>
          <w:lang w:val="en-US" w:eastAsia="zh-CN"/>
        </w:rPr>
        <w:t>Figure 1f</w:t>
      </w:r>
      <w:r w:rsidR="002E0BD3" w:rsidRPr="00A17C97">
        <w:rPr>
          <w:rFonts w:eastAsiaTheme="minorEastAsia"/>
          <w:lang w:val="en-US" w:eastAsia="zh-CN"/>
        </w:rPr>
        <w:t>, Figure S15 and Table S2</w:t>
      </w:r>
      <w:r w:rsidR="00B53095" w:rsidRPr="00A17C97">
        <w:rPr>
          <w:rFonts w:eastAsiaTheme="minorEastAsia"/>
          <w:lang w:val="en-US" w:eastAsia="zh-CN"/>
        </w:rPr>
        <w:t xml:space="preserve"> (SI)</w:t>
      </w:r>
      <w:r w:rsidR="002E0BD3" w:rsidRPr="00A17C97">
        <w:rPr>
          <w:rFonts w:eastAsiaTheme="minorEastAsia"/>
          <w:lang w:val="en-US" w:eastAsia="zh-CN"/>
        </w:rPr>
        <w:t xml:space="preserve">, the acceptor blends show similar single crystallization peaks with the pristine BTP-eC9, indicating the </w:t>
      </w:r>
      <w:r w:rsidR="00030CD5" w:rsidRPr="00A17C97">
        <w:rPr>
          <w:rFonts w:eastAsiaTheme="minorEastAsia"/>
          <w:lang w:val="en-US" w:eastAsia="zh-CN"/>
        </w:rPr>
        <w:t xml:space="preserve">well </w:t>
      </w:r>
      <w:r w:rsidR="002E0BD3" w:rsidRPr="00A17C97">
        <w:rPr>
          <w:rFonts w:eastAsiaTheme="minorEastAsia"/>
          <w:lang w:val="en-US" w:eastAsia="zh-CN"/>
        </w:rPr>
        <w:t>miscibility between dimer stabilizers and SMNFAs to form homogeneous blends.</w:t>
      </w:r>
      <w:r w:rsidR="002E0BD3"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{"citationID":"PHckqU0M","properties":{"formattedCitation":"\\super [26]\\nosupersub{}","plainCitation":"[26]","noteIndex":0},"citationItems":[{"id":1451,"uris":["http://zotero.org/users/10832941/items/TY9QWUXE"],"itemData":{"id":1451,"type":"article-journal","container-title":"Advanced Energy Materials","ISSN":"16146832","issue":"28","journalAbbreviation":"Adv. Energy Mater.","language":"en","page":"1702741","source":"DOI.org (Crossref)","title":"Glass Forming Acceptor Alloys for Highly Efficient and Thermally Stable Ternary Organic Solar Cells","volume":"8","author":[{"family":"De Zerio","given":"Amaia Diaz"},{"family":"Müller","given":"Christian"}],"issued":{"date-parts":[["2018",10]]}}}],"schema":"https://github.com/citation-style-language/schema/raw/master/csl-citation.json"} </w:instrText>
      </w:r>
      <w:r w:rsidR="002E0BD3" w:rsidRPr="00A17C97">
        <w:rPr>
          <w:rFonts w:eastAsiaTheme="minorEastAsia"/>
          <w:lang w:val="en-US" w:eastAsia="zh-CN"/>
        </w:rPr>
        <w:fldChar w:fldCharType="separate"/>
      </w:r>
      <w:r w:rsidR="00F51B55" w:rsidRPr="00A17C97">
        <w:rPr>
          <w:vertAlign w:val="superscript"/>
        </w:rPr>
        <w:t>[26]</w:t>
      </w:r>
      <w:r w:rsidR="002E0BD3" w:rsidRPr="00A17C97">
        <w:rPr>
          <w:rFonts w:eastAsiaTheme="minorEastAsia"/>
          <w:lang w:eastAsia="zh-CN"/>
        </w:rPr>
        <w:fldChar w:fldCharType="end"/>
      </w:r>
      <w:r w:rsidR="002E0BD3" w:rsidRPr="00A17C97">
        <w:rPr>
          <w:rFonts w:eastAsiaTheme="minorEastAsia"/>
          <w:lang w:val="en-US" w:eastAsia="zh-CN"/>
        </w:rPr>
        <w:t xml:space="preserve"> Compared with BTP-eC9 having the lowest </w:t>
      </w:r>
      <w:proofErr w:type="spellStart"/>
      <w:r w:rsidR="002E0BD3" w:rsidRPr="00A17C97">
        <w:rPr>
          <w:rFonts w:eastAsiaTheme="minorEastAsia"/>
          <w:i/>
          <w:iCs/>
          <w:lang w:val="en-US" w:eastAsia="zh-CN"/>
        </w:rPr>
        <w:t>T</w:t>
      </w:r>
      <w:r w:rsidR="002E0BD3" w:rsidRPr="00A17C97">
        <w:rPr>
          <w:rFonts w:eastAsiaTheme="minorEastAsia"/>
          <w:vertAlign w:val="subscript"/>
          <w:lang w:val="en-US" w:eastAsia="zh-CN"/>
        </w:rPr>
        <w:t>onset</w:t>
      </w:r>
      <w:proofErr w:type="spellEnd"/>
      <w:r w:rsidR="00030CD5" w:rsidRPr="00A17C97">
        <w:rPr>
          <w:rFonts w:eastAsiaTheme="minorEastAsia"/>
          <w:vertAlign w:val="subscript"/>
          <w:lang w:val="en-US" w:eastAsia="zh-CN"/>
        </w:rPr>
        <w:t xml:space="preserve"> </w:t>
      </w:r>
      <w:r w:rsidR="00030CD5" w:rsidRPr="00A17C97">
        <w:rPr>
          <w:rFonts w:eastAsiaTheme="minorEastAsia"/>
          <w:lang w:val="en-US" w:eastAsia="zh-CN"/>
        </w:rPr>
        <w:t>of 16</w:t>
      </w:r>
      <w:r w:rsidR="005E2109" w:rsidRPr="00A17C97">
        <w:rPr>
          <w:rFonts w:eastAsiaTheme="minorEastAsia" w:hint="eastAsia"/>
          <w:lang w:val="en-US" w:eastAsia="zh-CN"/>
        </w:rPr>
        <w:t>2</w:t>
      </w:r>
      <w:r w:rsidR="00030CD5" w:rsidRPr="00A17C97">
        <w:rPr>
          <w:rFonts w:eastAsiaTheme="minorEastAsia"/>
          <w:lang w:val="en-US" w:eastAsia="zh-CN"/>
        </w:rPr>
        <w:t xml:space="preserve"> </w:t>
      </w:r>
      <w:proofErr w:type="spellStart"/>
      <w:r w:rsidR="00030CD5" w:rsidRPr="00A17C97">
        <w:rPr>
          <w:rFonts w:eastAsiaTheme="minorEastAsia"/>
          <w:vertAlign w:val="superscript"/>
          <w:lang w:val="en-US" w:eastAsia="zh-CN"/>
        </w:rPr>
        <w:t>o</w:t>
      </w:r>
      <w:r w:rsidR="00030CD5" w:rsidRPr="00A17C97">
        <w:rPr>
          <w:rFonts w:eastAsiaTheme="minorEastAsia"/>
          <w:lang w:val="en-US" w:eastAsia="zh-CN"/>
        </w:rPr>
        <w:t>C</w:t>
      </w:r>
      <w:proofErr w:type="spellEnd"/>
      <w:r w:rsidR="00030CD5" w:rsidRPr="00A17C97">
        <w:rPr>
          <w:rFonts w:eastAsiaTheme="minorEastAsia"/>
          <w:lang w:val="en-US" w:eastAsia="zh-CN"/>
        </w:rPr>
        <w:t>,</w:t>
      </w:r>
      <w:r w:rsidR="002E0BD3" w:rsidRPr="00A17C97">
        <w:rPr>
          <w:rFonts w:eastAsiaTheme="minorEastAsia"/>
          <w:lang w:val="en-US" w:eastAsia="zh-CN"/>
        </w:rPr>
        <w:t xml:space="preserve"> the dimer-containing blends exhibit higher </w:t>
      </w:r>
      <w:proofErr w:type="spellStart"/>
      <w:r w:rsidR="002E0BD3" w:rsidRPr="00A17C97">
        <w:rPr>
          <w:rFonts w:eastAsiaTheme="minorEastAsia"/>
          <w:i/>
          <w:iCs/>
          <w:lang w:val="en-US" w:eastAsia="zh-CN"/>
        </w:rPr>
        <w:t>T</w:t>
      </w:r>
      <w:r w:rsidR="002E0BD3" w:rsidRPr="00A17C97">
        <w:rPr>
          <w:rFonts w:eastAsiaTheme="minorEastAsia"/>
          <w:vertAlign w:val="subscript"/>
          <w:lang w:val="en-US" w:eastAsia="zh-CN"/>
        </w:rPr>
        <w:t>onset</w:t>
      </w:r>
      <w:r w:rsidR="002E0BD3" w:rsidRPr="00A17C97">
        <w:rPr>
          <w:rFonts w:eastAsiaTheme="minorEastAsia"/>
          <w:lang w:val="en-US" w:eastAsia="zh-CN"/>
        </w:rPr>
        <w:t>s</w:t>
      </w:r>
      <w:proofErr w:type="spellEnd"/>
      <w:r w:rsidR="002E0BD3" w:rsidRPr="00A17C97">
        <w:rPr>
          <w:rFonts w:eastAsiaTheme="minorEastAsia"/>
          <w:lang w:val="en-US" w:eastAsia="zh-CN"/>
        </w:rPr>
        <w:t xml:space="preserve">, 173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w:t>
      </w:r>
      <w:r w:rsidR="002E0BD3" w:rsidRPr="00A17C97">
        <w:rPr>
          <w:rFonts w:eastAsiaTheme="minorEastAsia"/>
          <w:i/>
          <w:iCs/>
          <w:lang w:val="en-US" w:eastAsia="zh-CN"/>
        </w:rPr>
        <w:t>d</w:t>
      </w:r>
      <w:r w:rsidR="002E0BD3" w:rsidRPr="00A17C97">
        <w:rPr>
          <w:rFonts w:eastAsiaTheme="minorEastAsia"/>
          <w:lang w:val="en-US" w:eastAsia="zh-CN"/>
        </w:rPr>
        <w:t xml:space="preserve">BTP-ThC2), 175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w:t>
      </w:r>
      <w:r w:rsidR="002E0BD3" w:rsidRPr="00A17C97">
        <w:rPr>
          <w:rFonts w:eastAsiaTheme="minorEastAsia"/>
          <w:i/>
          <w:iCs/>
          <w:lang w:val="en-US" w:eastAsia="zh-CN"/>
        </w:rPr>
        <w:t>d</w:t>
      </w:r>
      <w:r w:rsidR="002E0BD3" w:rsidRPr="00A17C97">
        <w:rPr>
          <w:rFonts w:eastAsiaTheme="minorEastAsia"/>
          <w:lang w:val="en-US" w:eastAsia="zh-CN"/>
        </w:rPr>
        <w:t xml:space="preserve">BTP-ThC4), and 174 </w:t>
      </w:r>
      <w:proofErr w:type="spellStart"/>
      <w:r w:rsidR="002E0BD3" w:rsidRPr="00A17C97">
        <w:rPr>
          <w:rFonts w:eastAsiaTheme="minorEastAsia"/>
          <w:vertAlign w:val="superscript"/>
          <w:lang w:val="en-US" w:eastAsia="zh-CN"/>
        </w:rPr>
        <w:t>o</w:t>
      </w:r>
      <w:r w:rsidR="002E0BD3" w:rsidRPr="00A17C97">
        <w:rPr>
          <w:rFonts w:eastAsiaTheme="minorEastAsia"/>
          <w:lang w:val="en-US" w:eastAsia="zh-CN"/>
        </w:rPr>
        <w:t>C</w:t>
      </w:r>
      <w:proofErr w:type="spellEnd"/>
      <w:r w:rsidR="002E0BD3" w:rsidRPr="00A17C97">
        <w:rPr>
          <w:rFonts w:eastAsiaTheme="minorEastAsia"/>
          <w:lang w:val="en-US" w:eastAsia="zh-CN"/>
        </w:rPr>
        <w:t xml:space="preserve"> (</w:t>
      </w:r>
      <w:r w:rsidR="002E0BD3" w:rsidRPr="00A17C97">
        <w:rPr>
          <w:rFonts w:eastAsiaTheme="minorEastAsia"/>
          <w:i/>
          <w:iCs/>
          <w:lang w:val="en-US" w:eastAsia="zh-CN"/>
        </w:rPr>
        <w:t>d</w:t>
      </w:r>
      <w:r w:rsidR="002E0BD3" w:rsidRPr="00A17C97">
        <w:rPr>
          <w:rFonts w:eastAsiaTheme="minorEastAsia"/>
          <w:lang w:val="en-US" w:eastAsia="zh-CN"/>
        </w:rPr>
        <w:t xml:space="preserve">BTP-ThC6), respectively, accompanying with narrower crystallization peaks. </w:t>
      </w:r>
      <w:r w:rsidR="00E376BD" w:rsidRPr="00A17C97">
        <w:rPr>
          <w:rFonts w:eastAsiaTheme="minorEastAsia"/>
          <w:lang w:val="en-US" w:eastAsia="zh-CN"/>
        </w:rPr>
        <w:t xml:space="preserve">This result illustrates that thresholds of crystallization destruction of blends are higher than that of pristine SMNFAs. </w:t>
      </w:r>
      <w:r w:rsidR="00591199" w:rsidRPr="00A17C97">
        <w:rPr>
          <w:rFonts w:eastAsiaTheme="minorEastAsia"/>
          <w:lang w:val="en-US" w:eastAsia="zh-CN"/>
        </w:rPr>
        <w:t>Therefore</w:t>
      </w:r>
      <w:r w:rsidR="00E376BD" w:rsidRPr="00A17C97">
        <w:rPr>
          <w:rFonts w:eastAsiaTheme="minorEastAsia"/>
          <w:lang w:val="en-US" w:eastAsia="zh-CN"/>
        </w:rPr>
        <w:t xml:space="preserve">, SMNFAs </w:t>
      </w:r>
      <w:r w:rsidR="00591199" w:rsidRPr="00A17C97">
        <w:rPr>
          <w:rFonts w:eastAsiaTheme="minorEastAsia"/>
          <w:lang w:val="en-US" w:eastAsia="zh-CN"/>
        </w:rPr>
        <w:t>with high diffusion coefficient</w:t>
      </w:r>
      <w:r w:rsidR="00647012" w:rsidRPr="00A17C97">
        <w:rPr>
          <w:rFonts w:eastAsiaTheme="minorEastAsia"/>
          <w:lang w:val="en-US" w:eastAsia="zh-CN"/>
        </w:rPr>
        <w:t xml:space="preserve"> and </w:t>
      </w:r>
      <w:r w:rsidR="00591199" w:rsidRPr="00A17C97">
        <w:rPr>
          <w:rFonts w:eastAsiaTheme="minorEastAsia"/>
          <w:lang w:val="en-US" w:eastAsia="zh-CN"/>
        </w:rPr>
        <w:t>easily disrupted</w:t>
      </w:r>
      <w:r w:rsidR="00647012" w:rsidRPr="00A17C97">
        <w:rPr>
          <w:rFonts w:eastAsiaTheme="minorEastAsia"/>
          <w:lang w:val="en-US" w:eastAsia="zh-CN"/>
        </w:rPr>
        <w:t xml:space="preserve"> crystalli</w:t>
      </w:r>
      <w:r w:rsidR="00591199" w:rsidRPr="00A17C97">
        <w:rPr>
          <w:rFonts w:eastAsiaTheme="minorEastAsia"/>
          <w:lang w:val="en-US" w:eastAsia="zh-CN"/>
        </w:rPr>
        <w:t>nity</w:t>
      </w:r>
      <w:r w:rsidR="00647012" w:rsidRPr="00A17C97">
        <w:rPr>
          <w:rFonts w:eastAsiaTheme="minorEastAsia"/>
          <w:lang w:val="en-US" w:eastAsia="zh-CN"/>
        </w:rPr>
        <w:t xml:space="preserve"> can aggregate excessively</w:t>
      </w:r>
      <w:r w:rsidR="00EA5715" w:rsidRPr="00A17C97">
        <w:rPr>
          <w:rFonts w:eastAsiaTheme="minorEastAsia"/>
          <w:lang w:val="en-US" w:eastAsia="zh-CN"/>
        </w:rPr>
        <w:t xml:space="preserve">. </w:t>
      </w:r>
      <w:r w:rsidR="00591199" w:rsidRPr="00A17C97">
        <w:rPr>
          <w:rFonts w:eastAsiaTheme="minorEastAsia"/>
          <w:lang w:val="en-US" w:eastAsia="zh-CN"/>
        </w:rPr>
        <w:t xml:space="preserve">Contrarily, </w:t>
      </w:r>
      <w:r w:rsidR="00EA5715" w:rsidRPr="00A17C97">
        <w:rPr>
          <w:rFonts w:eastAsiaTheme="minorEastAsia"/>
          <w:lang w:val="en-US" w:eastAsia="zh-CN"/>
        </w:rPr>
        <w:t xml:space="preserve">the blends with </w:t>
      </w:r>
      <w:r w:rsidR="00591199" w:rsidRPr="00A17C97">
        <w:rPr>
          <w:rFonts w:eastAsiaTheme="minorEastAsia"/>
          <w:lang w:val="en-US" w:eastAsia="zh-CN"/>
        </w:rPr>
        <w:t>inhibited</w:t>
      </w:r>
      <w:r w:rsidR="00EA5715" w:rsidRPr="00A17C97">
        <w:rPr>
          <w:rFonts w:eastAsiaTheme="minorEastAsia"/>
          <w:lang w:val="en-US" w:eastAsia="zh-CN"/>
        </w:rPr>
        <w:t xml:space="preserve"> diffusion are </w:t>
      </w:r>
      <w:r w:rsidR="00591199" w:rsidRPr="00A17C97">
        <w:rPr>
          <w:rFonts w:eastAsiaTheme="minorEastAsia"/>
          <w:lang w:val="en-US" w:eastAsia="zh-CN"/>
        </w:rPr>
        <w:t>less prone to</w:t>
      </w:r>
      <w:r w:rsidR="00EA5715" w:rsidRPr="00A17C97">
        <w:rPr>
          <w:rFonts w:eastAsiaTheme="minorEastAsia"/>
          <w:lang w:val="en-US" w:eastAsia="zh-CN"/>
        </w:rPr>
        <w:t xml:space="preserve"> aggregat</w:t>
      </w:r>
      <w:r w:rsidR="00591199" w:rsidRPr="00A17C97">
        <w:rPr>
          <w:rFonts w:eastAsiaTheme="minorEastAsia"/>
          <w:lang w:val="en-US" w:eastAsia="zh-CN"/>
        </w:rPr>
        <w:t>ion, thereby enabling</w:t>
      </w:r>
      <w:r w:rsidR="00EA5715" w:rsidRPr="00A17C97">
        <w:rPr>
          <w:rFonts w:eastAsiaTheme="minorEastAsia"/>
          <w:lang w:val="en-US" w:eastAsia="zh-CN"/>
        </w:rPr>
        <w:t xml:space="preserve"> robust morphology </w:t>
      </w:r>
      <w:r w:rsidR="00591199" w:rsidRPr="00A17C97">
        <w:rPr>
          <w:rFonts w:eastAsiaTheme="minorEastAsia"/>
          <w:lang w:val="en-US" w:eastAsia="zh-CN"/>
        </w:rPr>
        <w:t>with minimized</w:t>
      </w:r>
      <w:r w:rsidR="00EA5715" w:rsidRPr="00A17C97">
        <w:rPr>
          <w:rFonts w:eastAsiaTheme="minorEastAsia"/>
          <w:lang w:val="en-US" w:eastAsia="zh-CN"/>
        </w:rPr>
        <w:t xml:space="preserve"> burn-in loss</w:t>
      </w:r>
      <w:r w:rsidR="00647012" w:rsidRPr="00A17C97">
        <w:rPr>
          <w:rFonts w:eastAsiaTheme="minorEastAsia"/>
          <w:lang w:val="en-US" w:eastAsia="zh-CN"/>
        </w:rPr>
        <w:t xml:space="preserve">. Moreover, the </w:t>
      </w:r>
      <w:r w:rsidR="00647012" w:rsidRPr="00A17C97">
        <w:rPr>
          <w:rFonts w:eastAsiaTheme="minorEastAsia"/>
          <w:lang w:val="en-US" w:eastAsia="zh-CN"/>
        </w:rPr>
        <w:lastRenderedPageBreak/>
        <w:t xml:space="preserve">higher </w:t>
      </w:r>
      <w:proofErr w:type="spellStart"/>
      <w:r w:rsidR="00647012" w:rsidRPr="00A17C97">
        <w:rPr>
          <w:rFonts w:eastAsiaTheme="minorEastAsia"/>
          <w:i/>
          <w:iCs/>
          <w:lang w:val="en-US" w:eastAsia="zh-CN"/>
        </w:rPr>
        <w:t>T</w:t>
      </w:r>
      <w:r w:rsidR="00647012" w:rsidRPr="00A17C97">
        <w:rPr>
          <w:rFonts w:eastAsiaTheme="minorEastAsia"/>
          <w:vertAlign w:val="subscript"/>
          <w:lang w:val="en-US" w:eastAsia="zh-CN"/>
        </w:rPr>
        <w:t>onset</w:t>
      </w:r>
      <w:r w:rsidR="00647012" w:rsidRPr="00A17C97">
        <w:rPr>
          <w:rFonts w:eastAsiaTheme="minorEastAsia"/>
          <w:lang w:val="en-US" w:eastAsia="zh-CN"/>
        </w:rPr>
        <w:t>s</w:t>
      </w:r>
      <w:proofErr w:type="spellEnd"/>
      <w:r w:rsidR="00647012" w:rsidRPr="00A17C97">
        <w:rPr>
          <w:rFonts w:eastAsiaTheme="minorEastAsia"/>
          <w:lang w:val="en-US" w:eastAsia="zh-CN"/>
        </w:rPr>
        <w:t xml:space="preserve"> </w:t>
      </w:r>
      <w:r w:rsidR="00030CD5" w:rsidRPr="00A17C97">
        <w:rPr>
          <w:rFonts w:eastAsiaTheme="minorEastAsia"/>
          <w:lang w:val="en-US" w:eastAsia="zh-CN"/>
        </w:rPr>
        <w:t xml:space="preserve">also indicate </w:t>
      </w:r>
      <w:r w:rsidR="002E0BD3" w:rsidRPr="00A17C97">
        <w:rPr>
          <w:rFonts w:eastAsiaTheme="minorEastAsia"/>
          <w:lang w:val="en-US" w:eastAsia="zh-CN"/>
        </w:rPr>
        <w:t>slower crystallization</w:t>
      </w:r>
      <w:r w:rsidR="002E0BD3"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{"citationID":"6xlf7PiI","properties":{"formattedCitation":"\\super [44]\\nosupersub{}","plainCitation":"[44]","noteIndex":0},"citationItems":[{"id":1547,"uris":["http://zotero.org/users/10832941/items/H5YG4M7G"],"itemData":{"id":1547,"type":"article-journal","container-title":"Polymer","ISSN":"00323861","issue":"23","journalAbbreviation":"Polymer","language":"en","page":"6855-6866","source":"DOI.org (Crossref)","title":"Effect of nucleation and plasticization on the crystallization of poly(lactic acid)","volume":"48","author":[{"family":"Li","given":"Hongbo"},{"family":"Huneault","given":"Michel A."}],"issued":{"date-parts":[["2007",11]]}}}],"schema":"https://github.com/citation-style-language/schema/raw/master/csl-citation.json"} </w:instrText>
      </w:r>
      <w:r w:rsidR="002E0BD3" w:rsidRPr="00A17C97">
        <w:rPr>
          <w:rFonts w:eastAsiaTheme="minorEastAsia"/>
          <w:lang w:val="en-US" w:eastAsia="zh-CN"/>
        </w:rPr>
        <w:fldChar w:fldCharType="separate"/>
      </w:r>
      <w:r w:rsidR="00F51B55" w:rsidRPr="00A17C97">
        <w:rPr>
          <w:vertAlign w:val="superscript"/>
        </w:rPr>
        <w:t>[44]</w:t>
      </w:r>
      <w:r w:rsidR="002E0BD3" w:rsidRPr="00A17C97">
        <w:rPr>
          <w:rFonts w:eastAsiaTheme="minorEastAsia"/>
          <w:lang w:eastAsia="zh-CN"/>
        </w:rPr>
        <w:fldChar w:fldCharType="end"/>
      </w:r>
      <w:r w:rsidR="002E0BD3" w:rsidRPr="00A17C97">
        <w:rPr>
          <w:rFonts w:eastAsiaTheme="minorEastAsia"/>
          <w:lang w:val="en-US" w:eastAsia="zh-CN"/>
        </w:rPr>
        <w:t xml:space="preserve"> and inhibited surface crystallization</w:t>
      </w:r>
      <w:r w:rsidR="00647012" w:rsidRPr="00A17C97">
        <w:rPr>
          <w:rFonts w:eastAsiaTheme="minorEastAsia"/>
          <w:lang w:val="en-US" w:eastAsia="zh-CN"/>
        </w:rPr>
        <w:fldChar w:fldCharType="begin"/>
      </w:r>
      <w:r w:rsidR="00647012" w:rsidRPr="00A17C97">
        <w:rPr>
          <w:rFonts w:eastAsiaTheme="minorEastAsia"/>
          <w:lang w:val="en-US" w:eastAsia="zh-CN"/>
        </w:rPr>
        <w:instrText xml:space="preserve"> ADDIN ZOTERO_ITEM CSL_CITATION {"citationID":"6p1w4lKx","properties":{"formattedCitation":"\\super [45,46]\\nosupersub{}","plainCitation":"[45,46]","noteIndex":0},"citationItems":[{"id":1421,"uris":["http://zotero.org/users/10832941/items/H3VMGAA3"],"itemData":{"id":1421,"type":"article-journal","abstract":"Abstract\n            Non-fullerene based organic solar cells display a high initial power conversion efficiency but continue to suffer from poor thermal stability, especially in case of devices with thick active layers. Mixing of five structurally similar acceptors with similar electron affinities, and blending with a donor polymer is explored, yielding devices with a power conversion efficiency of up to 17.6%. The hexanary device performance is unaffected by thermal annealing of the bulk-heterojunction active layer for at least 23 days at 130 °C in the dark and an inert atmosphere. Moreover, hexanary blends offer a high degree of thermal stability for an active layer thickness of up to 390 nm, which is advantageous for high-throughput processing of organic solar cells. Here, a generic strategy based on multi-component acceptor mixtures is presented that permits to considerably improve the thermal stability of non-fullerene based devices and thus paves the way for large-area organic solar cells.","container-title":"Nature Communications","ISSN":"2041-1723","issue":"1","journalAbbreviation":"Nat. Commun.","language":"en","page":"4608","source":"DOI.org (Crossref)","title":"Hexanary blends: a strategy towards thermally stable organic photovoltaics","title-short":"Hexanary blends","volume":"14","author":[{"family":"Paleti","given":"Sri Harish Kumar"},{"family":"Hultmark","given":"Sandra"},{"family":"Han","given":"Jianhua"},{"family":"Wen","given":"Yuanfan"},{"family":"Xu","given":"Han"},{"family":"Chen","given":"Si"},{"family":"Järsvall","given":"Emmy"},{"family":"Jalan","given":"Ishita"},{"family":"Villalva","given":"Diego Rosas"},{"family":"Sharma","given":"Anirudh"},{"family":"Khan","given":"Jafar. I."},{"family":"Moons","given":"Ellen"},{"family":"Li","given":"Ruipeng"},{"family":"Yu","given":"Liyang"},{"family":"Gorenflot","given":"Julien"},{"family":"Laquai","given":"Frédéric"},{"family":"Müller","given":"Christian"},{"family":"Baran","given":"Derya"}],"issued":{"date-parts":[["2023",8,1]]}}},{"id":1536,"uris":["http://zotero.org/users/10832941/items/FKTMMYDB"],"itemData":{"id":1536,"type":"article-journal","container-title":"Journal of Physics and Chemistry of Solids","ISSN":"00223697","issue":"1","journalAbbreviation":"J. Phys. Chem. Solids.","language":"en","page":"27-30","source":"DOI.org (Crossref)","title":"Crystallization kinetics in phosphate sodium-based glass studied by DSC technique","volume":"64","author":[{"family":"Reynoso","given":"V.C.S"},{"family":"Yukimitu","given":"K"},{"family":"Nagami","given":"T"},{"family":"Carvalho","given":"C.L"},{"family":"Moraes","given":"J.C.S"},{"family":"Araújo","given":"E.B"}],"issued":{"date-parts":[["2003",1]]}}}],"schema":"https://github.com/citation-style-language/schema/raw/master/csl-citation.json"} </w:instrText>
      </w:r>
      <w:r w:rsidR="00647012" w:rsidRPr="00A17C97">
        <w:rPr>
          <w:rFonts w:eastAsiaTheme="minorEastAsia"/>
          <w:lang w:val="en-US" w:eastAsia="zh-CN"/>
        </w:rPr>
        <w:fldChar w:fldCharType="separate"/>
      </w:r>
      <w:r w:rsidR="00647012" w:rsidRPr="00A17C97">
        <w:rPr>
          <w:vertAlign w:val="superscript"/>
        </w:rPr>
        <w:t>[45,46]</w:t>
      </w:r>
      <w:r w:rsidR="00647012" w:rsidRPr="00A17C97">
        <w:rPr>
          <w:rFonts w:eastAsiaTheme="minorEastAsia"/>
          <w:lang w:eastAsia="zh-CN"/>
        </w:rPr>
        <w:fldChar w:fldCharType="end"/>
      </w:r>
      <w:r w:rsidR="002E0BD3" w:rsidRPr="00A17C97">
        <w:rPr>
          <w:rFonts w:eastAsiaTheme="minorEastAsia"/>
          <w:lang w:val="en-US" w:eastAsia="zh-CN"/>
        </w:rPr>
        <w:t xml:space="preserve"> </w:t>
      </w:r>
      <w:r w:rsidR="001D4B28" w:rsidRPr="00A17C97">
        <w:rPr>
          <w:rFonts w:eastAsiaTheme="minorEastAsia"/>
          <w:lang w:val="en-US" w:eastAsia="zh-CN"/>
        </w:rPr>
        <w:t>of blends,</w:t>
      </w:r>
      <w:r w:rsidR="002E0BD3" w:rsidRPr="00A17C97">
        <w:rPr>
          <w:rFonts w:eastAsiaTheme="minorEastAsia"/>
          <w:lang w:val="en-US" w:eastAsia="zh-CN"/>
        </w:rPr>
        <w:t xml:space="preserve"> </w:t>
      </w:r>
      <w:r w:rsidR="001D4B28" w:rsidRPr="00A17C97">
        <w:rPr>
          <w:rFonts w:eastAsiaTheme="minorEastAsia"/>
          <w:lang w:val="en-US" w:eastAsia="zh-CN"/>
        </w:rPr>
        <w:t>which</w:t>
      </w:r>
      <w:r w:rsidR="00647012" w:rsidRPr="00A17C97">
        <w:rPr>
          <w:rFonts w:eastAsiaTheme="minorEastAsia"/>
          <w:lang w:val="en-US" w:eastAsia="zh-CN"/>
        </w:rPr>
        <w:t xml:space="preserve"> facilitate the favorable crystal orientation and</w:t>
      </w:r>
      <w:r w:rsidR="001D4B28" w:rsidRPr="00A17C97">
        <w:rPr>
          <w:rFonts w:eastAsiaTheme="minorEastAsia"/>
          <w:lang w:val="en-US" w:eastAsia="zh-CN"/>
        </w:rPr>
        <w:t xml:space="preserve"> balanc</w:t>
      </w:r>
      <w:r w:rsidR="00647012" w:rsidRPr="00A17C97">
        <w:rPr>
          <w:rFonts w:eastAsiaTheme="minorEastAsia"/>
          <w:lang w:val="en-US" w:eastAsia="zh-CN"/>
        </w:rPr>
        <w:t>e</w:t>
      </w:r>
      <w:r w:rsidR="001D4B28" w:rsidRPr="00A17C97">
        <w:rPr>
          <w:rFonts w:eastAsiaTheme="minorEastAsia"/>
          <w:lang w:val="en-US" w:eastAsia="zh-CN"/>
        </w:rPr>
        <w:t xml:space="preserve"> the trade-off between the device efficiency an</w:t>
      </w:r>
      <w:r w:rsidR="001D4B28">
        <w:rPr>
          <w:rFonts w:eastAsiaTheme="minorEastAsia"/>
          <w:lang w:val="en-US" w:eastAsia="zh-CN"/>
        </w:rPr>
        <w:t>d stability</w:t>
      </w:r>
      <w:r w:rsidR="00647012">
        <w:rPr>
          <w:rFonts w:eastAsiaTheme="minorEastAsia"/>
          <w:lang w:val="en-US" w:eastAsia="zh-CN"/>
        </w:rPr>
        <w:t xml:space="preserve">. </w:t>
      </w:r>
    </w:p>
    <w:bookmarkEnd w:id="9"/>
    <w:p w14:paraId="4075D1D5" w14:textId="77777777" w:rsidR="008E1441" w:rsidRDefault="008E1441" w:rsidP="006960F3">
      <w:pPr>
        <w:spacing w:line="360" w:lineRule="auto"/>
        <w:ind w:firstLine="708"/>
        <w:jc w:val="both"/>
        <w:rPr>
          <w:rFonts w:eastAsiaTheme="minorEastAsia"/>
          <w:lang w:val="en-US" w:eastAsia="zh-CN"/>
        </w:rPr>
      </w:pPr>
    </w:p>
    <w:p w14:paraId="593BCB97" w14:textId="77777777" w:rsidR="006C1256" w:rsidRPr="00C61DB0" w:rsidRDefault="006C1256" w:rsidP="006C1256">
      <w:pPr>
        <w:spacing w:line="360" w:lineRule="auto"/>
      </w:pPr>
      <w:bookmarkStart w:id="10" w:name="_Hlk152686243"/>
      <w:r w:rsidRPr="00D9461F">
        <w:rPr>
          <w:noProof/>
        </w:rPr>
        <w:drawing>
          <wp:inline distT="0" distB="0" distL="0" distR="0" wp14:anchorId="6534909E" wp14:editId="772AC5BC">
            <wp:extent cx="5766049" cy="2367926"/>
            <wp:effectExtent l="0" t="0" r="0" b="0"/>
            <wp:docPr id="33" name="图片 32">
              <a:extLst xmlns:a="http://schemas.openxmlformats.org/drawingml/2006/main">
                <a:ext uri="{FF2B5EF4-FFF2-40B4-BE49-F238E27FC236}">
                  <a16:creationId xmlns:a16="http://schemas.microsoft.com/office/drawing/2014/main" id="{DA390DDD-91B1-E1E9-C2FF-881553C93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DA390DDD-91B1-E1E9-C2FF-881553C933B4}"/>
                        </a:ext>
                      </a:extLst>
                    </pic:cNvPr>
                    <pic:cNvPicPr>
                      <a:picLocks noChangeAspect="1"/>
                    </pic:cNvPicPr>
                  </pic:nvPicPr>
                  <pic:blipFill>
                    <a:blip r:embed="rId12"/>
                    <a:stretch>
                      <a:fillRect/>
                    </a:stretch>
                  </pic:blipFill>
                  <pic:spPr>
                    <a:xfrm>
                      <a:off x="0" y="0"/>
                      <a:ext cx="5786049" cy="2376139"/>
                    </a:xfrm>
                    <a:prstGeom prst="rect">
                      <a:avLst/>
                    </a:prstGeom>
                  </pic:spPr>
                </pic:pic>
              </a:graphicData>
            </a:graphic>
          </wp:inline>
        </w:drawing>
      </w:r>
    </w:p>
    <w:p w14:paraId="65FE3B44" w14:textId="62173A29" w:rsidR="006C1256" w:rsidRPr="00C61DB0" w:rsidRDefault="006C1256" w:rsidP="006C1256">
      <w:pPr>
        <w:spacing w:before="240" w:line="360" w:lineRule="auto"/>
        <w:jc w:val="both"/>
      </w:pPr>
      <w:r w:rsidRPr="00C61DB0">
        <w:rPr>
          <w:rFonts w:hint="eastAsia"/>
          <w:b/>
          <w:bCs/>
        </w:rPr>
        <w:t>F</w:t>
      </w:r>
      <w:r w:rsidRPr="00C61DB0">
        <w:rPr>
          <w:b/>
          <w:bCs/>
        </w:rPr>
        <w:t>ig</w:t>
      </w:r>
      <w:r>
        <w:rPr>
          <w:b/>
          <w:bCs/>
        </w:rPr>
        <w:t>ure</w:t>
      </w:r>
      <w:r w:rsidRPr="00C61DB0">
        <w:rPr>
          <w:b/>
          <w:bCs/>
        </w:rPr>
        <w:t xml:space="preserve"> 2. Device p</w:t>
      </w:r>
      <w:r w:rsidRPr="00AC128A">
        <w:rPr>
          <w:b/>
          <w:bCs/>
        </w:rPr>
        <w:t>erformance.</w:t>
      </w:r>
      <w:r w:rsidRPr="00AC128A">
        <w:t xml:space="preserve"> The </w:t>
      </w:r>
      <w:r w:rsidRPr="00AC128A">
        <w:rPr>
          <w:i/>
          <w:iCs/>
        </w:rPr>
        <w:t>J-V</w:t>
      </w:r>
      <w:r w:rsidRPr="00AC128A">
        <w:t xml:space="preserve"> characteristics</w:t>
      </w:r>
      <w:r w:rsidRPr="00AC128A">
        <w:rPr>
          <w:b/>
          <w:bCs/>
        </w:rPr>
        <w:t xml:space="preserve"> </w:t>
      </w:r>
      <w:r w:rsidRPr="00AC128A">
        <w:t>(</w:t>
      </w:r>
      <w:r w:rsidRPr="00AC128A">
        <w:rPr>
          <w:b/>
          <w:bCs/>
        </w:rPr>
        <w:t>a</w:t>
      </w:r>
      <w:r w:rsidRPr="00AC128A">
        <w:t>) and EQE curves (</w:t>
      </w:r>
      <w:r w:rsidRPr="00AC128A">
        <w:rPr>
          <w:b/>
          <w:bCs/>
        </w:rPr>
        <w:t>b</w:t>
      </w:r>
      <w:r w:rsidRPr="00AC128A">
        <w:t>) of devices based on D18/BTP-eC9, D18/BTP-eC9:</w:t>
      </w:r>
      <w:r w:rsidRPr="00AC128A">
        <w:rPr>
          <w:i/>
          <w:iCs/>
        </w:rPr>
        <w:t>d</w:t>
      </w:r>
      <w:r w:rsidRPr="00AC128A">
        <w:t xml:space="preserve">BTP-ThC2 (w/ </w:t>
      </w:r>
      <w:r w:rsidRPr="00AC128A">
        <w:rPr>
          <w:i/>
          <w:iCs/>
        </w:rPr>
        <w:t>d</w:t>
      </w:r>
      <w:r w:rsidRPr="00AC128A">
        <w:t>BTP-ThC2), D18/BTP-eC9:</w:t>
      </w:r>
      <w:r w:rsidRPr="00AC128A">
        <w:rPr>
          <w:i/>
          <w:iCs/>
        </w:rPr>
        <w:t>d</w:t>
      </w:r>
      <w:r w:rsidRPr="00AC128A">
        <w:t xml:space="preserve">BTP-ThC4 (w/ </w:t>
      </w:r>
      <w:r w:rsidRPr="00AC128A">
        <w:rPr>
          <w:i/>
          <w:iCs/>
        </w:rPr>
        <w:t>d</w:t>
      </w:r>
      <w:r w:rsidRPr="00AC128A">
        <w:t>BTP-ThC4), and D18/BTP-eC9:</w:t>
      </w:r>
      <w:r w:rsidRPr="00AC128A">
        <w:rPr>
          <w:i/>
          <w:iCs/>
        </w:rPr>
        <w:t>d</w:t>
      </w:r>
      <w:r w:rsidRPr="00AC128A">
        <w:t xml:space="preserve">BTP-ThC6 (w/ </w:t>
      </w:r>
      <w:r w:rsidRPr="00AC128A">
        <w:rPr>
          <w:i/>
          <w:iCs/>
        </w:rPr>
        <w:t>d</w:t>
      </w:r>
      <w:r w:rsidRPr="00AC128A">
        <w:t>BTP-ThC6), respectively.</w:t>
      </w:r>
      <w:r w:rsidRPr="00DE3744">
        <w:t xml:space="preserve"> </w:t>
      </w:r>
      <w:r w:rsidR="00DE3744" w:rsidRPr="00DE3744">
        <w:rPr>
          <w:rFonts w:eastAsiaTheme="minorEastAsia"/>
          <w:lang w:eastAsia="zh-CN"/>
        </w:rPr>
        <w:t>(</w:t>
      </w:r>
      <w:r w:rsidR="00DE3744" w:rsidRPr="00DE3744">
        <w:rPr>
          <w:rFonts w:eastAsiaTheme="minorEastAsia"/>
          <w:b/>
          <w:bCs/>
          <w:lang w:eastAsia="zh-CN"/>
        </w:rPr>
        <w:t>c</w:t>
      </w:r>
      <w:r w:rsidR="00DE3744" w:rsidRPr="00DE3744">
        <w:rPr>
          <w:rFonts w:eastAsiaTheme="minorEastAsia"/>
          <w:lang w:eastAsia="zh-CN"/>
        </w:rPr>
        <w:t>)</w:t>
      </w:r>
      <w:r w:rsidRPr="00DE3744">
        <w:t xml:space="preserve"> </w:t>
      </w:r>
      <w:r w:rsidRPr="00AC128A">
        <w:t xml:space="preserve">The Mott-Schottky analysis of OPVs based on binary D18/BTP-eC9, and ternary composites of w/ </w:t>
      </w:r>
      <w:r w:rsidRPr="00AC128A">
        <w:rPr>
          <w:i/>
          <w:iCs/>
        </w:rPr>
        <w:t>d</w:t>
      </w:r>
      <w:r w:rsidRPr="00AC128A">
        <w:t xml:space="preserve">BTP-ThC2, w/ </w:t>
      </w:r>
      <w:r w:rsidRPr="00AC128A">
        <w:rPr>
          <w:i/>
          <w:iCs/>
        </w:rPr>
        <w:t>d</w:t>
      </w:r>
      <w:r w:rsidRPr="00AC128A">
        <w:t xml:space="preserve">BTP-ThC4, and w/ </w:t>
      </w:r>
      <w:r w:rsidRPr="00AC128A">
        <w:rPr>
          <w:i/>
          <w:iCs/>
        </w:rPr>
        <w:t>d</w:t>
      </w:r>
      <w:r w:rsidRPr="00AC128A">
        <w:t>BTP-ThC6,</w:t>
      </w:r>
      <w:r w:rsidRPr="00C61DB0">
        <w:t xml:space="preserve"> respectively. The inse</w:t>
      </w:r>
      <w:r>
        <w:t>t</w:t>
      </w:r>
      <w:r w:rsidRPr="00C61DB0">
        <w:t xml:space="preserve"> values are </w:t>
      </w:r>
      <w:r>
        <w:t xml:space="preserve">the </w:t>
      </w:r>
      <w:r w:rsidRPr="00C61DB0">
        <w:t>corresponding trap</w:t>
      </w:r>
      <w:r>
        <w:t xml:space="preserve">-state </w:t>
      </w:r>
      <w:r w:rsidRPr="00C61DB0">
        <w:t>densities</w:t>
      </w:r>
      <w:r>
        <w:t xml:space="preserve"> (</w:t>
      </w:r>
      <w:r w:rsidRPr="0083385A">
        <w:rPr>
          <w:i/>
          <w:iCs/>
        </w:rPr>
        <w:t>N</w:t>
      </w:r>
      <w:r w:rsidRPr="0083385A">
        <w:rPr>
          <w:vertAlign w:val="subscript"/>
        </w:rPr>
        <w:t>t</w:t>
      </w:r>
      <w:r>
        <w:t>)</w:t>
      </w:r>
      <w:r w:rsidRPr="00C61DB0">
        <w:t xml:space="preserve">. The </w:t>
      </w:r>
      <w:r>
        <w:t xml:space="preserve">dependence of </w:t>
      </w:r>
      <w:r w:rsidRPr="006653FE">
        <w:rPr>
          <w:i/>
          <w:iCs/>
        </w:rPr>
        <w:t>V</w:t>
      </w:r>
      <w:r w:rsidRPr="006653FE">
        <w:rPr>
          <w:vertAlign w:val="subscript"/>
        </w:rPr>
        <w:t>oc</w:t>
      </w:r>
      <w:r>
        <w:t xml:space="preserve"> over </w:t>
      </w:r>
      <w:r w:rsidRPr="00C61DB0">
        <w:t>light</w:t>
      </w:r>
      <w:r>
        <w:t xml:space="preserve"> </w:t>
      </w:r>
      <w:r w:rsidRPr="00C61DB0">
        <w:t>intensity (</w:t>
      </w:r>
      <w:r w:rsidRPr="00C61DB0">
        <w:rPr>
          <w:b/>
          <w:bCs/>
        </w:rPr>
        <w:t>d</w:t>
      </w:r>
      <w:r w:rsidRPr="00C61DB0">
        <w:t>) and transient photocurrent (TPC) curves (</w:t>
      </w:r>
      <w:r w:rsidRPr="00C61DB0">
        <w:rPr>
          <w:b/>
          <w:bCs/>
        </w:rPr>
        <w:t>e</w:t>
      </w:r>
      <w:r w:rsidRPr="00C61DB0">
        <w:t>) of devices based on D18/BTP-eC9, w</w:t>
      </w:r>
      <w:r>
        <w:t>/</w:t>
      </w:r>
      <w:r w:rsidRPr="00C61DB0">
        <w:t xml:space="preserve"> </w:t>
      </w:r>
      <w:r w:rsidRPr="00C61DB0">
        <w:rPr>
          <w:i/>
          <w:iCs/>
        </w:rPr>
        <w:t>d</w:t>
      </w:r>
      <w:r w:rsidRPr="00C61DB0">
        <w:t>BTP-ThC2, w</w:t>
      </w:r>
      <w:r>
        <w:t>/</w:t>
      </w:r>
      <w:r w:rsidRPr="00C61DB0">
        <w:t xml:space="preserve"> </w:t>
      </w:r>
      <w:r w:rsidRPr="00C61DB0">
        <w:rPr>
          <w:i/>
          <w:iCs/>
        </w:rPr>
        <w:t>d</w:t>
      </w:r>
      <w:r w:rsidRPr="00C61DB0">
        <w:t>BTP-ThC4, and w</w:t>
      </w:r>
      <w:r>
        <w:t>/</w:t>
      </w:r>
      <w:r w:rsidRPr="00C61DB0">
        <w:t xml:space="preserve"> </w:t>
      </w:r>
      <w:r w:rsidRPr="00C61DB0">
        <w:rPr>
          <w:i/>
          <w:iCs/>
        </w:rPr>
        <w:t>d</w:t>
      </w:r>
      <w:r w:rsidRPr="00C61DB0">
        <w:t xml:space="preserve">BTP-ThC6, respectively. </w:t>
      </w:r>
      <w:r>
        <w:t>(</w:t>
      </w:r>
      <w:r w:rsidRPr="00C61DB0">
        <w:rPr>
          <w:b/>
          <w:bCs/>
        </w:rPr>
        <w:t>f</w:t>
      </w:r>
      <w:r w:rsidRPr="006653FE">
        <w:t>)</w:t>
      </w:r>
      <w:r w:rsidRPr="00C61DB0">
        <w:t xml:space="preserve"> The hole/electron mobility (</w:t>
      </w:r>
      <w:r w:rsidRPr="00C61DB0">
        <w:rPr>
          <w:i/>
          <w:iCs/>
        </w:rPr>
        <w:t>μ</w:t>
      </w:r>
      <w:r w:rsidRPr="00C61DB0">
        <w:rPr>
          <w:vertAlign w:val="subscript"/>
        </w:rPr>
        <w:t>h</w:t>
      </w:r>
      <w:r w:rsidRPr="00C61DB0">
        <w:t>/</w:t>
      </w:r>
      <w:r w:rsidRPr="00C61DB0">
        <w:rPr>
          <w:i/>
          <w:iCs/>
        </w:rPr>
        <w:t>μ</w:t>
      </w:r>
      <w:r w:rsidRPr="00C61DB0">
        <w:rPr>
          <w:vertAlign w:val="subscript"/>
        </w:rPr>
        <w:t>e</w:t>
      </w:r>
      <w:r w:rsidRPr="00C61DB0">
        <w:t>) of single-carrier devices based on D18/BTP-eC9, w</w:t>
      </w:r>
      <w:r>
        <w:t>/</w:t>
      </w:r>
      <w:r w:rsidRPr="00C61DB0">
        <w:t xml:space="preserve"> </w:t>
      </w:r>
      <w:r w:rsidRPr="00C61DB0">
        <w:rPr>
          <w:i/>
          <w:iCs/>
        </w:rPr>
        <w:t>d</w:t>
      </w:r>
      <w:r w:rsidRPr="00C61DB0">
        <w:t>BTP-ThC2, w</w:t>
      </w:r>
      <w:r>
        <w:t>/</w:t>
      </w:r>
      <w:r w:rsidRPr="00C61DB0">
        <w:t xml:space="preserve"> </w:t>
      </w:r>
      <w:r w:rsidRPr="00C61DB0">
        <w:rPr>
          <w:i/>
          <w:iCs/>
        </w:rPr>
        <w:t>d</w:t>
      </w:r>
      <w:r w:rsidRPr="00C61DB0">
        <w:t>BTP-ThC4, and w</w:t>
      </w:r>
      <w:r>
        <w:t>/</w:t>
      </w:r>
      <w:r w:rsidRPr="00C61DB0">
        <w:t xml:space="preserve"> </w:t>
      </w:r>
      <w:r w:rsidRPr="00C61DB0">
        <w:rPr>
          <w:i/>
          <w:iCs/>
        </w:rPr>
        <w:t>d</w:t>
      </w:r>
      <w:r w:rsidRPr="00C61DB0">
        <w:t>BTP-ThC6, respectively. The carrier mobility was calculated using the space-charge-limited</w:t>
      </w:r>
      <w:r>
        <w:t xml:space="preserve"> </w:t>
      </w:r>
      <w:r w:rsidRPr="00C61DB0">
        <w:t xml:space="preserve">current (SCLC) method. The upward and downward bar graphs represent the </w:t>
      </w:r>
      <w:r w:rsidRPr="00C61DB0">
        <w:rPr>
          <w:i/>
          <w:iCs/>
        </w:rPr>
        <w:t>μ</w:t>
      </w:r>
      <w:r w:rsidRPr="00C61DB0">
        <w:rPr>
          <w:vertAlign w:val="subscript"/>
        </w:rPr>
        <w:t>h</w:t>
      </w:r>
      <w:r w:rsidRPr="00C61DB0">
        <w:t xml:space="preserve"> and </w:t>
      </w:r>
      <w:r w:rsidRPr="00C61DB0">
        <w:rPr>
          <w:i/>
          <w:iCs/>
        </w:rPr>
        <w:t>μ</w:t>
      </w:r>
      <w:r w:rsidRPr="00C61DB0">
        <w:rPr>
          <w:vertAlign w:val="subscript"/>
        </w:rPr>
        <w:t>e</w:t>
      </w:r>
      <w:r w:rsidRPr="00C61DB0">
        <w:t xml:space="preserve">, respectively. The </w:t>
      </w:r>
      <w:r w:rsidRPr="00C61DB0">
        <w:rPr>
          <w:i/>
          <w:iCs/>
        </w:rPr>
        <w:t>J-V</w:t>
      </w:r>
      <w:r w:rsidRPr="00C61DB0">
        <w:t xml:space="preserve"> characteristics (</w:t>
      </w:r>
      <w:r w:rsidRPr="00C61DB0">
        <w:rPr>
          <w:b/>
          <w:bCs/>
        </w:rPr>
        <w:t>g</w:t>
      </w:r>
      <w:r w:rsidRPr="00C61DB0">
        <w:t>) and EQE curves (</w:t>
      </w:r>
      <w:r w:rsidRPr="00C61DB0">
        <w:rPr>
          <w:b/>
          <w:bCs/>
        </w:rPr>
        <w:t>h</w:t>
      </w:r>
      <w:r w:rsidRPr="00C61DB0">
        <w:t>) of devices based on D18/L8-BO and D18/L8-BO:</w:t>
      </w:r>
      <w:r w:rsidRPr="00C61DB0">
        <w:rPr>
          <w:i/>
          <w:iCs/>
        </w:rPr>
        <w:t>d</w:t>
      </w:r>
      <w:r w:rsidRPr="00C61DB0">
        <w:t xml:space="preserve">BTP-ThC4, respectively. </w:t>
      </w:r>
    </w:p>
    <w:bookmarkEnd w:id="10"/>
    <w:p w14:paraId="4BC0C058" w14:textId="77777777" w:rsidR="002E0BD3" w:rsidRPr="006C1256" w:rsidRDefault="002E0BD3" w:rsidP="002E0BD3">
      <w:pPr>
        <w:spacing w:line="360" w:lineRule="auto"/>
        <w:jc w:val="both"/>
        <w:rPr>
          <w:rFonts w:eastAsiaTheme="minorEastAsia"/>
          <w:lang w:eastAsia="zh-CN"/>
        </w:rPr>
      </w:pPr>
    </w:p>
    <w:p w14:paraId="6C6BF4DD" w14:textId="6527D25E" w:rsidR="002E0BD3" w:rsidRPr="006C1256" w:rsidRDefault="002E0BD3" w:rsidP="002E0BD3">
      <w:pPr>
        <w:spacing w:line="360" w:lineRule="auto"/>
        <w:jc w:val="both"/>
        <w:rPr>
          <w:rFonts w:eastAsiaTheme="minorEastAsia"/>
          <w:b/>
          <w:bCs/>
          <w:lang w:val="en-US" w:eastAsia="zh-CN"/>
        </w:rPr>
      </w:pPr>
      <w:r w:rsidRPr="006C1256">
        <w:rPr>
          <w:rFonts w:eastAsiaTheme="minorEastAsia" w:hint="eastAsia"/>
          <w:b/>
          <w:bCs/>
          <w:lang w:val="en-US" w:eastAsia="zh-CN"/>
        </w:rPr>
        <w:t>2</w:t>
      </w:r>
      <w:r w:rsidRPr="006C1256">
        <w:rPr>
          <w:rFonts w:eastAsiaTheme="minorEastAsia"/>
          <w:b/>
          <w:bCs/>
          <w:lang w:val="en-US" w:eastAsia="zh-CN"/>
        </w:rPr>
        <w:t>.3. Impact on Device Performance</w:t>
      </w:r>
    </w:p>
    <w:p w14:paraId="0AAAD684" w14:textId="03247995" w:rsidR="006C1256" w:rsidRPr="002E0BD3" w:rsidRDefault="00591199" w:rsidP="006960F3">
      <w:pPr>
        <w:spacing w:line="360" w:lineRule="auto"/>
        <w:ind w:firstLine="708"/>
        <w:jc w:val="both"/>
        <w:rPr>
          <w:rFonts w:eastAsiaTheme="minorEastAsia"/>
          <w:lang w:val="en-US" w:eastAsia="zh-CN"/>
        </w:rPr>
      </w:pPr>
      <w:r>
        <w:rPr>
          <w:rFonts w:eastAsiaTheme="minorEastAsia"/>
          <w:lang w:val="en-US" w:eastAsia="zh-CN"/>
        </w:rPr>
        <w:t>Our investigation over</w:t>
      </w:r>
      <w:r w:rsidR="00C0665D">
        <w:rPr>
          <w:rFonts w:eastAsiaTheme="minorEastAsia"/>
          <w:lang w:val="en-US" w:eastAsia="zh-CN"/>
        </w:rPr>
        <w:t xml:space="preserve"> </w:t>
      </w:r>
      <w:r>
        <w:rPr>
          <w:rFonts w:eastAsiaTheme="minorEastAsia"/>
          <w:lang w:val="en-US" w:eastAsia="zh-CN"/>
        </w:rPr>
        <w:t xml:space="preserve">material </w:t>
      </w:r>
      <w:r w:rsidR="00C0665D">
        <w:rPr>
          <w:rFonts w:eastAsiaTheme="minorEastAsia"/>
          <w:lang w:val="en-US" w:eastAsia="zh-CN"/>
        </w:rPr>
        <w:t xml:space="preserve">thermal-transition properties indicates that dimer supramolecular stabilizers </w:t>
      </w:r>
      <w:r>
        <w:rPr>
          <w:rFonts w:eastAsiaTheme="minorEastAsia"/>
          <w:lang w:val="en-US" w:eastAsia="zh-CN"/>
        </w:rPr>
        <w:t>may</w:t>
      </w:r>
      <w:r w:rsidR="00C0665D">
        <w:rPr>
          <w:rFonts w:eastAsiaTheme="minorEastAsia"/>
          <w:lang w:val="en-US" w:eastAsia="zh-CN"/>
        </w:rPr>
        <w:t xml:space="preserve"> eliminate the burn-in loss in high-efficiency devices. Therefore, these stabilizers were </w:t>
      </w:r>
      <w:r>
        <w:rPr>
          <w:rFonts w:eastAsiaTheme="minorEastAsia"/>
          <w:lang w:val="en-US" w:eastAsia="zh-CN"/>
        </w:rPr>
        <w:t>adopted to</w:t>
      </w:r>
      <w:r w:rsidR="00C0665D" w:rsidRPr="002E0BD3">
        <w:rPr>
          <w:rFonts w:eastAsiaTheme="minorEastAsia"/>
          <w:lang w:val="en-US" w:eastAsia="zh-CN"/>
        </w:rPr>
        <w:t xml:space="preserve"> conventional </w:t>
      </w:r>
      <w:r>
        <w:rPr>
          <w:rFonts w:eastAsiaTheme="minorEastAsia"/>
          <w:lang w:val="en-US" w:eastAsia="zh-CN"/>
        </w:rPr>
        <w:t xml:space="preserve">OSC devices with a </w:t>
      </w:r>
      <w:r w:rsidR="00C0665D" w:rsidRPr="002E0BD3">
        <w:rPr>
          <w:rFonts w:eastAsiaTheme="minorEastAsia"/>
          <w:lang w:val="en-US" w:eastAsia="zh-CN"/>
        </w:rPr>
        <w:t>structure of ITO/</w:t>
      </w:r>
      <w:proofErr w:type="gramStart"/>
      <w:r w:rsidR="00C0665D" w:rsidRPr="002E0BD3">
        <w:rPr>
          <w:rFonts w:eastAsiaTheme="minorEastAsia"/>
          <w:lang w:val="en-US" w:eastAsia="zh-CN"/>
        </w:rPr>
        <w:t>PED</w:t>
      </w:r>
      <w:r w:rsidR="00C0665D" w:rsidRPr="00A17C97">
        <w:rPr>
          <w:rFonts w:eastAsiaTheme="minorEastAsia"/>
          <w:lang w:val="en-US" w:eastAsia="zh-CN"/>
        </w:rPr>
        <w:t>OT:PSS</w:t>
      </w:r>
      <w:proofErr w:type="gramEnd"/>
      <w:r w:rsidR="00C0665D" w:rsidRPr="00A17C97">
        <w:rPr>
          <w:rFonts w:eastAsiaTheme="minorEastAsia"/>
          <w:lang w:val="en-US" w:eastAsia="zh-CN"/>
        </w:rPr>
        <w:t>/PMHJ</w:t>
      </w:r>
      <w:r w:rsidR="00054CEC" w:rsidRPr="00A17C97">
        <w:rPr>
          <w:rFonts w:eastAsiaTheme="minorEastAsia"/>
          <w:lang w:val="en-US" w:eastAsia="zh-CN"/>
        </w:rPr>
        <w:t xml:space="preserve"> </w:t>
      </w:r>
      <w:r w:rsidR="00C0665D" w:rsidRPr="00A17C97">
        <w:rPr>
          <w:rFonts w:eastAsiaTheme="minorEastAsia"/>
          <w:lang w:val="en-US" w:eastAsia="zh-CN"/>
        </w:rPr>
        <w:t xml:space="preserve">layer/PNDIT-F3N/Ag </w:t>
      </w:r>
      <w:r w:rsidRPr="00A17C97">
        <w:rPr>
          <w:rFonts w:eastAsiaTheme="minorEastAsia"/>
          <w:lang w:val="en-US" w:eastAsia="zh-CN"/>
        </w:rPr>
        <w:t>for</w:t>
      </w:r>
      <w:r w:rsidR="002E0BD3" w:rsidRPr="00A17C97">
        <w:rPr>
          <w:rFonts w:eastAsiaTheme="minorEastAsia"/>
          <w:lang w:val="en-US" w:eastAsia="zh-CN"/>
        </w:rPr>
        <w:t xml:space="preserve"> </w:t>
      </w:r>
      <w:r w:rsidRPr="00A17C97">
        <w:rPr>
          <w:rFonts w:eastAsiaTheme="minorEastAsia"/>
          <w:lang w:val="en-US" w:eastAsia="zh-CN"/>
        </w:rPr>
        <w:t xml:space="preserve">investigating </w:t>
      </w:r>
      <w:r w:rsidR="002E0BD3" w:rsidRPr="00A17C97">
        <w:rPr>
          <w:rFonts w:eastAsiaTheme="minorEastAsia"/>
          <w:lang w:val="en-US" w:eastAsia="zh-CN"/>
        </w:rPr>
        <w:t>the</w:t>
      </w:r>
      <w:r w:rsidR="00C0665D" w:rsidRPr="00A17C97">
        <w:rPr>
          <w:rFonts w:eastAsiaTheme="minorEastAsia"/>
          <w:lang w:val="en-US" w:eastAsia="zh-CN"/>
        </w:rPr>
        <w:t>ir</w:t>
      </w:r>
      <w:r w:rsidR="002E0BD3" w:rsidRPr="00A17C97">
        <w:rPr>
          <w:rFonts w:eastAsiaTheme="minorEastAsia"/>
          <w:lang w:val="en-US" w:eastAsia="zh-CN"/>
        </w:rPr>
        <w:t xml:space="preserve"> </w:t>
      </w:r>
      <w:r w:rsidR="00C0665D" w:rsidRPr="00A17C97">
        <w:rPr>
          <w:rFonts w:eastAsiaTheme="minorEastAsia"/>
          <w:lang w:val="en-US" w:eastAsia="zh-CN"/>
        </w:rPr>
        <w:t>impacts</w:t>
      </w:r>
      <w:r w:rsidR="002E0BD3" w:rsidRPr="00A17C97">
        <w:rPr>
          <w:rFonts w:eastAsiaTheme="minorEastAsia"/>
          <w:lang w:val="en-US" w:eastAsia="zh-CN"/>
        </w:rPr>
        <w:t xml:space="preserve"> </w:t>
      </w:r>
      <w:r w:rsidR="00C0665D" w:rsidRPr="00A17C97">
        <w:rPr>
          <w:rFonts w:eastAsiaTheme="minorEastAsia"/>
          <w:lang w:val="en-US" w:eastAsia="zh-CN"/>
        </w:rPr>
        <w:t xml:space="preserve">on </w:t>
      </w:r>
      <w:r w:rsidR="002E0BD3" w:rsidRPr="00A17C97">
        <w:rPr>
          <w:rFonts w:eastAsiaTheme="minorEastAsia"/>
          <w:lang w:val="en-US" w:eastAsia="zh-CN"/>
        </w:rPr>
        <w:t>device performance.</w:t>
      </w:r>
      <w:bookmarkStart w:id="11" w:name="_Hlk157807246"/>
      <w:r w:rsidR="004130BE" w:rsidRPr="00A17C97">
        <w:rPr>
          <w:rFonts w:eastAsiaTheme="minorEastAsia"/>
          <w:lang w:val="en-US" w:eastAsia="zh-CN"/>
        </w:rPr>
        <w:t xml:space="preserve"> By adjusting the compo</w:t>
      </w:r>
      <w:r w:rsidR="00A80F80" w:rsidRPr="00A17C97">
        <w:rPr>
          <w:rFonts w:eastAsiaTheme="minorEastAsia"/>
          <w:lang w:val="en-US" w:eastAsia="zh-CN"/>
        </w:rPr>
        <w:t>sition ratio</w:t>
      </w:r>
      <w:r w:rsidR="004130BE" w:rsidRPr="00A17C97">
        <w:rPr>
          <w:rFonts w:eastAsiaTheme="minorEastAsia"/>
          <w:lang w:val="en-US" w:eastAsia="zh-CN"/>
        </w:rPr>
        <w:t xml:space="preserve">, </w:t>
      </w:r>
      <w:r w:rsidR="00A80F80" w:rsidRPr="00A17C97">
        <w:rPr>
          <w:rFonts w:eastAsiaTheme="minorEastAsia"/>
          <w:lang w:val="en-US" w:eastAsia="zh-CN"/>
        </w:rPr>
        <w:t>when incorporating the</w:t>
      </w:r>
      <w:r w:rsidR="004130BE" w:rsidRPr="00A17C97">
        <w:rPr>
          <w:rFonts w:eastAsiaTheme="minorEastAsia"/>
          <w:lang w:val="en-US" w:eastAsia="zh-CN"/>
        </w:rPr>
        <w:t xml:space="preserve"> dimer stabilizer </w:t>
      </w:r>
      <w:r w:rsidR="00A80F80" w:rsidRPr="00A17C97">
        <w:rPr>
          <w:rFonts w:eastAsiaTheme="minorEastAsia"/>
          <w:lang w:val="en-US" w:eastAsia="zh-CN"/>
        </w:rPr>
        <w:t>at</w:t>
      </w:r>
      <w:r w:rsidR="004130BE" w:rsidRPr="00A17C97">
        <w:rPr>
          <w:rFonts w:eastAsiaTheme="minorEastAsia"/>
          <w:lang w:val="en-US" w:eastAsia="zh-CN"/>
        </w:rPr>
        <w:t xml:space="preserve"> 10% </w:t>
      </w:r>
      <w:r w:rsidR="004130BE" w:rsidRPr="00A17C97">
        <w:rPr>
          <w:rFonts w:eastAsiaTheme="minorEastAsia"/>
          <w:lang w:val="en-US" w:eastAsia="zh-CN"/>
        </w:rPr>
        <w:lastRenderedPageBreak/>
        <w:t xml:space="preserve">mass ratio </w:t>
      </w:r>
      <w:r w:rsidR="00A80F80" w:rsidRPr="00A17C97">
        <w:rPr>
          <w:rFonts w:eastAsiaTheme="minorEastAsia"/>
          <w:lang w:val="en-US" w:eastAsia="zh-CN"/>
        </w:rPr>
        <w:t>of</w:t>
      </w:r>
      <w:r w:rsidR="004130BE" w:rsidRPr="00A17C97">
        <w:rPr>
          <w:rFonts w:eastAsiaTheme="minorEastAsia"/>
          <w:lang w:val="en-US" w:eastAsia="zh-CN"/>
        </w:rPr>
        <w:t xml:space="preserve"> BTP-eC9 achieved optimal device performance</w:t>
      </w:r>
      <w:bookmarkEnd w:id="11"/>
      <w:r w:rsidR="004130BE" w:rsidRPr="00A17C97">
        <w:rPr>
          <w:rFonts w:eastAsiaTheme="minorEastAsia"/>
          <w:lang w:val="en-US" w:eastAsia="zh-CN"/>
        </w:rPr>
        <w:t xml:space="preserve"> (Figure S16 and Table S3, SI).</w:t>
      </w:r>
      <w:r w:rsidR="005736AB" w:rsidRPr="00A17C97">
        <w:rPr>
          <w:rFonts w:eastAsiaTheme="minorEastAsia"/>
          <w:lang w:val="en-US" w:eastAsia="zh-CN"/>
        </w:rPr>
        <w:t xml:space="preserve"> </w:t>
      </w:r>
      <w:r w:rsidR="002E0BD3" w:rsidRPr="00A17C97">
        <w:rPr>
          <w:rFonts w:eastAsiaTheme="minorEastAsia"/>
          <w:lang w:val="en-US" w:eastAsia="zh-CN"/>
        </w:rPr>
        <w:t xml:space="preserve">As shown in </w:t>
      </w:r>
      <w:r w:rsidR="002E0BD3" w:rsidRPr="00A17C97">
        <w:rPr>
          <w:rFonts w:eastAsiaTheme="minorEastAsia"/>
          <w:b/>
          <w:bCs/>
          <w:lang w:val="en-US" w:eastAsia="zh-CN"/>
        </w:rPr>
        <w:t xml:space="preserve">Figure 2a </w:t>
      </w:r>
      <w:r w:rsidR="002E0BD3" w:rsidRPr="00A17C97">
        <w:rPr>
          <w:rFonts w:eastAsiaTheme="minorEastAsia"/>
          <w:lang w:val="en-US" w:eastAsia="zh-CN"/>
        </w:rPr>
        <w:t>and</w:t>
      </w:r>
      <w:r w:rsidR="002E0BD3" w:rsidRPr="00A17C97">
        <w:rPr>
          <w:rFonts w:eastAsiaTheme="minorEastAsia"/>
          <w:b/>
          <w:bCs/>
          <w:lang w:val="en-US" w:eastAsia="zh-CN"/>
        </w:rPr>
        <w:t xml:space="preserve"> Table 2</w:t>
      </w:r>
      <w:r w:rsidR="002E0BD3" w:rsidRPr="00A17C97">
        <w:rPr>
          <w:rFonts w:eastAsiaTheme="minorEastAsia"/>
          <w:lang w:val="en-US" w:eastAsia="zh-CN"/>
        </w:rPr>
        <w:t xml:space="preserve">, ternary devices with dimer supramolecular stabilizers exhibit higher PCEs than that of the binary D18/BTP-eC9 device (17.48%) and the device based on </w:t>
      </w:r>
      <w:r w:rsidR="002E0BD3" w:rsidRPr="00A17C97">
        <w:rPr>
          <w:rFonts w:eastAsiaTheme="minorEastAsia"/>
          <w:i/>
          <w:iCs/>
          <w:lang w:val="en-US" w:eastAsia="zh-CN"/>
        </w:rPr>
        <w:t>d</w:t>
      </w:r>
      <w:r w:rsidR="002E0BD3" w:rsidRPr="00A17C97">
        <w:rPr>
          <w:rFonts w:eastAsiaTheme="minorEastAsia"/>
          <w:lang w:val="en-US" w:eastAsia="zh-CN"/>
        </w:rPr>
        <w:t xml:space="preserve">BTP-ThC4 dimer showed a champion PCE of 19.09% with the optimal </w:t>
      </w:r>
      <w:r w:rsidR="002E0BD3" w:rsidRPr="00A17C97">
        <w:rPr>
          <w:rFonts w:eastAsiaTheme="minorEastAsia"/>
          <w:i/>
          <w:iCs/>
          <w:lang w:val="en-US" w:eastAsia="zh-CN"/>
        </w:rPr>
        <w:t>V</w:t>
      </w:r>
      <w:r w:rsidR="002E0BD3" w:rsidRPr="00A17C97">
        <w:rPr>
          <w:rFonts w:eastAsiaTheme="minorEastAsia"/>
          <w:vertAlign w:val="subscript"/>
          <w:lang w:val="en-US" w:eastAsia="zh-CN"/>
        </w:rPr>
        <w:t>oc</w:t>
      </w:r>
      <w:r w:rsidR="002E0BD3" w:rsidRPr="00A17C97">
        <w:rPr>
          <w:rFonts w:eastAsiaTheme="minorEastAsia"/>
          <w:lang w:val="en-US" w:eastAsia="zh-CN"/>
        </w:rPr>
        <w:t xml:space="preserve">, </w:t>
      </w:r>
      <w:proofErr w:type="spellStart"/>
      <w:r w:rsidR="002E0BD3" w:rsidRPr="00A17C97">
        <w:rPr>
          <w:rFonts w:eastAsiaTheme="minorEastAsia"/>
          <w:i/>
          <w:iCs/>
          <w:lang w:val="en-US" w:eastAsia="zh-CN"/>
        </w:rPr>
        <w:t>J</w:t>
      </w:r>
      <w:r w:rsidR="002E0BD3" w:rsidRPr="00A17C97">
        <w:rPr>
          <w:rFonts w:eastAsiaTheme="minorEastAsia"/>
          <w:vertAlign w:val="subscript"/>
          <w:lang w:val="en-US" w:eastAsia="zh-CN"/>
        </w:rPr>
        <w:t>sc</w:t>
      </w:r>
      <w:proofErr w:type="spellEnd"/>
      <w:r w:rsidR="002E0BD3" w:rsidRPr="00A17C97">
        <w:rPr>
          <w:rFonts w:eastAsiaTheme="minorEastAsia"/>
          <w:lang w:val="en-US" w:eastAsia="zh-CN"/>
        </w:rPr>
        <w:t>, a</w:t>
      </w:r>
      <w:r w:rsidR="002E0BD3" w:rsidRPr="002E0BD3">
        <w:rPr>
          <w:rFonts w:eastAsiaTheme="minorEastAsia"/>
          <w:lang w:val="en-US" w:eastAsia="zh-CN"/>
        </w:rPr>
        <w:t xml:space="preserve">nd FF, which can be attributed to the optimized crystallization as observed in the DSC thermograms to result in more favorable morphology. Meanwhile, the dimer supramolecular stabilizer with blue-shifted absorption, suitable energy levels, and larger bandgap not only enhances the </w:t>
      </w:r>
      <w:r w:rsidR="002E0BD3" w:rsidRPr="002E0BD3">
        <w:rPr>
          <w:rFonts w:eastAsiaTheme="minorEastAsia"/>
          <w:i/>
          <w:iCs/>
          <w:lang w:val="en-US" w:eastAsia="zh-CN"/>
        </w:rPr>
        <w:t>V</w:t>
      </w:r>
      <w:r w:rsidR="002E0BD3" w:rsidRPr="002E0BD3">
        <w:rPr>
          <w:rFonts w:eastAsiaTheme="minorEastAsia"/>
          <w:vertAlign w:val="subscript"/>
          <w:lang w:val="en-US" w:eastAsia="zh-CN"/>
        </w:rPr>
        <w:t>oc</w:t>
      </w:r>
      <w:r w:rsidR="002E0BD3" w:rsidRPr="002E0BD3">
        <w:rPr>
          <w:rFonts w:eastAsiaTheme="minorEastAsia"/>
          <w:lang w:val="en-US" w:eastAsia="zh-CN"/>
        </w:rPr>
        <w:t xml:space="preserve"> through dilution effect,</w:t>
      </w:r>
      <w:r w:rsidR="002E0BD3"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{"citationID":"hJYzpGKn","properties":{"formattedCitation":"\\super [34]\\nosupersub{}","plainCitation":"[34]","noteIndex":0},"citationItems":[{"id":34,"uris":["http://zotero.org/users/10832941/items/73L3PCJ8"],"itemData":{"id":34,"type":"article-journal","container-title":"Nature Nanotechnology","ISSN":"1748-3387, 1748-3395","issue":"1","journalAbbreviation":"Nat. Nanotechnol.","language":"en","page":"53-60","source":"DOI.org (Crossref)","title":"Dilution effect for highly efficient multiple-component organic solar cells","volume":"17","author":[{"family":"Zuo","given":"Lijian"},{"family":"Jo","given":"Sae Byeok"},{"family":"Li","given":"Yaokai"},{"family":"Meng","given":"Yuhuan"},{"family":"Stoddard","given":"Ryan J."},{"family":"Liu","given":"Yun"},{"family":"Lin","given":"Francis"},{"family":"Shi","given":"Xueliang"},{"family":"Liu","given":"Feng"},{"family":"Hillhouse","given":"Hugh W."},{"family":"Ginger","given":"David S."},{"family":"Chen","given":"Hongzheng"},{"family":"Jen","given":"Alex K.-Y."}],"issued":{"date-parts":[["2022",1]]}}}],"schema":"https://github.com/citation-style-language/schema/raw/master/csl-citation.json"} </w:instrText>
      </w:r>
      <w:r w:rsidR="002E0BD3" w:rsidRPr="002E0BD3">
        <w:rPr>
          <w:rFonts w:eastAsiaTheme="minorEastAsia"/>
          <w:lang w:val="en-US" w:eastAsia="zh-CN"/>
        </w:rPr>
        <w:fldChar w:fldCharType="separate"/>
      </w:r>
      <w:r w:rsidR="00F51B55" w:rsidRPr="00F51B55">
        <w:rPr>
          <w:vertAlign w:val="superscript"/>
        </w:rPr>
        <w:t>[34]</w:t>
      </w:r>
      <w:r w:rsidR="002E0BD3" w:rsidRPr="002E0BD3">
        <w:rPr>
          <w:rFonts w:eastAsiaTheme="minorEastAsia"/>
          <w:lang w:val="en-US" w:eastAsia="zh-CN"/>
        </w:rPr>
        <w:fldChar w:fldCharType="end"/>
      </w:r>
      <w:r w:rsidR="002E0BD3" w:rsidRPr="002E0BD3">
        <w:rPr>
          <w:rFonts w:eastAsiaTheme="minorEastAsia"/>
          <w:lang w:val="en-US" w:eastAsia="zh-CN"/>
        </w:rPr>
        <w:t xml:space="preserve"> but also the device EQE response through improved active-layer absorption</w:t>
      </w:r>
      <w:r w:rsidR="002E0BD3" w:rsidRPr="002E0BD3">
        <w:rPr>
          <w:rFonts w:eastAsiaTheme="minorEastAsia"/>
          <w:lang w:val="en-US" w:eastAsia="zh-CN"/>
        </w:rPr>
        <w:fldChar w:fldCharType="begin"/>
      </w:r>
      <w:r w:rsidR="00F51B55">
        <w:rPr>
          <w:rFonts w:eastAsiaTheme="minorEastAsia"/>
          <w:lang w:val="en-US" w:eastAsia="zh-CN"/>
        </w:rPr>
        <w:instrText xml:space="preserve"> ADDIN ZOTERO_ITEM CSL_CITATION {"citationID":"bTz7FpHe","properties":{"formattedCitation":"\\super [47]\\nosupersub{}","plainCitation":"[47]","noteIndex":0},"citationItems":[{"id":18,"uris":["http://zotero.org/users/10832941/items/HWWQDG8P"],"itemData":{"id":18,"type":"article-journal","container-title":"Advanced Materials","ISSN":"0935-9648, 1521-4095","journalAbbreviation":"Adv. Mater.","language":"en","page":"2208986","source":"DOI.org (Crossref)","title":"Over 19% Efficiency Organic Solar Cells by Regulating Multidimensional Intermolecular Interactions","author":[{"family":"Han","given":"Chenyu"},{"family":"Wang","given":"Jianxiao"},{"family":"Zhang","given":"Shuai"},{"family":"Chen","given":"Liangliang"},{"family":"Bi","given":"Fuzhen"},{"family":"Wang","given":"Junjie"},{"family":"Yang","given":"Chunming"},{"family":"Wang","given":"Pengchao"},{"family":"Li","given":"Yonghai"},{"family":"Bao","given":"Xichang"}],"issued":{"date-parts":[["2022",12,16]]}}}],"schema":"https://github.com/citation-style-language/schema/raw/master/csl-citation.json"} </w:instrText>
      </w:r>
      <w:r w:rsidR="002E0BD3" w:rsidRPr="002E0BD3">
        <w:rPr>
          <w:rFonts w:eastAsiaTheme="minorEastAsia"/>
          <w:lang w:val="en-US" w:eastAsia="zh-CN"/>
        </w:rPr>
        <w:fldChar w:fldCharType="separate"/>
      </w:r>
      <w:r w:rsidR="00F51B55" w:rsidRPr="00F51B55">
        <w:rPr>
          <w:vertAlign w:val="superscript"/>
        </w:rPr>
        <w:t>[47]</w:t>
      </w:r>
      <w:r w:rsidR="002E0BD3" w:rsidRPr="002E0BD3">
        <w:rPr>
          <w:rFonts w:eastAsiaTheme="minorEastAsia"/>
          <w:lang w:val="en-US" w:eastAsia="zh-CN"/>
        </w:rPr>
        <w:fldChar w:fldCharType="end"/>
      </w:r>
      <w:r w:rsidR="002E0BD3" w:rsidRPr="002E0BD3">
        <w:rPr>
          <w:rFonts w:eastAsiaTheme="minorEastAsia"/>
          <w:lang w:val="en-US" w:eastAsia="zh-CN"/>
        </w:rPr>
        <w:t xml:space="preserve"> and more efficient charge extraction to enhance</w:t>
      </w:r>
      <w:r w:rsidR="002E0BD3" w:rsidRPr="002E0BD3">
        <w:rPr>
          <w:rFonts w:eastAsiaTheme="minorEastAsia"/>
          <w:i/>
          <w:iCs/>
          <w:lang w:val="en-US" w:eastAsia="zh-CN"/>
        </w:rPr>
        <w:t xml:space="preserve"> </w:t>
      </w:r>
      <w:proofErr w:type="spellStart"/>
      <w:r w:rsidR="002E0BD3" w:rsidRPr="002E0BD3">
        <w:rPr>
          <w:rFonts w:eastAsiaTheme="minorEastAsia"/>
          <w:i/>
          <w:iCs/>
          <w:lang w:val="en-US" w:eastAsia="zh-CN"/>
        </w:rPr>
        <w:t>J</w:t>
      </w:r>
      <w:r w:rsidR="002E0BD3" w:rsidRPr="002E0BD3">
        <w:rPr>
          <w:rFonts w:eastAsiaTheme="minorEastAsia"/>
          <w:vertAlign w:val="subscript"/>
          <w:lang w:val="en-US" w:eastAsia="zh-CN"/>
        </w:rPr>
        <w:t>sc</w:t>
      </w:r>
      <w:proofErr w:type="spellEnd"/>
      <w:r w:rsidR="002E0BD3" w:rsidRPr="002E0BD3">
        <w:rPr>
          <w:rFonts w:eastAsiaTheme="minorEastAsia"/>
          <w:lang w:val="en-US" w:eastAsia="zh-CN"/>
        </w:rPr>
        <w:t xml:space="preserve">. </w:t>
      </w:r>
    </w:p>
    <w:p w14:paraId="4A6D73FD" w14:textId="429FFB1C" w:rsidR="0023656E" w:rsidRDefault="002E0BD3" w:rsidP="006960F3">
      <w:pPr>
        <w:spacing w:line="360" w:lineRule="auto"/>
        <w:ind w:firstLine="708"/>
        <w:jc w:val="both"/>
        <w:rPr>
          <w:rFonts w:eastAsiaTheme="minorEastAsia"/>
          <w:lang w:val="en-US" w:eastAsia="zh-CN"/>
        </w:rPr>
      </w:pPr>
      <w:r w:rsidRPr="002E0BD3">
        <w:rPr>
          <w:rFonts w:eastAsiaTheme="minorEastAsia"/>
          <w:lang w:val="en-US" w:eastAsia="zh-CN"/>
        </w:rPr>
        <w:t xml:space="preserve">The impacts of dimers on devices were also investigated by studying </w:t>
      </w:r>
      <w:proofErr w:type="gramStart"/>
      <w:r w:rsidRPr="002E0BD3">
        <w:rPr>
          <w:rFonts w:eastAsiaTheme="minorEastAsia"/>
          <w:lang w:val="en-US" w:eastAsia="zh-CN"/>
        </w:rPr>
        <w:t>the device</w:t>
      </w:r>
      <w:proofErr w:type="gramEnd"/>
      <w:r w:rsidRPr="002E0BD3">
        <w:rPr>
          <w:rFonts w:eastAsiaTheme="minorEastAsia"/>
          <w:lang w:val="en-US" w:eastAsia="zh-CN"/>
        </w:rPr>
        <w:t xml:space="preserve"> physics. In </w:t>
      </w:r>
      <w:r w:rsidRPr="002E0BD3">
        <w:rPr>
          <w:rFonts w:eastAsiaTheme="minorEastAsia"/>
          <w:b/>
          <w:bCs/>
          <w:lang w:val="en-US" w:eastAsia="zh-CN"/>
        </w:rPr>
        <w:t>Figure 2c</w:t>
      </w:r>
      <w:r w:rsidRPr="002E0BD3">
        <w:rPr>
          <w:rFonts w:eastAsiaTheme="minorEastAsia"/>
          <w:lang w:val="en-US" w:eastAsia="zh-CN"/>
        </w:rPr>
        <w:t>, the Mott-Schottky analysis illustrates that the introduction of dimer can decrease the trap-state density (</w:t>
      </w:r>
      <w:proofErr w:type="spellStart"/>
      <w:r w:rsidRPr="002E0BD3">
        <w:rPr>
          <w:rFonts w:eastAsiaTheme="minorEastAsia"/>
          <w:i/>
          <w:iCs/>
          <w:lang w:val="en-US" w:eastAsia="zh-CN"/>
        </w:rPr>
        <w:t>N</w:t>
      </w:r>
      <w:r w:rsidRPr="002E0BD3">
        <w:rPr>
          <w:rFonts w:eastAsiaTheme="minorEastAsia"/>
          <w:vertAlign w:val="subscript"/>
          <w:lang w:val="en-US" w:eastAsia="zh-CN"/>
        </w:rPr>
        <w:t>t</w:t>
      </w:r>
      <w:proofErr w:type="spellEnd"/>
      <w:r w:rsidRPr="002E0BD3">
        <w:rPr>
          <w:rFonts w:eastAsiaTheme="minorEastAsia"/>
          <w:lang w:val="en-US" w:eastAsia="zh-CN"/>
        </w:rPr>
        <w:t>) from 7.87 × 10</w:t>
      </w:r>
      <w:r w:rsidRPr="002E0BD3">
        <w:rPr>
          <w:rFonts w:eastAsiaTheme="minorEastAsia"/>
          <w:vertAlign w:val="superscript"/>
          <w:lang w:val="en-US" w:eastAsia="zh-CN"/>
        </w:rPr>
        <w:t>20</w:t>
      </w:r>
      <w:r w:rsidRPr="002E0BD3">
        <w:rPr>
          <w:rFonts w:eastAsiaTheme="minorEastAsia"/>
          <w:lang w:val="en-US" w:eastAsia="zh-CN"/>
        </w:rPr>
        <w:t xml:space="preserve"> cm</w:t>
      </w:r>
      <w:r w:rsidRPr="002E0BD3">
        <w:rPr>
          <w:rFonts w:eastAsiaTheme="minorEastAsia"/>
          <w:vertAlign w:val="superscript"/>
          <w:lang w:val="en-US" w:eastAsia="zh-CN"/>
        </w:rPr>
        <w:t>-3</w:t>
      </w:r>
      <w:r w:rsidRPr="002E0BD3">
        <w:rPr>
          <w:rFonts w:eastAsiaTheme="minorEastAsia"/>
          <w:lang w:val="en-US" w:eastAsia="zh-CN"/>
        </w:rPr>
        <w:t xml:space="preserve"> (D18/BTP-eC9) to 4.45 × 10</w:t>
      </w:r>
      <w:r w:rsidRPr="002E0BD3">
        <w:rPr>
          <w:rFonts w:eastAsiaTheme="minorEastAsia"/>
          <w:vertAlign w:val="superscript"/>
          <w:lang w:val="en-US" w:eastAsia="zh-CN"/>
        </w:rPr>
        <w:t>20</w:t>
      </w:r>
      <w:r w:rsidRPr="002E0BD3">
        <w:rPr>
          <w:rFonts w:eastAsiaTheme="minorEastAsia"/>
          <w:lang w:val="en-US" w:eastAsia="zh-CN"/>
        </w:rPr>
        <w:t xml:space="preserve"> cm</w:t>
      </w:r>
      <w:r w:rsidRPr="002E0BD3">
        <w:rPr>
          <w:rFonts w:eastAsiaTheme="minorEastAsia"/>
          <w:vertAlign w:val="superscript"/>
          <w:lang w:val="en-US" w:eastAsia="zh-CN"/>
        </w:rPr>
        <w:t xml:space="preserve">-3 </w:t>
      </w:r>
      <w:r w:rsidRPr="002E0BD3">
        <w:rPr>
          <w:rFonts w:eastAsiaTheme="minorEastAsia"/>
          <w:lang w:val="en-US" w:eastAsia="zh-CN"/>
        </w:rPr>
        <w:t xml:space="preserve">(w/ </w:t>
      </w:r>
      <w:r w:rsidRPr="002E0BD3">
        <w:rPr>
          <w:rFonts w:eastAsiaTheme="minorEastAsia"/>
          <w:i/>
          <w:iCs/>
          <w:lang w:val="en-US" w:eastAsia="zh-CN"/>
        </w:rPr>
        <w:t>d</w:t>
      </w:r>
      <w:r w:rsidRPr="002E0BD3">
        <w:rPr>
          <w:rFonts w:eastAsiaTheme="minorEastAsia"/>
          <w:lang w:val="en-US" w:eastAsia="zh-CN"/>
        </w:rPr>
        <w:t>BTP-ThC2), 3.03 × 10</w:t>
      </w:r>
      <w:r w:rsidRPr="002E0BD3">
        <w:rPr>
          <w:rFonts w:eastAsiaTheme="minorEastAsia"/>
          <w:vertAlign w:val="superscript"/>
          <w:lang w:val="en-US" w:eastAsia="zh-CN"/>
        </w:rPr>
        <w:t>20</w:t>
      </w:r>
      <w:r w:rsidRPr="002E0BD3">
        <w:rPr>
          <w:rFonts w:eastAsiaTheme="minorEastAsia"/>
          <w:lang w:val="en-US" w:eastAsia="zh-CN"/>
        </w:rPr>
        <w:t xml:space="preserve"> cm</w:t>
      </w:r>
      <w:r w:rsidRPr="002E0BD3">
        <w:rPr>
          <w:rFonts w:eastAsiaTheme="minorEastAsia"/>
          <w:vertAlign w:val="superscript"/>
          <w:lang w:val="en-US" w:eastAsia="zh-CN"/>
        </w:rPr>
        <w:t>-3</w:t>
      </w:r>
      <w:r w:rsidRPr="002E0BD3">
        <w:rPr>
          <w:rFonts w:eastAsiaTheme="minorEastAsia"/>
          <w:lang w:val="en-US" w:eastAsia="zh-CN"/>
        </w:rPr>
        <w:t xml:space="preserve"> (</w:t>
      </w:r>
      <w:r w:rsidRPr="00A17C97">
        <w:rPr>
          <w:rFonts w:eastAsiaTheme="minorEastAsia"/>
          <w:lang w:val="en-US" w:eastAsia="zh-CN"/>
        </w:rPr>
        <w:t xml:space="preserve">w/ </w:t>
      </w:r>
      <w:r w:rsidRPr="00A17C97">
        <w:rPr>
          <w:rFonts w:eastAsiaTheme="minorEastAsia"/>
          <w:i/>
          <w:iCs/>
          <w:lang w:val="en-US" w:eastAsia="zh-CN"/>
        </w:rPr>
        <w:t>d</w:t>
      </w:r>
      <w:r w:rsidRPr="00A17C97">
        <w:rPr>
          <w:rFonts w:eastAsiaTheme="minorEastAsia"/>
          <w:lang w:val="en-US" w:eastAsia="zh-CN"/>
        </w:rPr>
        <w:t>BTP-ThC4), and 3.63 × 10</w:t>
      </w:r>
      <w:r w:rsidRPr="00A17C97">
        <w:rPr>
          <w:rFonts w:eastAsiaTheme="minorEastAsia"/>
          <w:vertAlign w:val="superscript"/>
          <w:lang w:val="en-US" w:eastAsia="zh-CN"/>
        </w:rPr>
        <w:t>20</w:t>
      </w:r>
      <w:r w:rsidRPr="00A17C97">
        <w:rPr>
          <w:rFonts w:eastAsiaTheme="minorEastAsia"/>
          <w:lang w:val="en-US" w:eastAsia="zh-CN"/>
        </w:rPr>
        <w:t xml:space="preserve"> cm</w:t>
      </w:r>
      <w:r w:rsidRPr="00A17C97">
        <w:rPr>
          <w:rFonts w:eastAsiaTheme="minorEastAsia"/>
          <w:vertAlign w:val="superscript"/>
          <w:lang w:val="en-US" w:eastAsia="zh-CN"/>
        </w:rPr>
        <w:t>-3</w:t>
      </w:r>
      <w:r w:rsidRPr="00A17C97">
        <w:rPr>
          <w:rFonts w:eastAsiaTheme="minorEastAsia"/>
          <w:lang w:val="en-US" w:eastAsia="zh-CN"/>
        </w:rPr>
        <w:t xml:space="preserve"> (w/ </w:t>
      </w:r>
      <w:r w:rsidRPr="00A17C97">
        <w:rPr>
          <w:rFonts w:eastAsiaTheme="minorEastAsia"/>
          <w:i/>
          <w:iCs/>
          <w:lang w:val="en-US" w:eastAsia="zh-CN"/>
        </w:rPr>
        <w:t>d</w:t>
      </w:r>
      <w:r w:rsidRPr="00A17C97">
        <w:rPr>
          <w:rFonts w:eastAsiaTheme="minorEastAsia"/>
          <w:lang w:val="en-US" w:eastAsia="zh-CN"/>
        </w:rPr>
        <w:t>BTP-ThC6), respectively. These are achieved through suppressed charge recombination due to more regulated crystallization (</w:t>
      </w:r>
      <w:r w:rsidRPr="00A17C97">
        <w:rPr>
          <w:rFonts w:eastAsiaTheme="minorEastAsia"/>
          <w:b/>
          <w:bCs/>
          <w:lang w:val="en-US" w:eastAsia="zh-CN"/>
        </w:rPr>
        <w:t>Figure 2d</w:t>
      </w:r>
      <w:r w:rsidRPr="00A17C97">
        <w:rPr>
          <w:rFonts w:eastAsiaTheme="minorEastAsia"/>
          <w:lang w:val="en-US" w:eastAsia="zh-CN"/>
        </w:rPr>
        <w:t xml:space="preserve"> and Figure S1</w:t>
      </w:r>
      <w:r w:rsidR="009C43B1" w:rsidRPr="00A17C97">
        <w:rPr>
          <w:rFonts w:eastAsiaTheme="minorEastAsia"/>
          <w:lang w:val="en-US" w:eastAsia="zh-CN"/>
        </w:rPr>
        <w:t>7</w:t>
      </w:r>
      <w:r w:rsidR="00B53095" w:rsidRPr="00A17C97">
        <w:rPr>
          <w:rFonts w:eastAsiaTheme="minorEastAsia"/>
          <w:lang w:val="en-US" w:eastAsia="zh-CN"/>
        </w:rPr>
        <w:t>, SI</w:t>
      </w:r>
      <w:r w:rsidRPr="00A17C97">
        <w:rPr>
          <w:rFonts w:eastAsiaTheme="minorEastAsia"/>
          <w:lang w:val="en-US" w:eastAsia="zh-CN"/>
        </w:rPr>
        <w:t>), which also facilitates charge separation and transport. The charge extraction time (</w:t>
      </w:r>
      <w:proofErr w:type="spellStart"/>
      <w:r w:rsidRPr="00A17C97">
        <w:rPr>
          <w:rFonts w:eastAsiaTheme="minorEastAsia"/>
          <w:i/>
          <w:iCs/>
          <w:lang w:val="en-US" w:eastAsia="zh-CN"/>
        </w:rPr>
        <w:t>τ</w:t>
      </w:r>
      <w:r w:rsidRPr="00A17C97">
        <w:rPr>
          <w:rFonts w:eastAsiaTheme="minorEastAsia"/>
          <w:vertAlign w:val="subscript"/>
          <w:lang w:val="en-US" w:eastAsia="zh-CN"/>
        </w:rPr>
        <w:t>extra</w:t>
      </w:r>
      <w:proofErr w:type="spellEnd"/>
      <w:r w:rsidRPr="00A17C97">
        <w:rPr>
          <w:rFonts w:eastAsiaTheme="minorEastAsia"/>
          <w:lang w:val="en-US" w:eastAsia="zh-CN"/>
        </w:rPr>
        <w:t>) was probed by the transient photocurrent (TPC) measurements (</w:t>
      </w:r>
      <w:r w:rsidRPr="00A17C97">
        <w:rPr>
          <w:rFonts w:eastAsiaTheme="minorEastAsia"/>
          <w:b/>
          <w:bCs/>
          <w:lang w:val="en-US" w:eastAsia="zh-CN"/>
        </w:rPr>
        <w:t>Figure 2e</w:t>
      </w:r>
      <w:r w:rsidRPr="00A17C97">
        <w:rPr>
          <w:rFonts w:eastAsiaTheme="minorEastAsia"/>
          <w:lang w:val="en-US" w:eastAsia="zh-CN"/>
        </w:rPr>
        <w:t xml:space="preserve">), illustrating that the devices with dimers show more rapid charge extraction associated with higher </w:t>
      </w:r>
      <w:proofErr w:type="spellStart"/>
      <w:r w:rsidRPr="00A17C97">
        <w:rPr>
          <w:rFonts w:eastAsiaTheme="minorEastAsia"/>
          <w:i/>
          <w:iCs/>
          <w:lang w:val="en-US" w:eastAsia="zh-CN"/>
        </w:rPr>
        <w:t>J</w:t>
      </w:r>
      <w:r w:rsidRPr="00A17C97">
        <w:rPr>
          <w:rFonts w:eastAsiaTheme="minorEastAsia"/>
          <w:vertAlign w:val="subscript"/>
          <w:lang w:val="en-US" w:eastAsia="zh-CN"/>
        </w:rPr>
        <w:t>sc</w:t>
      </w:r>
      <w:proofErr w:type="spellEnd"/>
      <w:r w:rsidRPr="00A17C97">
        <w:rPr>
          <w:rFonts w:eastAsiaTheme="minorEastAsia"/>
          <w:lang w:val="en-US" w:eastAsia="zh-CN"/>
        </w:rPr>
        <w:t xml:space="preserve">. Furthermore, the space-charge-limited current (SCLC) </w:t>
      </w:r>
      <w:proofErr w:type="spellStart"/>
      <w:r w:rsidRPr="00A17C97">
        <w:rPr>
          <w:rFonts w:eastAsiaTheme="minorEastAsia"/>
          <w:lang w:val="en-US" w:eastAsia="zh-CN"/>
        </w:rPr>
        <w:t>mothod</w:t>
      </w:r>
      <w:proofErr w:type="spellEnd"/>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{"citationID":"AfzR6Tq2","properties":{"formattedCitation":"\\super [48]\\nosupersub{}","plainCitation":"[48]","noteIndex":0},"citationItems":[{"id":1486,"uris":["http://zotero.org/users/10832941/items/7RXAXVJ8"],"itemData":{"id":1486,"type":"article-journal","abstract":"Basic suppositions and microphysical origin of the occurrence of the space-charge-limited currents (SCLC) are presented in general and for the temperature-modulated space-chargelimited currents (TM-SCLC) in particular. The criteria are given for the spectroscopical method TM-SCLC to be used for localized electron states elucidation in organic semiconducting materials for organic solar cells optimization and modelling. The ‘‘visibility ‘‘of the localized states by SCLC method, i.e. the power of the SCLC method to distinguish the localized states, is tested by the modelling, varying the temperature, energy position of localized states and their concentration. Generally, it was determined that the SCLC measurements results are more reliable with the increased energy of the states, with their increased concentration and with decreased temperature. The correlation (or its absence) between the measured current and activation energy on applied voltage, expressed by the dependence of preexponential factor of conductivity on activation energy (Meyer–Neldel rule), gives the possibility to determine the energy range where the reconstruction of density of localized states function is reliable.","container-title":"Solar Energy Materials and Solar Cells","ISSN":"09270248","issue":"1-4","journalAbbreviation":"Sol. Energy Mater Sol. Cells.","language":"en","page":"235-250","source":"DOI.org (Crossref)","title":"Space-charge-limited currents for organic solar cells optimisation","volume":"87","author":[{"family":"Schauer","given":"Franz"}],"issued":{"date-parts":[["2005",5]]}}}],"schema":"https://github.com/citation-style-language/schema/raw/master/csl-citation.json"}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[48]</w:t>
      </w:r>
      <w:r w:rsidRPr="00A17C97">
        <w:rPr>
          <w:rFonts w:eastAsiaTheme="minorEastAsia"/>
          <w:lang w:val="en-US" w:eastAsia="zh-CN"/>
        </w:rPr>
        <w:fldChar w:fldCharType="end"/>
      </w:r>
      <w:r w:rsidRPr="00A17C97">
        <w:rPr>
          <w:rFonts w:eastAsiaTheme="minorEastAsia"/>
          <w:lang w:val="en-US" w:eastAsia="zh-CN"/>
        </w:rPr>
        <w:t xml:space="preserve"> was employed to obtain the hole/electron mobilities (</w:t>
      </w:r>
      <w:proofErr w:type="spellStart"/>
      <w:r w:rsidRPr="00A17C97">
        <w:rPr>
          <w:rFonts w:eastAsiaTheme="minorEastAsia"/>
          <w:i/>
          <w:iCs/>
          <w:lang w:val="en-US" w:eastAsia="zh-CN"/>
        </w:rPr>
        <w:t>μ</w:t>
      </w:r>
      <w:r w:rsidRPr="00A17C97">
        <w:rPr>
          <w:rFonts w:eastAsiaTheme="minorEastAsia"/>
          <w:vertAlign w:val="subscript"/>
          <w:lang w:val="en-US" w:eastAsia="zh-CN"/>
        </w:rPr>
        <w:t>h</w:t>
      </w:r>
      <w:proofErr w:type="spellEnd"/>
      <w:r w:rsidRPr="00A17C97">
        <w:rPr>
          <w:rFonts w:eastAsiaTheme="minorEastAsia"/>
          <w:lang w:val="en-US" w:eastAsia="zh-CN"/>
        </w:rPr>
        <w:t>/</w:t>
      </w:r>
      <w:proofErr w:type="spellStart"/>
      <w:r w:rsidRPr="00A17C97">
        <w:rPr>
          <w:rFonts w:eastAsiaTheme="minorEastAsia"/>
          <w:i/>
          <w:iCs/>
          <w:lang w:val="en-US" w:eastAsia="zh-CN"/>
        </w:rPr>
        <w:t>μ</w:t>
      </w:r>
      <w:r w:rsidRPr="00A17C97">
        <w:rPr>
          <w:rFonts w:eastAsiaTheme="minorEastAsia"/>
          <w:vertAlign w:val="subscript"/>
          <w:lang w:val="en-US" w:eastAsia="zh-CN"/>
        </w:rPr>
        <w:t>e</w:t>
      </w:r>
      <w:proofErr w:type="spellEnd"/>
      <w:r w:rsidRPr="00A17C97">
        <w:rPr>
          <w:rFonts w:eastAsiaTheme="minorEastAsia"/>
          <w:lang w:val="en-US" w:eastAsia="zh-CN"/>
        </w:rPr>
        <w:t>) (Figure S1</w:t>
      </w:r>
      <w:r w:rsidR="009C43B1" w:rsidRPr="00A17C97">
        <w:rPr>
          <w:rFonts w:eastAsiaTheme="minorEastAsia"/>
          <w:lang w:val="en-US" w:eastAsia="zh-CN"/>
        </w:rPr>
        <w:t>8</w:t>
      </w:r>
      <w:r w:rsidR="00B53095" w:rsidRPr="00A17C97">
        <w:rPr>
          <w:rFonts w:eastAsiaTheme="minorEastAsia"/>
          <w:lang w:val="en-US" w:eastAsia="zh-CN"/>
        </w:rPr>
        <w:t>, SI</w:t>
      </w:r>
      <w:r w:rsidRPr="00A17C97">
        <w:rPr>
          <w:rFonts w:eastAsiaTheme="minorEastAsia"/>
          <w:lang w:val="en-US" w:eastAsia="zh-CN"/>
        </w:rPr>
        <w:t xml:space="preserve">). In </w:t>
      </w:r>
      <w:r w:rsidRPr="00A17C97">
        <w:rPr>
          <w:rFonts w:eastAsiaTheme="minorEastAsia"/>
          <w:b/>
          <w:bCs/>
          <w:lang w:val="en-US" w:eastAsia="zh-CN"/>
        </w:rPr>
        <w:t>Figure 2f</w:t>
      </w:r>
      <w:r w:rsidRPr="00A17C97">
        <w:rPr>
          <w:rFonts w:eastAsiaTheme="minorEastAsia"/>
          <w:lang w:val="en-US" w:eastAsia="zh-CN"/>
        </w:rPr>
        <w:t xml:space="preserve">, the </w:t>
      </w:r>
      <w:proofErr w:type="spellStart"/>
      <w:r w:rsidRPr="00A17C97">
        <w:rPr>
          <w:rFonts w:eastAsiaTheme="minorEastAsia"/>
          <w:i/>
          <w:iCs/>
          <w:lang w:val="en-US" w:eastAsia="zh-CN"/>
        </w:rPr>
        <w:t>μ</w:t>
      </w:r>
      <w:r w:rsidRPr="00A17C97">
        <w:rPr>
          <w:rFonts w:eastAsiaTheme="minorEastAsia"/>
          <w:vertAlign w:val="subscript"/>
          <w:lang w:val="en-US" w:eastAsia="zh-CN"/>
        </w:rPr>
        <w:t>h</w:t>
      </w:r>
      <w:proofErr w:type="spellEnd"/>
      <w:r w:rsidRPr="00A17C97">
        <w:rPr>
          <w:rFonts w:eastAsiaTheme="minorEastAsia"/>
          <w:lang w:val="en-US" w:eastAsia="zh-CN"/>
        </w:rPr>
        <w:t>/</w:t>
      </w:r>
      <w:proofErr w:type="spellStart"/>
      <w:r w:rsidRPr="00A17C97">
        <w:rPr>
          <w:rFonts w:eastAsiaTheme="minorEastAsia"/>
          <w:i/>
          <w:iCs/>
          <w:lang w:val="en-US" w:eastAsia="zh-CN"/>
        </w:rPr>
        <w:t>μ</w:t>
      </w:r>
      <w:r w:rsidRPr="00A17C97">
        <w:rPr>
          <w:rFonts w:eastAsiaTheme="minorEastAsia"/>
          <w:vertAlign w:val="subscript"/>
          <w:lang w:val="en-US" w:eastAsia="zh-CN"/>
        </w:rPr>
        <w:t>e</w:t>
      </w:r>
      <w:proofErr w:type="spellEnd"/>
      <w:r w:rsidRPr="00A17C97">
        <w:rPr>
          <w:rFonts w:eastAsiaTheme="minorEastAsia"/>
          <w:lang w:val="en-US" w:eastAsia="zh-CN"/>
        </w:rPr>
        <w:t xml:space="preserve"> of D18/BTP-eC9 devices were determined as 1.18 × 10</w:t>
      </w:r>
      <w:r w:rsidRPr="00A17C97">
        <w:rPr>
          <w:rFonts w:eastAsiaTheme="minorEastAsia"/>
          <w:vertAlign w:val="superscript"/>
          <w:lang w:val="en-US" w:eastAsia="zh-CN"/>
        </w:rPr>
        <w:t>-4</w:t>
      </w:r>
      <w:r w:rsidRPr="00A17C97">
        <w:rPr>
          <w:rFonts w:eastAsiaTheme="minorEastAsia"/>
          <w:lang w:val="en-US" w:eastAsia="zh-CN"/>
        </w:rPr>
        <w:t xml:space="preserve"> / 9.78 × 10</w:t>
      </w:r>
      <w:r w:rsidRPr="00A17C97">
        <w:rPr>
          <w:rFonts w:eastAsiaTheme="minorEastAsia"/>
          <w:vertAlign w:val="superscript"/>
          <w:lang w:val="en-US" w:eastAsia="zh-CN"/>
        </w:rPr>
        <w:t>-5</w:t>
      </w:r>
      <w:r w:rsidRPr="00A17C97">
        <w:rPr>
          <w:rFonts w:eastAsiaTheme="minorEastAsia"/>
          <w:lang w:val="en-US" w:eastAsia="zh-CN"/>
        </w:rPr>
        <w:t xml:space="preserve"> mA cm</w:t>
      </w:r>
      <w:r w:rsidRPr="00A17C97">
        <w:rPr>
          <w:rFonts w:eastAsiaTheme="minorEastAsia"/>
          <w:vertAlign w:val="superscript"/>
          <w:lang w:val="en-US" w:eastAsia="zh-CN"/>
        </w:rPr>
        <w:t xml:space="preserve">-2 </w:t>
      </w:r>
      <w:r w:rsidRPr="00A17C97">
        <w:rPr>
          <w:rFonts w:eastAsiaTheme="minorEastAsia"/>
          <w:lang w:val="en-US" w:eastAsia="zh-CN"/>
        </w:rPr>
        <w:t>V</w:t>
      </w:r>
      <w:r w:rsidRPr="00A17C97">
        <w:rPr>
          <w:rFonts w:eastAsiaTheme="minorEastAsia"/>
          <w:vertAlign w:val="superscript"/>
          <w:lang w:val="en-US" w:eastAsia="zh-CN"/>
        </w:rPr>
        <w:t>-1</w:t>
      </w:r>
      <w:r w:rsidRPr="00A17C97">
        <w:rPr>
          <w:rFonts w:eastAsiaTheme="minorEastAsia"/>
          <w:lang w:val="en-US" w:eastAsia="zh-CN"/>
        </w:rPr>
        <w:t>, which are lower than those of the devices having supramolecu</w:t>
      </w:r>
      <w:r w:rsidRPr="002E0BD3">
        <w:rPr>
          <w:rFonts w:eastAsiaTheme="minorEastAsia"/>
          <w:lang w:val="en-US" w:eastAsia="zh-CN"/>
        </w:rPr>
        <w:t xml:space="preserve">lar stabilizers. Consequently, the </w:t>
      </w:r>
      <w:r w:rsidRPr="002E0BD3">
        <w:rPr>
          <w:rFonts w:eastAsiaTheme="minorEastAsia"/>
          <w:i/>
          <w:iCs/>
          <w:lang w:val="en-US" w:eastAsia="zh-CN"/>
        </w:rPr>
        <w:t>d</w:t>
      </w:r>
      <w:r w:rsidRPr="002E0BD3">
        <w:rPr>
          <w:rFonts w:eastAsiaTheme="minorEastAsia"/>
          <w:lang w:val="en-US" w:eastAsia="zh-CN"/>
        </w:rPr>
        <w:t xml:space="preserve">BTP-ThC4-based device exhibited the highest </w:t>
      </w:r>
      <w:proofErr w:type="spellStart"/>
      <w:r w:rsidRPr="002E0BD3">
        <w:rPr>
          <w:rFonts w:eastAsiaTheme="minorEastAsia"/>
          <w:i/>
          <w:iCs/>
          <w:lang w:val="en-US" w:eastAsia="zh-CN"/>
        </w:rPr>
        <w:t>μ</w:t>
      </w:r>
      <w:r w:rsidRPr="002E0BD3">
        <w:rPr>
          <w:rFonts w:eastAsiaTheme="minorEastAsia"/>
          <w:vertAlign w:val="subscript"/>
          <w:lang w:val="en-US" w:eastAsia="zh-CN"/>
        </w:rPr>
        <w:t>h</w:t>
      </w:r>
      <w:proofErr w:type="spellEnd"/>
      <w:r w:rsidRPr="002E0BD3">
        <w:rPr>
          <w:rFonts w:eastAsiaTheme="minorEastAsia"/>
          <w:lang w:val="en-US" w:eastAsia="zh-CN"/>
        </w:rPr>
        <w:t>/</w:t>
      </w:r>
      <w:proofErr w:type="spellStart"/>
      <w:r w:rsidRPr="002E0BD3">
        <w:rPr>
          <w:rFonts w:eastAsiaTheme="minorEastAsia"/>
          <w:i/>
          <w:iCs/>
          <w:lang w:val="en-US" w:eastAsia="zh-CN"/>
        </w:rPr>
        <w:t>μ</w:t>
      </w:r>
      <w:r w:rsidRPr="002E0BD3">
        <w:rPr>
          <w:rFonts w:eastAsiaTheme="minorEastAsia"/>
          <w:vertAlign w:val="subscript"/>
          <w:lang w:val="en-US" w:eastAsia="zh-CN"/>
        </w:rPr>
        <w:t>e</w:t>
      </w:r>
      <w:proofErr w:type="spellEnd"/>
      <w:r w:rsidRPr="002E0BD3">
        <w:rPr>
          <w:rFonts w:eastAsiaTheme="minorEastAsia"/>
          <w:lang w:val="en-US" w:eastAsia="zh-CN"/>
        </w:rPr>
        <w:t xml:space="preserve"> of 2.76/1.81 × 10</w:t>
      </w:r>
      <w:r w:rsidRPr="002E0BD3">
        <w:rPr>
          <w:rFonts w:eastAsiaTheme="minorEastAsia"/>
          <w:vertAlign w:val="superscript"/>
          <w:lang w:val="en-US" w:eastAsia="zh-CN"/>
        </w:rPr>
        <w:t xml:space="preserve">-4 </w:t>
      </w:r>
      <w:r w:rsidRPr="002E0BD3">
        <w:rPr>
          <w:rFonts w:eastAsiaTheme="minorEastAsia"/>
          <w:lang w:val="en-US" w:eastAsia="zh-CN"/>
        </w:rPr>
        <w:t>mA cm</w:t>
      </w:r>
      <w:r w:rsidRPr="002E0BD3">
        <w:rPr>
          <w:rFonts w:eastAsiaTheme="minorEastAsia"/>
          <w:vertAlign w:val="superscript"/>
          <w:lang w:val="en-US" w:eastAsia="zh-CN"/>
        </w:rPr>
        <w:t xml:space="preserve">-2 </w:t>
      </w:r>
      <w:r w:rsidRPr="002E0BD3">
        <w:rPr>
          <w:rFonts w:eastAsiaTheme="minorEastAsia"/>
          <w:lang w:val="en-US" w:eastAsia="zh-CN"/>
        </w:rPr>
        <w:t>V</w:t>
      </w:r>
      <w:r w:rsidRPr="002E0BD3">
        <w:rPr>
          <w:rFonts w:eastAsiaTheme="minorEastAsia"/>
          <w:vertAlign w:val="superscript"/>
          <w:lang w:val="en-US" w:eastAsia="zh-CN"/>
        </w:rPr>
        <w:t>-1</w:t>
      </w:r>
      <w:r w:rsidRPr="002E0BD3">
        <w:rPr>
          <w:rFonts w:eastAsiaTheme="minorEastAsia"/>
          <w:lang w:val="en-US" w:eastAsia="zh-CN"/>
        </w:rPr>
        <w:t>, demonstrating that dimer with a moderate flexible linker length can optimize charge transport through regulated crystallization to enhance device performance. Moreover, it was found that dimers can be generally applicable to improve the performance of OPV devices with other Y6 derivatives. In</w:t>
      </w:r>
      <w:r w:rsidRPr="002E0BD3">
        <w:rPr>
          <w:rFonts w:eastAsiaTheme="minorEastAsia"/>
          <w:b/>
          <w:bCs/>
          <w:lang w:val="en-US" w:eastAsia="zh-CN"/>
        </w:rPr>
        <w:t xml:space="preserve"> Figures 2g-h</w:t>
      </w:r>
      <w:r w:rsidRPr="002E0BD3">
        <w:rPr>
          <w:rFonts w:eastAsiaTheme="minorEastAsia"/>
          <w:lang w:val="en-US" w:eastAsia="zh-CN"/>
        </w:rPr>
        <w:t>, the device of D18/L8-</w:t>
      </w:r>
      <w:proofErr w:type="gramStart"/>
      <w:r w:rsidRPr="002E0BD3">
        <w:rPr>
          <w:rFonts w:eastAsiaTheme="minorEastAsia"/>
          <w:lang w:val="en-US" w:eastAsia="zh-CN"/>
        </w:rPr>
        <w:t>BO:</w:t>
      </w:r>
      <w:r w:rsidRPr="002E0BD3">
        <w:rPr>
          <w:rFonts w:eastAsiaTheme="minorEastAsia"/>
          <w:i/>
          <w:iCs/>
          <w:lang w:val="en-US" w:eastAsia="zh-CN"/>
        </w:rPr>
        <w:t>d</w:t>
      </w:r>
      <w:r w:rsidRPr="002E0BD3">
        <w:rPr>
          <w:rFonts w:eastAsiaTheme="minorEastAsia"/>
          <w:lang w:val="en-US" w:eastAsia="zh-CN"/>
        </w:rPr>
        <w:t>BTP</w:t>
      </w:r>
      <w:proofErr w:type="gramEnd"/>
      <w:r w:rsidRPr="002E0BD3">
        <w:rPr>
          <w:rFonts w:eastAsiaTheme="minorEastAsia"/>
          <w:lang w:val="en-US" w:eastAsia="zh-CN"/>
        </w:rPr>
        <w:t xml:space="preserve">-ThC4 exhibits a champion PCE of 19.16%, with a </w:t>
      </w:r>
      <w:r w:rsidRPr="002E0BD3">
        <w:rPr>
          <w:rFonts w:eastAsiaTheme="minorEastAsia"/>
          <w:i/>
          <w:iCs/>
          <w:lang w:val="en-US" w:eastAsia="zh-CN"/>
        </w:rPr>
        <w:t>V</w:t>
      </w:r>
      <w:r w:rsidRPr="002E0BD3">
        <w:rPr>
          <w:rFonts w:eastAsiaTheme="minorEastAsia"/>
          <w:vertAlign w:val="subscript"/>
          <w:lang w:val="en-US" w:eastAsia="zh-CN"/>
        </w:rPr>
        <w:t>oc</w:t>
      </w:r>
      <w:r w:rsidRPr="002E0BD3">
        <w:rPr>
          <w:rFonts w:eastAsiaTheme="minorEastAsia"/>
          <w:lang w:val="en-US" w:eastAsia="zh-CN"/>
        </w:rPr>
        <w:t xml:space="preserve"> of 0.915 V, </w:t>
      </w:r>
      <w:proofErr w:type="spellStart"/>
      <w:r w:rsidRPr="002E0BD3">
        <w:rPr>
          <w:rFonts w:eastAsiaTheme="minorEastAsia"/>
          <w:i/>
          <w:iCs/>
          <w:lang w:val="en-US" w:eastAsia="zh-CN"/>
        </w:rPr>
        <w:t>J</w:t>
      </w:r>
      <w:r w:rsidRPr="002E0BD3">
        <w:rPr>
          <w:rFonts w:eastAsiaTheme="minorEastAsia"/>
          <w:vertAlign w:val="subscript"/>
          <w:lang w:val="en-US" w:eastAsia="zh-CN"/>
        </w:rPr>
        <w:t>sc</w:t>
      </w:r>
      <w:proofErr w:type="spellEnd"/>
      <w:r w:rsidRPr="002E0BD3">
        <w:rPr>
          <w:rFonts w:eastAsiaTheme="minorEastAsia"/>
          <w:lang w:val="en-US" w:eastAsia="zh-CN"/>
        </w:rPr>
        <w:t xml:space="preserve"> of 26.30 mA cm</w:t>
      </w:r>
      <w:r w:rsidRPr="002E0BD3">
        <w:rPr>
          <w:rFonts w:eastAsiaTheme="minorEastAsia"/>
          <w:vertAlign w:val="superscript"/>
          <w:lang w:val="en-US" w:eastAsia="zh-CN"/>
        </w:rPr>
        <w:t>-2</w:t>
      </w:r>
      <w:r w:rsidRPr="002E0BD3">
        <w:rPr>
          <w:rFonts w:eastAsiaTheme="minorEastAsia"/>
          <w:lang w:val="en-US" w:eastAsia="zh-CN"/>
        </w:rPr>
        <w:t>, and FF of 79.69%</w:t>
      </w:r>
      <w:r w:rsidRPr="002E0BD3">
        <w:rPr>
          <w:rFonts w:eastAsiaTheme="minorEastAsia" w:hint="eastAsia"/>
          <w:lang w:val="en-US" w:eastAsia="zh-CN"/>
        </w:rPr>
        <w:t>,</w:t>
      </w:r>
      <w:r w:rsidRPr="002E0BD3">
        <w:rPr>
          <w:rFonts w:eastAsiaTheme="minorEastAsia"/>
          <w:lang w:val="en-US" w:eastAsia="zh-CN"/>
        </w:rPr>
        <w:t xml:space="preserve"> illustrating the general applicability of dimer supramolecular stabilizers.</w:t>
      </w:r>
    </w:p>
    <w:p w14:paraId="139314B2" w14:textId="77777777" w:rsidR="0023656E" w:rsidRDefault="0023656E" w:rsidP="002E0BD3">
      <w:pPr>
        <w:spacing w:line="360" w:lineRule="auto"/>
        <w:jc w:val="both"/>
        <w:rPr>
          <w:rFonts w:eastAsiaTheme="minorEastAsia"/>
          <w:lang w:val="en-US" w:eastAsia="zh-CN"/>
        </w:rPr>
      </w:pPr>
    </w:p>
    <w:p w14:paraId="54CC5FE8" w14:textId="77777777" w:rsidR="00DF0955" w:rsidRDefault="00DF0955" w:rsidP="002E0BD3">
      <w:pPr>
        <w:spacing w:line="360" w:lineRule="auto"/>
        <w:jc w:val="both"/>
        <w:rPr>
          <w:rFonts w:eastAsiaTheme="minorEastAsia"/>
          <w:lang w:val="en-US" w:eastAsia="zh-CN"/>
        </w:rPr>
      </w:pPr>
    </w:p>
    <w:p w14:paraId="670C15AB" w14:textId="77777777" w:rsidR="00DF0955" w:rsidRDefault="00DF0955" w:rsidP="002E0BD3">
      <w:pPr>
        <w:spacing w:line="360" w:lineRule="auto"/>
        <w:jc w:val="both"/>
        <w:rPr>
          <w:rFonts w:eastAsiaTheme="minorEastAsia"/>
          <w:lang w:val="en-US" w:eastAsia="zh-CN"/>
        </w:rPr>
      </w:pPr>
    </w:p>
    <w:p w14:paraId="320468A7" w14:textId="77777777" w:rsidR="00DF0955" w:rsidRDefault="00DF0955" w:rsidP="002E0BD3">
      <w:pPr>
        <w:spacing w:line="360" w:lineRule="auto"/>
        <w:jc w:val="both"/>
        <w:rPr>
          <w:rFonts w:eastAsiaTheme="minorEastAsia"/>
          <w:lang w:val="en-US" w:eastAsia="zh-CN"/>
        </w:rPr>
      </w:pPr>
    </w:p>
    <w:p w14:paraId="36408AD0" w14:textId="77777777" w:rsidR="00DF0955" w:rsidRDefault="00DF0955" w:rsidP="002E0BD3">
      <w:pPr>
        <w:spacing w:line="360" w:lineRule="auto"/>
        <w:jc w:val="both"/>
        <w:rPr>
          <w:rFonts w:eastAsiaTheme="minorEastAsia"/>
          <w:lang w:val="en-US" w:eastAsia="zh-CN"/>
        </w:rPr>
      </w:pPr>
    </w:p>
    <w:p w14:paraId="698FD5EB" w14:textId="77777777" w:rsidR="00E34CED" w:rsidRPr="009F37DC" w:rsidRDefault="00E34CED" w:rsidP="0023656E">
      <w:pPr>
        <w:spacing w:line="360" w:lineRule="auto"/>
        <w:rPr>
          <w:rFonts w:eastAsiaTheme="minorEastAsia" w:hint="eastAsia"/>
          <w:b/>
          <w:bCs/>
          <w:lang w:eastAsia="zh-CN"/>
        </w:rPr>
      </w:pPr>
    </w:p>
    <w:p w14:paraId="74F11E85" w14:textId="1A0915A3" w:rsidR="006C1256" w:rsidRPr="000D3B9B" w:rsidRDefault="006C1256" w:rsidP="0023656E">
      <w:pPr>
        <w:spacing w:line="360" w:lineRule="auto"/>
        <w:rPr>
          <w:b/>
          <w:bCs/>
        </w:rPr>
      </w:pPr>
      <w:r w:rsidRPr="000D3B9B">
        <w:rPr>
          <w:rFonts w:hint="eastAsia"/>
          <w:b/>
          <w:bCs/>
        </w:rPr>
        <w:lastRenderedPageBreak/>
        <w:t>T</w:t>
      </w:r>
      <w:r w:rsidRPr="000D3B9B">
        <w:rPr>
          <w:b/>
          <w:bCs/>
        </w:rPr>
        <w:t xml:space="preserve">able </w:t>
      </w:r>
      <w:r>
        <w:rPr>
          <w:b/>
          <w:bCs/>
        </w:rPr>
        <w:t>2</w:t>
      </w:r>
      <w:r w:rsidRPr="000D3B9B">
        <w:rPr>
          <w:b/>
          <w:bCs/>
        </w:rPr>
        <w:t xml:space="preserve">. </w:t>
      </w:r>
      <w:bookmarkStart w:id="12" w:name="_Hlk157538746"/>
      <w:r w:rsidRPr="000D3B9B">
        <w:t>The statistic</w:t>
      </w:r>
      <w:r>
        <w:t xml:space="preserve"> of parameters of binary and ternary devices with PMHJ architecture.</w:t>
      </w:r>
      <w:bookmarkEnd w:id="12"/>
    </w:p>
    <w:tbl>
      <w:tblPr>
        <w:tblStyle w:val="af"/>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168"/>
        <w:gridCol w:w="1513"/>
        <w:gridCol w:w="1511"/>
        <w:gridCol w:w="1513"/>
        <w:gridCol w:w="1508"/>
      </w:tblGrid>
      <w:tr w:rsidR="006C1256" w14:paraId="4749FEC6" w14:textId="77777777" w:rsidTr="006303B3">
        <w:trPr>
          <w:trHeight w:val="624"/>
        </w:trPr>
        <w:tc>
          <w:tcPr>
            <w:tcW w:w="1024" w:type="pct"/>
            <w:tcBorders>
              <w:top w:val="single" w:sz="4" w:space="0" w:color="auto"/>
              <w:bottom w:val="single" w:sz="4" w:space="0" w:color="auto"/>
            </w:tcBorders>
            <w:vAlign w:val="center"/>
          </w:tcPr>
          <w:p w14:paraId="612CC588"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P</w:t>
            </w:r>
            <w:r w:rsidRPr="000236EB">
              <w:rPr>
                <w:rFonts w:ascii="Times New Roman" w:hAnsi="Times New Roman" w:cs="Times New Roman"/>
                <w:b/>
                <w:bCs/>
                <w:szCs w:val="21"/>
              </w:rPr>
              <w:t>MHJ</w:t>
            </w:r>
          </w:p>
        </w:tc>
        <w:tc>
          <w:tcPr>
            <w:tcW w:w="644" w:type="pct"/>
            <w:tcBorders>
              <w:top w:val="single" w:sz="4" w:space="0" w:color="auto"/>
              <w:bottom w:val="single" w:sz="4" w:space="0" w:color="auto"/>
            </w:tcBorders>
            <w:vAlign w:val="center"/>
          </w:tcPr>
          <w:p w14:paraId="0DA2DDEF"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i/>
                <w:iCs/>
                <w:szCs w:val="21"/>
              </w:rPr>
              <w:t>V</w:t>
            </w:r>
            <w:r w:rsidRPr="000236EB">
              <w:rPr>
                <w:rFonts w:ascii="Times New Roman" w:hAnsi="Times New Roman" w:cs="Times New Roman"/>
                <w:b/>
                <w:bCs/>
                <w:szCs w:val="21"/>
                <w:vertAlign w:val="subscript"/>
              </w:rPr>
              <w:t>oc</w:t>
            </w:r>
          </w:p>
          <w:p w14:paraId="3C28C00A"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b/>
                <w:bCs/>
                <w:szCs w:val="21"/>
              </w:rPr>
              <w:t>(V)</w:t>
            </w:r>
          </w:p>
        </w:tc>
        <w:tc>
          <w:tcPr>
            <w:tcW w:w="834" w:type="pct"/>
            <w:tcBorders>
              <w:top w:val="single" w:sz="4" w:space="0" w:color="auto"/>
              <w:bottom w:val="single" w:sz="4" w:space="0" w:color="auto"/>
            </w:tcBorders>
            <w:vAlign w:val="center"/>
          </w:tcPr>
          <w:p w14:paraId="025C0B8A" w14:textId="77777777" w:rsidR="006C1256"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i/>
                <w:iCs/>
                <w:szCs w:val="21"/>
              </w:rPr>
              <w:t>J</w:t>
            </w:r>
            <w:r w:rsidRPr="000236EB">
              <w:rPr>
                <w:rFonts w:ascii="Times New Roman" w:hAnsi="Times New Roman" w:cs="Times New Roman"/>
                <w:b/>
                <w:bCs/>
                <w:szCs w:val="21"/>
                <w:vertAlign w:val="subscript"/>
              </w:rPr>
              <w:t>sc</w:t>
            </w:r>
            <w:r w:rsidRPr="000236EB">
              <w:rPr>
                <w:rFonts w:ascii="Times New Roman" w:hAnsi="Times New Roman" w:cs="Times New Roman"/>
                <w:b/>
                <w:bCs/>
                <w:szCs w:val="21"/>
              </w:rPr>
              <w:t xml:space="preserve"> </w:t>
            </w:r>
            <w:r w:rsidRPr="00C723E2">
              <w:rPr>
                <w:rFonts w:ascii="Times New Roman" w:hAnsi="Times New Roman" w:cs="Times New Roman"/>
                <w:b/>
                <w:bCs/>
                <w:szCs w:val="21"/>
                <w:vertAlign w:val="superscript"/>
              </w:rPr>
              <w:t>a</w:t>
            </w:r>
          </w:p>
          <w:p w14:paraId="203360B0"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b/>
                <w:bCs/>
                <w:szCs w:val="21"/>
              </w:rPr>
              <w:t>(mA/cm</w:t>
            </w:r>
            <w:r w:rsidRPr="000236EB">
              <w:rPr>
                <w:rFonts w:ascii="Times New Roman" w:hAnsi="Times New Roman" w:cs="Times New Roman"/>
                <w:b/>
                <w:bCs/>
                <w:szCs w:val="21"/>
                <w:vertAlign w:val="superscript"/>
              </w:rPr>
              <w:t>2</w:t>
            </w:r>
            <w:r w:rsidRPr="000236EB">
              <w:rPr>
                <w:rFonts w:ascii="Times New Roman" w:hAnsi="Times New Roman" w:cs="Times New Roman"/>
                <w:b/>
                <w:bCs/>
                <w:szCs w:val="21"/>
              </w:rPr>
              <w:t>)</w:t>
            </w:r>
          </w:p>
        </w:tc>
        <w:tc>
          <w:tcPr>
            <w:tcW w:w="833" w:type="pct"/>
            <w:tcBorders>
              <w:top w:val="single" w:sz="4" w:space="0" w:color="auto"/>
              <w:bottom w:val="single" w:sz="4" w:space="0" w:color="auto"/>
            </w:tcBorders>
            <w:vAlign w:val="center"/>
          </w:tcPr>
          <w:p w14:paraId="6E10F237"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i/>
                <w:iCs/>
                <w:szCs w:val="21"/>
              </w:rPr>
              <w:t>J</w:t>
            </w:r>
            <w:r w:rsidRPr="000236EB">
              <w:rPr>
                <w:rFonts w:ascii="Times New Roman" w:hAnsi="Times New Roman" w:cs="Times New Roman"/>
                <w:b/>
                <w:bCs/>
                <w:szCs w:val="21"/>
                <w:vertAlign w:val="subscript"/>
              </w:rPr>
              <w:t>sc</w:t>
            </w:r>
            <w:r w:rsidRPr="000236EB">
              <w:rPr>
                <w:rFonts w:ascii="Times New Roman" w:hAnsi="Times New Roman" w:cs="Times New Roman"/>
                <w:b/>
                <w:bCs/>
                <w:szCs w:val="21"/>
                <w:vertAlign w:val="superscript"/>
              </w:rPr>
              <w:t>cal</w:t>
            </w:r>
            <w:r>
              <w:rPr>
                <w:rFonts w:ascii="Times New Roman" w:hAnsi="Times New Roman" w:cs="Times New Roman"/>
                <w:b/>
                <w:bCs/>
                <w:szCs w:val="21"/>
                <w:vertAlign w:val="superscript"/>
              </w:rPr>
              <w:t xml:space="preserve"> b</w:t>
            </w:r>
          </w:p>
          <w:p w14:paraId="1B291441"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w:t>
            </w:r>
            <w:r w:rsidRPr="000236EB">
              <w:rPr>
                <w:rFonts w:ascii="Times New Roman" w:hAnsi="Times New Roman" w:cs="Times New Roman"/>
                <w:b/>
                <w:bCs/>
                <w:szCs w:val="21"/>
              </w:rPr>
              <w:t>mA/cm</w:t>
            </w:r>
            <w:r w:rsidRPr="000236EB">
              <w:rPr>
                <w:rFonts w:ascii="Times New Roman" w:hAnsi="Times New Roman" w:cs="Times New Roman"/>
                <w:b/>
                <w:bCs/>
                <w:szCs w:val="21"/>
                <w:vertAlign w:val="superscript"/>
              </w:rPr>
              <w:t>2</w:t>
            </w:r>
            <w:r w:rsidRPr="000236EB">
              <w:rPr>
                <w:rFonts w:ascii="Times New Roman" w:hAnsi="Times New Roman" w:cs="Times New Roman"/>
                <w:b/>
                <w:bCs/>
                <w:szCs w:val="21"/>
              </w:rPr>
              <w:t>)</w:t>
            </w:r>
          </w:p>
        </w:tc>
        <w:tc>
          <w:tcPr>
            <w:tcW w:w="834" w:type="pct"/>
            <w:tcBorders>
              <w:top w:val="single" w:sz="4" w:space="0" w:color="auto"/>
              <w:bottom w:val="single" w:sz="4" w:space="0" w:color="auto"/>
            </w:tcBorders>
            <w:vAlign w:val="center"/>
          </w:tcPr>
          <w:p w14:paraId="11FAC73A"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F</w:t>
            </w:r>
            <w:r w:rsidRPr="000236EB">
              <w:rPr>
                <w:rFonts w:ascii="Times New Roman" w:hAnsi="Times New Roman" w:cs="Times New Roman"/>
                <w:b/>
                <w:bCs/>
                <w:szCs w:val="21"/>
              </w:rPr>
              <w:t>F</w:t>
            </w:r>
          </w:p>
          <w:p w14:paraId="5CB9A5BB"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w:t>
            </w:r>
            <w:r w:rsidRPr="000236EB">
              <w:rPr>
                <w:rFonts w:ascii="Times New Roman" w:hAnsi="Times New Roman" w:cs="Times New Roman"/>
                <w:b/>
                <w:bCs/>
                <w:szCs w:val="21"/>
              </w:rPr>
              <w:t>%)</w:t>
            </w:r>
          </w:p>
        </w:tc>
        <w:tc>
          <w:tcPr>
            <w:tcW w:w="832" w:type="pct"/>
            <w:tcBorders>
              <w:top w:val="single" w:sz="4" w:space="0" w:color="auto"/>
              <w:bottom w:val="single" w:sz="4" w:space="0" w:color="auto"/>
            </w:tcBorders>
            <w:vAlign w:val="center"/>
          </w:tcPr>
          <w:p w14:paraId="5917D079"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P</w:t>
            </w:r>
            <w:r w:rsidRPr="000236EB">
              <w:rPr>
                <w:rFonts w:ascii="Times New Roman" w:hAnsi="Times New Roman" w:cs="Times New Roman"/>
                <w:b/>
                <w:bCs/>
                <w:szCs w:val="21"/>
              </w:rPr>
              <w:t>CE</w:t>
            </w:r>
          </w:p>
          <w:p w14:paraId="01A58E1F" w14:textId="77777777" w:rsidR="006C1256" w:rsidRPr="000236EB" w:rsidRDefault="006C1256" w:rsidP="006303B3">
            <w:pPr>
              <w:jc w:val="center"/>
              <w:rPr>
                <w:rFonts w:ascii="Times New Roman" w:hAnsi="Times New Roman" w:cs="Times New Roman"/>
                <w:b/>
                <w:bCs/>
                <w:szCs w:val="21"/>
              </w:rPr>
            </w:pPr>
            <w:r w:rsidRPr="000236EB">
              <w:rPr>
                <w:rFonts w:ascii="Times New Roman" w:hAnsi="Times New Roman" w:cs="Times New Roman" w:hint="eastAsia"/>
                <w:b/>
                <w:bCs/>
                <w:szCs w:val="21"/>
              </w:rPr>
              <w:t>(</w:t>
            </w:r>
            <w:r w:rsidRPr="000236EB">
              <w:rPr>
                <w:rFonts w:ascii="Times New Roman" w:hAnsi="Times New Roman" w:cs="Times New Roman"/>
                <w:b/>
                <w:bCs/>
                <w:szCs w:val="21"/>
              </w:rPr>
              <w:t>%)</w:t>
            </w:r>
          </w:p>
        </w:tc>
      </w:tr>
      <w:tr w:rsidR="006C1256" w14:paraId="2B688003" w14:textId="77777777" w:rsidTr="006303B3">
        <w:trPr>
          <w:trHeight w:val="624"/>
        </w:trPr>
        <w:tc>
          <w:tcPr>
            <w:tcW w:w="1024" w:type="pct"/>
            <w:tcBorders>
              <w:top w:val="single" w:sz="4" w:space="0" w:color="auto"/>
            </w:tcBorders>
            <w:vAlign w:val="center"/>
          </w:tcPr>
          <w:p w14:paraId="7CBFBEA7"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18/BTP-eC9</w:t>
            </w:r>
          </w:p>
        </w:tc>
        <w:tc>
          <w:tcPr>
            <w:tcW w:w="644" w:type="pct"/>
            <w:tcBorders>
              <w:top w:val="single" w:sz="4" w:space="0" w:color="auto"/>
            </w:tcBorders>
            <w:vAlign w:val="center"/>
          </w:tcPr>
          <w:p w14:paraId="63021855"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.871</w:t>
            </w:r>
          </w:p>
        </w:tc>
        <w:tc>
          <w:tcPr>
            <w:tcW w:w="834" w:type="pct"/>
            <w:tcBorders>
              <w:top w:val="single" w:sz="4" w:space="0" w:color="auto"/>
            </w:tcBorders>
            <w:vAlign w:val="center"/>
          </w:tcPr>
          <w:p w14:paraId="626C64E5"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6.73</w:t>
            </w:r>
          </w:p>
        </w:tc>
        <w:tc>
          <w:tcPr>
            <w:tcW w:w="833" w:type="pct"/>
            <w:tcBorders>
              <w:top w:val="single" w:sz="4" w:space="0" w:color="auto"/>
            </w:tcBorders>
            <w:vAlign w:val="center"/>
          </w:tcPr>
          <w:p w14:paraId="7367943B"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6.20</w:t>
            </w:r>
          </w:p>
        </w:tc>
        <w:tc>
          <w:tcPr>
            <w:tcW w:w="834" w:type="pct"/>
            <w:tcBorders>
              <w:top w:val="single" w:sz="4" w:space="0" w:color="auto"/>
            </w:tcBorders>
            <w:vAlign w:val="center"/>
          </w:tcPr>
          <w:p w14:paraId="67AEA2FA"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5.06</w:t>
            </w:r>
          </w:p>
        </w:tc>
        <w:tc>
          <w:tcPr>
            <w:tcW w:w="832" w:type="pct"/>
            <w:tcBorders>
              <w:top w:val="single" w:sz="4" w:space="0" w:color="auto"/>
            </w:tcBorders>
            <w:vAlign w:val="center"/>
          </w:tcPr>
          <w:p w14:paraId="31AF414A"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7.48</w:t>
            </w:r>
          </w:p>
        </w:tc>
      </w:tr>
      <w:tr w:rsidR="006C1256" w14:paraId="028B47A8" w14:textId="77777777" w:rsidTr="006303B3">
        <w:trPr>
          <w:trHeight w:val="624"/>
        </w:trPr>
        <w:tc>
          <w:tcPr>
            <w:tcW w:w="1024" w:type="pct"/>
            <w:vAlign w:val="center"/>
          </w:tcPr>
          <w:p w14:paraId="6303BB8B"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18/BTP-eC9</w:t>
            </w:r>
            <w:r>
              <w:rPr>
                <w:rFonts w:ascii="Times New Roman" w:hAnsi="Times New Roman" w:cs="Times New Roman"/>
                <w:szCs w:val="21"/>
              </w:rPr>
              <w:t>:</w:t>
            </w:r>
            <w:r w:rsidRPr="0051573F">
              <w:rPr>
                <w:rFonts w:ascii="Times New Roman" w:hAnsi="Times New Roman" w:cs="Times New Roman"/>
                <w:i/>
                <w:iCs/>
                <w:szCs w:val="21"/>
              </w:rPr>
              <w:t>d</w:t>
            </w:r>
            <w:r w:rsidRPr="0051573F">
              <w:rPr>
                <w:rFonts w:ascii="Times New Roman" w:hAnsi="Times New Roman" w:cs="Times New Roman"/>
                <w:szCs w:val="21"/>
              </w:rPr>
              <w:t>BTP-ThC2</w:t>
            </w:r>
          </w:p>
        </w:tc>
        <w:tc>
          <w:tcPr>
            <w:tcW w:w="644" w:type="pct"/>
            <w:vAlign w:val="center"/>
          </w:tcPr>
          <w:p w14:paraId="213EB623"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.872</w:t>
            </w:r>
          </w:p>
        </w:tc>
        <w:tc>
          <w:tcPr>
            <w:tcW w:w="834" w:type="pct"/>
            <w:vAlign w:val="center"/>
          </w:tcPr>
          <w:p w14:paraId="7DDE331B"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7.41</w:t>
            </w:r>
          </w:p>
        </w:tc>
        <w:tc>
          <w:tcPr>
            <w:tcW w:w="833" w:type="pct"/>
            <w:vAlign w:val="center"/>
          </w:tcPr>
          <w:p w14:paraId="505B7D35"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6.42</w:t>
            </w:r>
          </w:p>
        </w:tc>
        <w:tc>
          <w:tcPr>
            <w:tcW w:w="834" w:type="pct"/>
            <w:vAlign w:val="center"/>
          </w:tcPr>
          <w:p w14:paraId="60DF3165"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5.59</w:t>
            </w:r>
          </w:p>
        </w:tc>
        <w:tc>
          <w:tcPr>
            <w:tcW w:w="832" w:type="pct"/>
            <w:vAlign w:val="center"/>
          </w:tcPr>
          <w:p w14:paraId="6D76D30B"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8.06</w:t>
            </w:r>
          </w:p>
        </w:tc>
      </w:tr>
      <w:tr w:rsidR="006C1256" w14:paraId="0C1F49B8" w14:textId="77777777" w:rsidTr="006303B3">
        <w:trPr>
          <w:trHeight w:val="624"/>
        </w:trPr>
        <w:tc>
          <w:tcPr>
            <w:tcW w:w="1024" w:type="pct"/>
            <w:vAlign w:val="center"/>
          </w:tcPr>
          <w:p w14:paraId="3448B8D8"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18/BTP-eC9</w:t>
            </w:r>
            <w:r>
              <w:rPr>
                <w:rFonts w:ascii="Times New Roman" w:hAnsi="Times New Roman" w:cs="Times New Roman"/>
                <w:szCs w:val="21"/>
              </w:rPr>
              <w:t>:</w:t>
            </w:r>
            <w:r w:rsidRPr="0051573F">
              <w:rPr>
                <w:rFonts w:ascii="Times New Roman" w:hAnsi="Times New Roman" w:cs="Times New Roman"/>
                <w:i/>
                <w:iCs/>
                <w:szCs w:val="21"/>
              </w:rPr>
              <w:t>d</w:t>
            </w:r>
            <w:r w:rsidRPr="0051573F">
              <w:rPr>
                <w:rFonts w:ascii="Times New Roman" w:hAnsi="Times New Roman" w:cs="Times New Roman"/>
                <w:szCs w:val="21"/>
              </w:rPr>
              <w:t>BTP-ThC4</w:t>
            </w:r>
          </w:p>
        </w:tc>
        <w:tc>
          <w:tcPr>
            <w:tcW w:w="644" w:type="pct"/>
            <w:vAlign w:val="center"/>
          </w:tcPr>
          <w:p w14:paraId="64E814E1"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.877</w:t>
            </w:r>
          </w:p>
        </w:tc>
        <w:tc>
          <w:tcPr>
            <w:tcW w:w="834" w:type="pct"/>
            <w:vAlign w:val="center"/>
          </w:tcPr>
          <w:p w14:paraId="3675E77C"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8.29</w:t>
            </w:r>
          </w:p>
        </w:tc>
        <w:tc>
          <w:tcPr>
            <w:tcW w:w="833" w:type="pct"/>
            <w:vAlign w:val="center"/>
          </w:tcPr>
          <w:p w14:paraId="643E6187"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6.94</w:t>
            </w:r>
          </w:p>
        </w:tc>
        <w:tc>
          <w:tcPr>
            <w:tcW w:w="834" w:type="pct"/>
            <w:vAlign w:val="center"/>
          </w:tcPr>
          <w:p w14:paraId="48305DF2"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6.94</w:t>
            </w:r>
          </w:p>
        </w:tc>
        <w:tc>
          <w:tcPr>
            <w:tcW w:w="832" w:type="pct"/>
            <w:vAlign w:val="center"/>
          </w:tcPr>
          <w:p w14:paraId="0290E7F5"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9.09</w:t>
            </w:r>
          </w:p>
        </w:tc>
      </w:tr>
      <w:tr w:rsidR="006C1256" w14:paraId="3F0C7275" w14:textId="77777777" w:rsidTr="006303B3">
        <w:trPr>
          <w:trHeight w:val="624"/>
        </w:trPr>
        <w:tc>
          <w:tcPr>
            <w:tcW w:w="1024" w:type="pct"/>
            <w:vAlign w:val="center"/>
          </w:tcPr>
          <w:p w14:paraId="275BD5AA"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18/BTP-eC9</w:t>
            </w:r>
            <w:r>
              <w:rPr>
                <w:rFonts w:ascii="Times New Roman" w:hAnsi="Times New Roman" w:cs="Times New Roman"/>
                <w:szCs w:val="21"/>
              </w:rPr>
              <w:t>:</w:t>
            </w:r>
            <w:r w:rsidRPr="0051573F">
              <w:rPr>
                <w:rFonts w:ascii="Times New Roman" w:hAnsi="Times New Roman" w:cs="Times New Roman"/>
                <w:i/>
                <w:iCs/>
                <w:szCs w:val="21"/>
              </w:rPr>
              <w:t>d</w:t>
            </w:r>
            <w:r w:rsidRPr="0051573F">
              <w:rPr>
                <w:rFonts w:ascii="Times New Roman" w:hAnsi="Times New Roman" w:cs="Times New Roman"/>
                <w:szCs w:val="21"/>
              </w:rPr>
              <w:t>BTP-ThC6</w:t>
            </w:r>
          </w:p>
        </w:tc>
        <w:tc>
          <w:tcPr>
            <w:tcW w:w="644" w:type="pct"/>
            <w:vAlign w:val="center"/>
          </w:tcPr>
          <w:p w14:paraId="09209F9C"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.877</w:t>
            </w:r>
          </w:p>
        </w:tc>
        <w:tc>
          <w:tcPr>
            <w:tcW w:w="834" w:type="pct"/>
            <w:vAlign w:val="center"/>
          </w:tcPr>
          <w:p w14:paraId="4397EB7E"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7.72</w:t>
            </w:r>
          </w:p>
        </w:tc>
        <w:tc>
          <w:tcPr>
            <w:tcW w:w="833" w:type="pct"/>
            <w:vAlign w:val="center"/>
          </w:tcPr>
          <w:p w14:paraId="36320B5E"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6.62</w:t>
            </w:r>
          </w:p>
        </w:tc>
        <w:tc>
          <w:tcPr>
            <w:tcW w:w="834" w:type="pct"/>
            <w:vAlign w:val="center"/>
          </w:tcPr>
          <w:p w14:paraId="38EAD4FD"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7.05</w:t>
            </w:r>
          </w:p>
        </w:tc>
        <w:tc>
          <w:tcPr>
            <w:tcW w:w="832" w:type="pct"/>
            <w:vAlign w:val="center"/>
          </w:tcPr>
          <w:p w14:paraId="23F9BE76"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8.73</w:t>
            </w:r>
          </w:p>
        </w:tc>
      </w:tr>
      <w:tr w:rsidR="006C1256" w14:paraId="336C153F" w14:textId="77777777" w:rsidTr="006303B3">
        <w:trPr>
          <w:trHeight w:val="624"/>
        </w:trPr>
        <w:tc>
          <w:tcPr>
            <w:tcW w:w="1024" w:type="pct"/>
            <w:vAlign w:val="center"/>
          </w:tcPr>
          <w:p w14:paraId="5B8FD82E"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18/L8-BO</w:t>
            </w:r>
          </w:p>
        </w:tc>
        <w:tc>
          <w:tcPr>
            <w:tcW w:w="644" w:type="pct"/>
            <w:vAlign w:val="center"/>
          </w:tcPr>
          <w:p w14:paraId="38654935"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.902</w:t>
            </w:r>
          </w:p>
        </w:tc>
        <w:tc>
          <w:tcPr>
            <w:tcW w:w="834" w:type="pct"/>
            <w:vAlign w:val="center"/>
          </w:tcPr>
          <w:p w14:paraId="20B650B2"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4.84</w:t>
            </w:r>
          </w:p>
        </w:tc>
        <w:tc>
          <w:tcPr>
            <w:tcW w:w="833" w:type="pct"/>
            <w:vAlign w:val="center"/>
          </w:tcPr>
          <w:p w14:paraId="0D42795C"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3.79</w:t>
            </w:r>
          </w:p>
        </w:tc>
        <w:tc>
          <w:tcPr>
            <w:tcW w:w="834" w:type="pct"/>
            <w:vAlign w:val="center"/>
          </w:tcPr>
          <w:p w14:paraId="4A3676D8"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8.75</w:t>
            </w:r>
          </w:p>
        </w:tc>
        <w:tc>
          <w:tcPr>
            <w:tcW w:w="832" w:type="pct"/>
            <w:vAlign w:val="center"/>
          </w:tcPr>
          <w:p w14:paraId="267A0DB1"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7.65</w:t>
            </w:r>
          </w:p>
        </w:tc>
      </w:tr>
      <w:tr w:rsidR="006C1256" w14:paraId="0461395D" w14:textId="77777777" w:rsidTr="006303B3">
        <w:trPr>
          <w:trHeight w:val="43"/>
        </w:trPr>
        <w:tc>
          <w:tcPr>
            <w:tcW w:w="1024" w:type="pct"/>
            <w:vAlign w:val="center"/>
          </w:tcPr>
          <w:p w14:paraId="5477D279" w14:textId="545C4395"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D</w:t>
            </w:r>
            <w:r w:rsidRPr="0051573F">
              <w:rPr>
                <w:rFonts w:ascii="Times New Roman" w:hAnsi="Times New Roman" w:cs="Times New Roman"/>
                <w:szCs w:val="21"/>
              </w:rPr>
              <w:t>18/L8</w:t>
            </w:r>
            <w:r w:rsidR="00AE40A1">
              <w:rPr>
                <w:rFonts w:ascii="Times New Roman" w:hAnsi="Times New Roman" w:cs="Times New Roman"/>
                <w:szCs w:val="21"/>
              </w:rPr>
              <w:t>-</w:t>
            </w:r>
            <w:r w:rsidRPr="0051573F">
              <w:rPr>
                <w:rFonts w:ascii="Times New Roman" w:hAnsi="Times New Roman" w:cs="Times New Roman"/>
                <w:szCs w:val="21"/>
              </w:rPr>
              <w:t>BO:</w:t>
            </w:r>
            <w:r w:rsidRPr="0051573F">
              <w:rPr>
                <w:rFonts w:ascii="Times New Roman" w:hAnsi="Times New Roman" w:cs="Times New Roman"/>
                <w:i/>
                <w:iCs/>
                <w:szCs w:val="21"/>
              </w:rPr>
              <w:t xml:space="preserve"> d</w:t>
            </w:r>
            <w:r w:rsidRPr="0051573F">
              <w:rPr>
                <w:rFonts w:ascii="Times New Roman" w:hAnsi="Times New Roman" w:cs="Times New Roman"/>
                <w:szCs w:val="21"/>
              </w:rPr>
              <w:t>BTP-ThC4</w:t>
            </w:r>
          </w:p>
        </w:tc>
        <w:tc>
          <w:tcPr>
            <w:tcW w:w="644" w:type="pct"/>
            <w:vAlign w:val="center"/>
          </w:tcPr>
          <w:p w14:paraId="13D25BD4"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0</w:t>
            </w:r>
            <w:r w:rsidRPr="0051573F">
              <w:rPr>
                <w:rFonts w:ascii="Times New Roman" w:hAnsi="Times New Roman" w:cs="Times New Roman"/>
                <w:szCs w:val="21"/>
              </w:rPr>
              <w:t>.915</w:t>
            </w:r>
          </w:p>
        </w:tc>
        <w:tc>
          <w:tcPr>
            <w:tcW w:w="834" w:type="pct"/>
            <w:vAlign w:val="center"/>
          </w:tcPr>
          <w:p w14:paraId="08198EC3"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2</w:t>
            </w:r>
            <w:r w:rsidRPr="0051573F">
              <w:rPr>
                <w:rFonts w:ascii="Times New Roman" w:hAnsi="Times New Roman" w:cs="Times New Roman"/>
                <w:szCs w:val="21"/>
              </w:rPr>
              <w:t>6.30</w:t>
            </w:r>
          </w:p>
        </w:tc>
        <w:tc>
          <w:tcPr>
            <w:tcW w:w="833" w:type="pct"/>
            <w:vAlign w:val="center"/>
          </w:tcPr>
          <w:p w14:paraId="578691E6" w14:textId="77777777" w:rsidR="006C1256" w:rsidRPr="0051573F" w:rsidRDefault="006C1256" w:rsidP="006303B3">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4.95</w:t>
            </w:r>
          </w:p>
        </w:tc>
        <w:tc>
          <w:tcPr>
            <w:tcW w:w="834" w:type="pct"/>
            <w:vAlign w:val="center"/>
          </w:tcPr>
          <w:p w14:paraId="60981432"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7</w:t>
            </w:r>
            <w:r w:rsidRPr="0051573F">
              <w:rPr>
                <w:rFonts w:ascii="Times New Roman" w:hAnsi="Times New Roman" w:cs="Times New Roman"/>
                <w:szCs w:val="21"/>
              </w:rPr>
              <w:t>9.60</w:t>
            </w:r>
          </w:p>
        </w:tc>
        <w:tc>
          <w:tcPr>
            <w:tcW w:w="832" w:type="pct"/>
            <w:vAlign w:val="center"/>
          </w:tcPr>
          <w:p w14:paraId="454BB4BB" w14:textId="77777777" w:rsidR="006C1256" w:rsidRPr="0051573F" w:rsidRDefault="006C1256" w:rsidP="006303B3">
            <w:pPr>
              <w:jc w:val="center"/>
              <w:rPr>
                <w:rFonts w:ascii="Times New Roman" w:hAnsi="Times New Roman" w:cs="Times New Roman"/>
                <w:szCs w:val="21"/>
              </w:rPr>
            </w:pPr>
            <w:r w:rsidRPr="0051573F">
              <w:rPr>
                <w:rFonts w:ascii="Times New Roman" w:hAnsi="Times New Roman" w:cs="Times New Roman" w:hint="eastAsia"/>
                <w:szCs w:val="21"/>
              </w:rPr>
              <w:t>1</w:t>
            </w:r>
            <w:r w:rsidRPr="0051573F">
              <w:rPr>
                <w:rFonts w:ascii="Times New Roman" w:hAnsi="Times New Roman" w:cs="Times New Roman"/>
                <w:szCs w:val="21"/>
              </w:rPr>
              <w:t>9.16</w:t>
            </w:r>
          </w:p>
        </w:tc>
      </w:tr>
    </w:tbl>
    <w:p w14:paraId="20E24694" w14:textId="77777777" w:rsidR="006C1256" w:rsidRPr="00C723E2" w:rsidRDefault="006C1256" w:rsidP="0023656E">
      <w:pPr>
        <w:spacing w:line="360" w:lineRule="auto"/>
        <w:rPr>
          <w:szCs w:val="21"/>
        </w:rPr>
      </w:pPr>
      <w:r w:rsidRPr="006C1256">
        <w:rPr>
          <w:rFonts w:hint="eastAsia"/>
          <w:szCs w:val="21"/>
          <w:vertAlign w:val="superscript"/>
        </w:rPr>
        <w:t>a</w:t>
      </w:r>
      <w:r w:rsidRPr="00C723E2">
        <w:rPr>
          <w:rFonts w:hint="eastAsia"/>
          <w:szCs w:val="21"/>
        </w:rPr>
        <w:t xml:space="preserve">. </w:t>
      </w:r>
      <w:r w:rsidRPr="00C723E2">
        <w:rPr>
          <w:rFonts w:hint="eastAsia"/>
          <w:i/>
          <w:iCs/>
          <w:szCs w:val="21"/>
        </w:rPr>
        <w:t>J</w:t>
      </w:r>
      <w:r w:rsidRPr="00C723E2">
        <w:rPr>
          <w:szCs w:val="21"/>
          <w:vertAlign w:val="subscript"/>
        </w:rPr>
        <w:t>sc</w:t>
      </w:r>
      <w:r w:rsidRPr="00C723E2">
        <w:rPr>
          <w:szCs w:val="21"/>
        </w:rPr>
        <w:t xml:space="preserve"> extracted from the </w:t>
      </w:r>
      <w:r w:rsidRPr="006C1256">
        <w:rPr>
          <w:i/>
          <w:iCs/>
          <w:szCs w:val="21"/>
        </w:rPr>
        <w:t xml:space="preserve">J-V </w:t>
      </w:r>
      <w:r w:rsidRPr="00C723E2">
        <w:rPr>
          <w:szCs w:val="21"/>
        </w:rPr>
        <w:t>characteristics.</w:t>
      </w:r>
    </w:p>
    <w:p w14:paraId="23BA7289" w14:textId="77777777" w:rsidR="006C1256" w:rsidRDefault="006C1256" w:rsidP="0023656E">
      <w:pPr>
        <w:spacing w:line="360" w:lineRule="auto"/>
        <w:rPr>
          <w:szCs w:val="21"/>
        </w:rPr>
      </w:pPr>
      <w:r w:rsidRPr="006C1256">
        <w:rPr>
          <w:szCs w:val="21"/>
          <w:vertAlign w:val="superscript"/>
        </w:rPr>
        <w:t>b</w:t>
      </w:r>
      <w:r w:rsidRPr="00C723E2">
        <w:rPr>
          <w:szCs w:val="21"/>
        </w:rPr>
        <w:t xml:space="preserve">. </w:t>
      </w:r>
      <w:r w:rsidRPr="00C723E2">
        <w:rPr>
          <w:i/>
          <w:iCs/>
          <w:szCs w:val="21"/>
        </w:rPr>
        <w:t>J</w:t>
      </w:r>
      <w:r w:rsidRPr="00C723E2">
        <w:rPr>
          <w:szCs w:val="21"/>
          <w:vertAlign w:val="subscript"/>
        </w:rPr>
        <w:t>sc</w:t>
      </w:r>
      <w:r w:rsidRPr="00C723E2">
        <w:rPr>
          <w:szCs w:val="21"/>
        </w:rPr>
        <w:t xml:space="preserve"> integrated from the EQE curves.</w:t>
      </w:r>
    </w:p>
    <w:p w14:paraId="47C3A551" w14:textId="77777777" w:rsidR="0023656E" w:rsidRDefault="0023656E" w:rsidP="0023656E">
      <w:pPr>
        <w:spacing w:line="360" w:lineRule="auto"/>
        <w:rPr>
          <w:szCs w:val="21"/>
        </w:rPr>
      </w:pPr>
    </w:p>
    <w:p w14:paraId="1023CAF9" w14:textId="23A38FB8" w:rsidR="006C1256" w:rsidRPr="00BC6E73" w:rsidRDefault="00BC6E73" w:rsidP="006C1256">
      <w:pPr>
        <w:spacing w:line="360" w:lineRule="auto"/>
        <w:jc w:val="both"/>
        <w:rPr>
          <w:rFonts w:eastAsiaTheme="minorEastAsia"/>
          <w:lang w:eastAsia="zh-CN"/>
        </w:rPr>
      </w:pPr>
      <w:r w:rsidRPr="00BC6E73">
        <w:rPr>
          <w:rFonts w:eastAsiaTheme="minorEastAsia"/>
          <w:noProof/>
          <w:lang w:eastAsia="zh-CN"/>
        </w:rPr>
        <w:drawing>
          <wp:inline distT="0" distB="0" distL="0" distR="0" wp14:anchorId="54CD5857" wp14:editId="294C6369">
            <wp:extent cx="5760720" cy="3552825"/>
            <wp:effectExtent l="0" t="0" r="0" b="9525"/>
            <wp:docPr id="45948788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7883" name="图片 1" descr="图示&#10;&#10;描述已自动生成"/>
                    <pic:cNvPicPr/>
                  </pic:nvPicPr>
                  <pic:blipFill>
                    <a:blip r:embed="rId13"/>
                    <a:stretch>
                      <a:fillRect/>
                    </a:stretch>
                  </pic:blipFill>
                  <pic:spPr>
                    <a:xfrm>
                      <a:off x="0" y="0"/>
                      <a:ext cx="5760720" cy="3552825"/>
                    </a:xfrm>
                    <a:prstGeom prst="rect">
                      <a:avLst/>
                    </a:prstGeom>
                  </pic:spPr>
                </pic:pic>
              </a:graphicData>
            </a:graphic>
          </wp:inline>
        </w:drawing>
      </w:r>
    </w:p>
    <w:p w14:paraId="482E6DA6" w14:textId="55DDB639" w:rsidR="006C1256" w:rsidRPr="00C61DB0" w:rsidRDefault="006C1256" w:rsidP="006C1256">
      <w:pPr>
        <w:spacing w:before="120" w:after="240" w:line="360" w:lineRule="auto"/>
        <w:jc w:val="both"/>
      </w:pPr>
      <w:r w:rsidRPr="00C61DB0">
        <w:rPr>
          <w:rFonts w:hint="eastAsia"/>
          <w:b/>
          <w:bCs/>
        </w:rPr>
        <w:t>F</w:t>
      </w:r>
      <w:r w:rsidRPr="00C61DB0">
        <w:rPr>
          <w:b/>
          <w:bCs/>
        </w:rPr>
        <w:t>ig</w:t>
      </w:r>
      <w:r>
        <w:rPr>
          <w:b/>
          <w:bCs/>
        </w:rPr>
        <w:t>ure</w:t>
      </w:r>
      <w:r w:rsidRPr="00C61DB0">
        <w:rPr>
          <w:b/>
          <w:bCs/>
        </w:rPr>
        <w:t xml:space="preserve"> 3. </w:t>
      </w:r>
      <w:r>
        <w:rPr>
          <w:b/>
          <w:bCs/>
        </w:rPr>
        <w:t xml:space="preserve">Burn-in loss </w:t>
      </w:r>
      <w:r w:rsidRPr="00C61DB0">
        <w:rPr>
          <w:b/>
          <w:bCs/>
        </w:rPr>
        <w:t>mechanism.</w:t>
      </w:r>
      <w:r w:rsidRPr="00C61DB0">
        <w:t xml:space="preserve"> </w:t>
      </w:r>
      <w:r>
        <w:t>(</w:t>
      </w:r>
      <w:r w:rsidRPr="00C61DB0">
        <w:rPr>
          <w:b/>
          <w:bCs/>
        </w:rPr>
        <w:t>a</w:t>
      </w:r>
      <w:r w:rsidRPr="006653FE">
        <w:t>)</w:t>
      </w:r>
      <w:r w:rsidRPr="00C61DB0">
        <w:t xml:space="preserve"> The PCE evolutions of devices based on D18/BTP-eC9, D18/BTP-eC9:</w:t>
      </w:r>
      <w:r w:rsidRPr="00C61DB0">
        <w:rPr>
          <w:i/>
          <w:iCs/>
        </w:rPr>
        <w:t>d</w:t>
      </w:r>
      <w:r w:rsidRPr="00C61DB0">
        <w:t>BTP-ThC2 (w</w:t>
      </w:r>
      <w:r>
        <w:t>/</w:t>
      </w:r>
      <w:r w:rsidRPr="00C61DB0">
        <w:t xml:space="preserve"> </w:t>
      </w:r>
      <w:r w:rsidRPr="00C61DB0">
        <w:rPr>
          <w:i/>
          <w:iCs/>
        </w:rPr>
        <w:t>d</w:t>
      </w:r>
      <w:r w:rsidRPr="00C61DB0">
        <w:t>BTP-ThC2), D18/BTP-eC9:</w:t>
      </w:r>
      <w:r w:rsidRPr="00C61DB0">
        <w:rPr>
          <w:i/>
          <w:iCs/>
        </w:rPr>
        <w:t>d</w:t>
      </w:r>
      <w:r w:rsidRPr="00C61DB0">
        <w:t>BTP-ThC4 (w</w:t>
      </w:r>
      <w:r>
        <w:t>/</w:t>
      </w:r>
      <w:r w:rsidRPr="00C61DB0">
        <w:t xml:space="preserve"> </w:t>
      </w:r>
      <w:r w:rsidRPr="00C61DB0">
        <w:rPr>
          <w:i/>
          <w:iCs/>
        </w:rPr>
        <w:t>d</w:t>
      </w:r>
      <w:r w:rsidRPr="00C61DB0">
        <w:t>BTP-ThC4), and D18/BTP-eC9:</w:t>
      </w:r>
      <w:r w:rsidRPr="00C61DB0">
        <w:rPr>
          <w:i/>
          <w:iCs/>
        </w:rPr>
        <w:t>d</w:t>
      </w:r>
      <w:r w:rsidRPr="00C61DB0">
        <w:t>BTP-ThC6 (w</w:t>
      </w:r>
      <w:r>
        <w:t>/</w:t>
      </w:r>
      <w:r w:rsidRPr="00C61DB0">
        <w:t xml:space="preserve"> </w:t>
      </w:r>
      <w:r w:rsidRPr="00C61DB0">
        <w:rPr>
          <w:i/>
          <w:iCs/>
        </w:rPr>
        <w:t>d</w:t>
      </w:r>
      <w:r w:rsidRPr="00C61DB0">
        <w:t xml:space="preserve">BTP-ThC6), respectively. </w:t>
      </w:r>
      <w:r>
        <w:t>(</w:t>
      </w:r>
      <w:r w:rsidRPr="00C61DB0">
        <w:rPr>
          <w:b/>
          <w:bCs/>
        </w:rPr>
        <w:t>b</w:t>
      </w:r>
      <w:r w:rsidRPr="006653FE">
        <w:t>)</w:t>
      </w:r>
      <w:r w:rsidRPr="00C61DB0">
        <w:t xml:space="preserve"> The permittivity of fresh and aged devices based on D18/BTP-eC9 and w</w:t>
      </w:r>
      <w:r>
        <w:t>/</w:t>
      </w:r>
      <w:r w:rsidRPr="00C61DB0">
        <w:t xml:space="preserve"> </w:t>
      </w:r>
      <w:r w:rsidRPr="00C61DB0">
        <w:rPr>
          <w:i/>
          <w:iCs/>
        </w:rPr>
        <w:t>d</w:t>
      </w:r>
      <w:r w:rsidRPr="00C61DB0">
        <w:t>BTP-ThC</w:t>
      </w:r>
      <w:r>
        <w:t>4</w:t>
      </w:r>
      <w:r w:rsidRPr="00C61DB0">
        <w:t xml:space="preserve">. </w:t>
      </w:r>
      <w:r>
        <w:t>(</w:t>
      </w:r>
      <w:r w:rsidRPr="00C61DB0">
        <w:rPr>
          <w:b/>
          <w:bCs/>
        </w:rPr>
        <w:t>c</w:t>
      </w:r>
      <w:r w:rsidRPr="006653FE">
        <w:t>)</w:t>
      </w:r>
      <w:r w:rsidRPr="00C61DB0">
        <w:t xml:space="preserve"> The statistics of permittivity for fresh and aged devices. The upward and downward bar graphs represent the </w:t>
      </w:r>
      <w:r w:rsidRPr="00C61DB0">
        <w:lastRenderedPageBreak/>
        <w:t>permittivity of fresh and aged OPVs. The Photo-CELIV curves of fresh and aged devices based on D18/BTP-eC9 (</w:t>
      </w:r>
      <w:r w:rsidRPr="00C61DB0">
        <w:rPr>
          <w:b/>
          <w:bCs/>
        </w:rPr>
        <w:t>d</w:t>
      </w:r>
      <w:r w:rsidRPr="00C61DB0">
        <w:t>), w</w:t>
      </w:r>
      <w:r>
        <w:t>/</w:t>
      </w:r>
      <w:r w:rsidRPr="00C61DB0">
        <w:t xml:space="preserve"> </w:t>
      </w:r>
      <w:r w:rsidRPr="008B2AB2">
        <w:rPr>
          <w:i/>
          <w:iCs/>
        </w:rPr>
        <w:t>d</w:t>
      </w:r>
      <w:r w:rsidRPr="00C61DB0">
        <w:t>BTP-ThC2 (</w:t>
      </w:r>
      <w:r w:rsidRPr="00C61DB0">
        <w:rPr>
          <w:b/>
          <w:bCs/>
        </w:rPr>
        <w:t>e</w:t>
      </w:r>
      <w:r w:rsidRPr="00C61DB0">
        <w:t>), w</w:t>
      </w:r>
      <w:r>
        <w:t>/</w:t>
      </w:r>
      <w:r w:rsidRPr="00C61DB0">
        <w:t xml:space="preserve"> </w:t>
      </w:r>
      <w:r w:rsidRPr="00C61DB0">
        <w:rPr>
          <w:i/>
          <w:iCs/>
        </w:rPr>
        <w:t>d</w:t>
      </w:r>
      <w:r w:rsidRPr="00C61DB0">
        <w:t>BTP-ThC4 (</w:t>
      </w:r>
      <w:r w:rsidRPr="00C61DB0">
        <w:rPr>
          <w:b/>
          <w:bCs/>
        </w:rPr>
        <w:t>f</w:t>
      </w:r>
      <w:r w:rsidRPr="00C61DB0">
        <w:t>), and w</w:t>
      </w:r>
      <w:r>
        <w:t>/</w:t>
      </w:r>
      <w:r w:rsidRPr="00C61DB0">
        <w:t xml:space="preserve"> </w:t>
      </w:r>
      <w:r w:rsidRPr="00C61DB0">
        <w:rPr>
          <w:i/>
          <w:iCs/>
        </w:rPr>
        <w:t>d</w:t>
      </w:r>
      <w:r w:rsidRPr="00C61DB0">
        <w:t>BTP-ThC6 (</w:t>
      </w:r>
      <w:r w:rsidRPr="00C61DB0">
        <w:rPr>
          <w:b/>
          <w:bCs/>
        </w:rPr>
        <w:t>g</w:t>
      </w:r>
      <w:r w:rsidRPr="00C61DB0">
        <w:t>), respectively. The ramp rate of Photo-CELIV examination</w:t>
      </w:r>
      <w:r>
        <w:rPr>
          <w:rFonts w:hint="eastAsia"/>
        </w:rPr>
        <w:t>s</w:t>
      </w:r>
      <w:r w:rsidRPr="00C61DB0">
        <w:t xml:space="preserve"> equals 50 V/ms. </w:t>
      </w:r>
      <w:r>
        <w:t>Transient absorption spectra (TAS) of fresh D18/BTP-eC9 film (</w:t>
      </w:r>
      <w:r w:rsidRPr="005F5E35">
        <w:rPr>
          <w:b/>
          <w:bCs/>
        </w:rPr>
        <w:t>h</w:t>
      </w:r>
      <w:r>
        <w:t>) and fresh w/ dBTP-ThC4 film (</w:t>
      </w:r>
      <w:r w:rsidRPr="005F5E35">
        <w:rPr>
          <w:b/>
          <w:bCs/>
        </w:rPr>
        <w:t>i</w:t>
      </w:r>
      <w:r>
        <w:t>). The dynamic plots of D18/BTP-eC9 film (</w:t>
      </w:r>
      <w:r>
        <w:rPr>
          <w:b/>
          <w:bCs/>
        </w:rPr>
        <w:t>j</w:t>
      </w:r>
      <w:r>
        <w:t>) and fresh w/ dBTP-ThC4 film (</w:t>
      </w:r>
      <w:r>
        <w:rPr>
          <w:b/>
          <w:bCs/>
        </w:rPr>
        <w:t>k</w:t>
      </w:r>
      <w:r>
        <w:t>) probed at 595 nm of the corresponding TAS.</w:t>
      </w:r>
    </w:p>
    <w:p w14:paraId="2C254392" w14:textId="77777777" w:rsidR="002E0BD3" w:rsidRPr="006C1256" w:rsidRDefault="002E0BD3" w:rsidP="002E0BD3">
      <w:pPr>
        <w:spacing w:line="360" w:lineRule="auto"/>
        <w:jc w:val="both"/>
        <w:rPr>
          <w:rFonts w:eastAsiaTheme="minorEastAsia"/>
          <w:lang w:eastAsia="zh-CN"/>
        </w:rPr>
      </w:pPr>
    </w:p>
    <w:p w14:paraId="471816CC" w14:textId="5AC03AC6" w:rsidR="002E0BD3" w:rsidRPr="006C1256" w:rsidRDefault="002E0BD3" w:rsidP="002E0BD3">
      <w:pPr>
        <w:spacing w:line="360" w:lineRule="auto"/>
        <w:jc w:val="both"/>
        <w:rPr>
          <w:rFonts w:eastAsiaTheme="minorEastAsia"/>
          <w:b/>
          <w:bCs/>
          <w:lang w:val="en-US" w:eastAsia="zh-CN"/>
        </w:rPr>
      </w:pPr>
      <w:r w:rsidRPr="006C1256">
        <w:rPr>
          <w:rFonts w:eastAsiaTheme="minorEastAsia" w:hint="eastAsia"/>
          <w:b/>
          <w:bCs/>
          <w:lang w:val="en-US" w:eastAsia="zh-CN"/>
        </w:rPr>
        <w:t>2</w:t>
      </w:r>
      <w:r w:rsidRPr="006C1256">
        <w:rPr>
          <w:rFonts w:eastAsiaTheme="minorEastAsia"/>
          <w:b/>
          <w:bCs/>
          <w:lang w:val="en-US" w:eastAsia="zh-CN"/>
        </w:rPr>
        <w:t xml:space="preserve">.4. </w:t>
      </w:r>
      <w:proofErr w:type="gramStart"/>
      <w:r w:rsidRPr="006C1256">
        <w:rPr>
          <w:rFonts w:eastAsiaTheme="minorEastAsia"/>
          <w:b/>
          <w:bCs/>
          <w:lang w:val="en-US" w:eastAsia="zh-CN"/>
        </w:rPr>
        <w:t>Elucidate</w:t>
      </w:r>
      <w:proofErr w:type="gramEnd"/>
      <w:r w:rsidRPr="006C1256">
        <w:rPr>
          <w:rFonts w:eastAsiaTheme="minorEastAsia"/>
          <w:b/>
          <w:bCs/>
          <w:lang w:val="en-US" w:eastAsia="zh-CN"/>
        </w:rPr>
        <w:t xml:space="preserve"> the Burn-in Loss Mechanism</w:t>
      </w:r>
    </w:p>
    <w:p w14:paraId="46C5257A" w14:textId="6B0B7486" w:rsidR="002E0BD3" w:rsidRPr="00A17C97" w:rsidRDefault="00C0665D" w:rsidP="006960F3">
      <w:pPr>
        <w:spacing w:line="360" w:lineRule="auto"/>
        <w:ind w:firstLine="708"/>
        <w:jc w:val="both"/>
        <w:rPr>
          <w:rFonts w:eastAsiaTheme="minorEastAsia"/>
          <w:lang w:val="en-US" w:eastAsia="zh-CN"/>
        </w:rPr>
      </w:pPr>
      <w:bookmarkStart w:id="13" w:name="_Hlk150762457"/>
      <w:r>
        <w:rPr>
          <w:rFonts w:eastAsiaTheme="minorEastAsia"/>
          <w:lang w:val="en-US" w:eastAsia="zh-CN"/>
        </w:rPr>
        <w:t>T</w:t>
      </w:r>
      <w:r w:rsidR="002E0BD3" w:rsidRPr="002E0BD3">
        <w:rPr>
          <w:rFonts w:eastAsiaTheme="minorEastAsia"/>
          <w:lang w:val="en-US" w:eastAsia="zh-CN"/>
        </w:rPr>
        <w:t>he impact</w:t>
      </w:r>
      <w:r>
        <w:rPr>
          <w:rFonts w:eastAsiaTheme="minorEastAsia"/>
          <w:lang w:val="en-US" w:eastAsia="zh-CN"/>
        </w:rPr>
        <w:t>s</w:t>
      </w:r>
      <w:r w:rsidR="002E0BD3" w:rsidRPr="002E0BD3">
        <w:rPr>
          <w:rFonts w:eastAsiaTheme="minorEastAsia"/>
          <w:lang w:val="en-US" w:eastAsia="zh-CN"/>
        </w:rPr>
        <w:t xml:space="preserve"> of dimer on device stability and the corresponding mechanism were </w:t>
      </w:r>
      <w:r>
        <w:rPr>
          <w:rFonts w:eastAsiaTheme="minorEastAsia"/>
          <w:lang w:val="en-US" w:eastAsia="zh-CN"/>
        </w:rPr>
        <w:t xml:space="preserve">further </w:t>
      </w:r>
      <w:r w:rsidR="002E0BD3" w:rsidRPr="002E0BD3">
        <w:rPr>
          <w:rFonts w:eastAsiaTheme="minorEastAsia"/>
          <w:lang w:val="en-US" w:eastAsia="zh-CN"/>
        </w:rPr>
        <w:t>investigated in detail. The maximum-power-point tracking (MPPT) of OPV cells was performed under one-sun illumination. As displa</w:t>
      </w:r>
      <w:r w:rsidR="002E0BD3" w:rsidRPr="00A17C97">
        <w:rPr>
          <w:rFonts w:eastAsiaTheme="minorEastAsia"/>
          <w:lang w:val="en-US" w:eastAsia="zh-CN"/>
        </w:rPr>
        <w:t xml:space="preserve">yed in </w:t>
      </w:r>
      <w:r w:rsidR="002E0BD3" w:rsidRPr="00A17C97">
        <w:rPr>
          <w:rFonts w:eastAsiaTheme="minorEastAsia"/>
          <w:b/>
          <w:bCs/>
          <w:lang w:val="en-US" w:eastAsia="zh-CN"/>
        </w:rPr>
        <w:t>Figure 3a</w:t>
      </w:r>
      <w:r w:rsidR="002E0BD3" w:rsidRPr="00A17C97">
        <w:rPr>
          <w:rFonts w:eastAsiaTheme="minorEastAsia"/>
          <w:lang w:val="en-US" w:eastAsia="zh-CN"/>
        </w:rPr>
        <w:t>, a rapid burn-in loss c</w:t>
      </w:r>
      <w:r w:rsidR="00886BD4" w:rsidRPr="00A17C97">
        <w:rPr>
          <w:rFonts w:eastAsiaTheme="minorEastAsia"/>
          <w:lang w:val="en-US" w:eastAsia="zh-CN"/>
        </w:rPr>
        <w:t>an</w:t>
      </w:r>
      <w:r w:rsidR="002E0BD3" w:rsidRPr="00A17C97">
        <w:rPr>
          <w:rFonts w:eastAsiaTheme="minorEastAsia"/>
          <w:lang w:val="en-US" w:eastAsia="zh-CN"/>
        </w:rPr>
        <w:t xml:space="preserve"> be observed in the D18/BTP-eC9 device, whose PCE quickly drop</w:t>
      </w:r>
      <w:r w:rsidR="00886BD4" w:rsidRPr="00A17C97">
        <w:rPr>
          <w:rFonts w:eastAsiaTheme="minorEastAsia"/>
          <w:lang w:val="en-US" w:eastAsia="zh-CN"/>
        </w:rPr>
        <w:t>s</w:t>
      </w:r>
      <w:r w:rsidR="002E0BD3" w:rsidRPr="00A17C97">
        <w:rPr>
          <w:rFonts w:eastAsiaTheme="minorEastAsia"/>
          <w:lang w:val="en-US" w:eastAsia="zh-CN"/>
        </w:rPr>
        <w:t xml:space="preserve"> to 80% of </w:t>
      </w:r>
      <w:r w:rsidR="002E0BD3" w:rsidRPr="00A17C97">
        <w:rPr>
          <w:rFonts w:eastAsiaTheme="minorEastAsia" w:hint="eastAsia"/>
          <w:lang w:val="en-US" w:eastAsia="zh-CN"/>
        </w:rPr>
        <w:t>the</w:t>
      </w:r>
      <w:r w:rsidR="002E0BD3" w:rsidRPr="00A17C97">
        <w:rPr>
          <w:rFonts w:eastAsiaTheme="minorEastAsia"/>
          <w:lang w:val="en-US" w:eastAsia="zh-CN"/>
        </w:rPr>
        <w:t xml:space="preserve"> initial value within 350 h. In contrast, the burn-in loss can be significantly mitigated by introducing dimer stabilizers to retard the molecular diffusion by establishing a more robust morphology to reduce burn-in loss. Consequently, the ternary device of D18/BTP-eC</w:t>
      </w:r>
      <w:proofErr w:type="gramStart"/>
      <w:r w:rsidR="002E0BD3" w:rsidRPr="00A17C97">
        <w:rPr>
          <w:rFonts w:eastAsiaTheme="minorEastAsia"/>
          <w:lang w:val="en-US" w:eastAsia="zh-CN"/>
        </w:rPr>
        <w:t>9:</w:t>
      </w:r>
      <w:r w:rsidR="002E0BD3" w:rsidRPr="00A17C97">
        <w:rPr>
          <w:rFonts w:eastAsiaTheme="minorEastAsia"/>
          <w:i/>
          <w:iCs/>
          <w:lang w:val="en-US" w:eastAsia="zh-CN"/>
        </w:rPr>
        <w:t>d</w:t>
      </w:r>
      <w:r w:rsidR="002E0BD3" w:rsidRPr="00A17C97">
        <w:rPr>
          <w:rFonts w:eastAsiaTheme="minorEastAsia"/>
          <w:lang w:val="en-US" w:eastAsia="zh-CN"/>
        </w:rPr>
        <w:t>BTP</w:t>
      </w:r>
      <w:proofErr w:type="gramEnd"/>
      <w:r w:rsidR="002E0BD3" w:rsidRPr="00A17C97">
        <w:rPr>
          <w:rFonts w:eastAsiaTheme="minorEastAsia"/>
          <w:lang w:val="en-US" w:eastAsia="zh-CN"/>
        </w:rPr>
        <w:t>-ThC4 exhibits negligible burn-in loss, maintaining 98% of the initial PCE after being tracked at MPPT for 600 h (</w:t>
      </w:r>
      <w:r w:rsidR="002E0BD3" w:rsidRPr="00A17C97">
        <w:rPr>
          <w:rFonts w:eastAsiaTheme="minorEastAsia"/>
          <w:i/>
          <w:iCs/>
          <w:lang w:val="en-US" w:eastAsia="zh-CN"/>
        </w:rPr>
        <w:t>T</w:t>
      </w:r>
      <w:r w:rsidR="002E0BD3" w:rsidRPr="00A17C97">
        <w:rPr>
          <w:rFonts w:eastAsiaTheme="minorEastAsia"/>
          <w:vertAlign w:val="subscript"/>
          <w:lang w:val="en-US" w:eastAsia="zh-CN"/>
        </w:rPr>
        <w:t>98</w:t>
      </w:r>
      <w:r w:rsidR="002E0BD3" w:rsidRPr="00A17C97">
        <w:rPr>
          <w:rFonts w:eastAsiaTheme="minorEastAsia"/>
          <w:lang w:val="en-US" w:eastAsia="zh-CN"/>
        </w:rPr>
        <w:t xml:space="preserve">). Meanwhile, the extrapolated </w:t>
      </w:r>
      <w:r w:rsidR="002E0BD3" w:rsidRPr="00A17C97">
        <w:rPr>
          <w:rFonts w:eastAsiaTheme="minorEastAsia"/>
          <w:i/>
          <w:iCs/>
          <w:lang w:val="en-US" w:eastAsia="zh-CN"/>
        </w:rPr>
        <w:t>T</w:t>
      </w:r>
      <w:r w:rsidR="002E0BD3" w:rsidRPr="00A17C97">
        <w:rPr>
          <w:rFonts w:eastAsiaTheme="minorEastAsia"/>
          <w:vertAlign w:val="subscript"/>
          <w:lang w:val="en-US" w:eastAsia="zh-CN"/>
        </w:rPr>
        <w:t>80</w:t>
      </w:r>
      <w:r w:rsidR="002E0BD3" w:rsidRPr="00A17C97">
        <w:rPr>
          <w:rFonts w:eastAsiaTheme="minorEastAsia"/>
          <w:lang w:val="en-US" w:eastAsia="zh-CN"/>
        </w:rPr>
        <w:t xml:space="preserve"> lifetime of ternary D18/BTP-eC</w:t>
      </w:r>
      <w:proofErr w:type="gramStart"/>
      <w:r w:rsidR="002E0BD3" w:rsidRPr="00A17C97">
        <w:rPr>
          <w:rFonts w:eastAsiaTheme="minorEastAsia"/>
          <w:lang w:val="en-US" w:eastAsia="zh-CN"/>
        </w:rPr>
        <w:t>9:</w:t>
      </w:r>
      <w:r w:rsidR="002E0BD3" w:rsidRPr="00A17C97">
        <w:rPr>
          <w:rFonts w:eastAsiaTheme="minorEastAsia"/>
          <w:i/>
          <w:iCs/>
          <w:lang w:val="en-US" w:eastAsia="zh-CN"/>
        </w:rPr>
        <w:t>d</w:t>
      </w:r>
      <w:r w:rsidR="002E0BD3" w:rsidRPr="00A17C97">
        <w:rPr>
          <w:rFonts w:eastAsiaTheme="minorEastAsia"/>
          <w:lang w:val="en-US" w:eastAsia="zh-CN"/>
        </w:rPr>
        <w:t>BTP</w:t>
      </w:r>
      <w:proofErr w:type="gramEnd"/>
      <w:r w:rsidR="002E0BD3" w:rsidRPr="00A17C97">
        <w:rPr>
          <w:rFonts w:eastAsiaTheme="minorEastAsia"/>
          <w:lang w:val="en-US" w:eastAsia="zh-CN"/>
        </w:rPr>
        <w:t xml:space="preserve">-ThC4 devices is estimated to be ~ 2200 h. This result </w:t>
      </w:r>
      <w:r w:rsidR="00886BD4" w:rsidRPr="00A17C97">
        <w:rPr>
          <w:rFonts w:eastAsiaTheme="minorEastAsia"/>
          <w:lang w:val="en-US" w:eastAsia="zh-CN"/>
        </w:rPr>
        <w:t>indicates</w:t>
      </w:r>
      <w:r w:rsidR="002E0BD3" w:rsidRPr="00A17C97">
        <w:rPr>
          <w:rFonts w:eastAsiaTheme="minorEastAsia"/>
          <w:lang w:val="en-US" w:eastAsia="zh-CN"/>
        </w:rPr>
        <w:t xml:space="preserve"> that the supramolecular stabilizer </w:t>
      </w:r>
      <w:r w:rsidR="002E0BD3" w:rsidRPr="00A17C97">
        <w:rPr>
          <w:rFonts w:eastAsiaTheme="minorEastAsia"/>
          <w:i/>
          <w:iCs/>
          <w:lang w:val="en-US" w:eastAsia="zh-CN"/>
        </w:rPr>
        <w:t>d</w:t>
      </w:r>
      <w:r w:rsidR="002E0BD3" w:rsidRPr="00A17C97">
        <w:rPr>
          <w:rFonts w:eastAsiaTheme="minorEastAsia"/>
          <w:lang w:val="en-US" w:eastAsia="zh-CN"/>
        </w:rPr>
        <w:t xml:space="preserve">BTP-ThC4 with the most distinctly improved </w:t>
      </w:r>
      <w:r w:rsidR="002E0BD3" w:rsidRPr="00A17C97">
        <w:rPr>
          <w:rFonts w:eastAsiaTheme="minorEastAsia"/>
          <w:i/>
          <w:iCs/>
          <w:lang w:val="en-US" w:eastAsia="zh-CN"/>
        </w:rPr>
        <w:t>T</w:t>
      </w:r>
      <w:r w:rsidR="002E0BD3" w:rsidRPr="00A17C97">
        <w:rPr>
          <w:rFonts w:eastAsiaTheme="minorEastAsia"/>
          <w:vertAlign w:val="subscript"/>
          <w:lang w:val="en-US" w:eastAsia="zh-CN"/>
        </w:rPr>
        <w:t>g</w:t>
      </w:r>
      <w:r w:rsidR="002E0BD3" w:rsidRPr="00A17C97">
        <w:rPr>
          <w:rFonts w:eastAsiaTheme="minorEastAsia"/>
          <w:lang w:val="en-US" w:eastAsia="zh-CN"/>
        </w:rPr>
        <w:t xml:space="preserve">, </w:t>
      </w:r>
      <w:proofErr w:type="spellStart"/>
      <w:r w:rsidR="002E0BD3" w:rsidRPr="00A17C97">
        <w:rPr>
          <w:rFonts w:eastAsiaTheme="minorEastAsia"/>
          <w:i/>
          <w:iCs/>
          <w:lang w:val="en-US" w:eastAsia="zh-CN"/>
        </w:rPr>
        <w:t>T</w:t>
      </w:r>
      <w:r w:rsidR="002E0BD3" w:rsidRPr="00A17C97">
        <w:rPr>
          <w:rFonts w:eastAsiaTheme="minorEastAsia"/>
          <w:vertAlign w:val="subscript"/>
          <w:lang w:val="en-US" w:eastAsia="zh-CN"/>
        </w:rPr>
        <w:t>onset</w:t>
      </w:r>
      <w:proofErr w:type="spellEnd"/>
      <w:r w:rsidR="002E0BD3" w:rsidRPr="00A17C97">
        <w:rPr>
          <w:rFonts w:eastAsiaTheme="minorEastAsia"/>
          <w:lang w:val="en-US" w:eastAsia="zh-CN"/>
        </w:rPr>
        <w:t xml:space="preserve">, and crystallization in the blend system </w:t>
      </w:r>
      <w:r w:rsidR="00886BD4" w:rsidRPr="00A17C97">
        <w:rPr>
          <w:rFonts w:eastAsiaTheme="minorEastAsia"/>
          <w:lang w:val="en-US" w:eastAsia="zh-CN"/>
        </w:rPr>
        <w:t>can contribute</w:t>
      </w:r>
      <w:r w:rsidR="002E0BD3" w:rsidRPr="00A17C97">
        <w:rPr>
          <w:rFonts w:eastAsiaTheme="minorEastAsia"/>
          <w:lang w:val="en-US" w:eastAsia="zh-CN"/>
        </w:rPr>
        <w:t xml:space="preserve"> to higher device performance and reduced burn-in loss. </w:t>
      </w:r>
    </w:p>
    <w:p w14:paraId="143BA405" w14:textId="1C256FA6" w:rsidR="002E0BD3" w:rsidRPr="00A17C97" w:rsidRDefault="002E0BD3" w:rsidP="006960F3">
      <w:pPr>
        <w:spacing w:line="360" w:lineRule="auto"/>
        <w:ind w:firstLine="708"/>
        <w:jc w:val="both"/>
        <w:rPr>
          <w:rFonts w:eastAsiaTheme="minorEastAsia"/>
          <w:lang w:val="en-US" w:eastAsia="zh-CN"/>
        </w:rPr>
      </w:pPr>
      <w:bookmarkStart w:id="14" w:name="_Hlk150762504"/>
      <w:bookmarkEnd w:id="13"/>
      <w:r w:rsidRPr="00A17C97">
        <w:rPr>
          <w:rFonts w:eastAsiaTheme="minorEastAsia" w:hint="eastAsia"/>
          <w:lang w:val="en-US" w:eastAsia="zh-CN"/>
        </w:rPr>
        <w:t>T</w:t>
      </w:r>
      <w:r w:rsidRPr="00A17C97">
        <w:rPr>
          <w:rFonts w:eastAsiaTheme="minorEastAsia"/>
          <w:lang w:val="en-US" w:eastAsia="zh-CN"/>
        </w:rPr>
        <w:t>o gain a deeper understanding of the dimer’s contribution to reducing OSC burn-in loss, mechanis</w:t>
      </w:r>
      <w:r w:rsidR="00886BD4" w:rsidRPr="00A17C97">
        <w:rPr>
          <w:rFonts w:eastAsiaTheme="minorEastAsia"/>
          <w:lang w:val="en-US" w:eastAsia="zh-CN"/>
        </w:rPr>
        <w:t>m</w:t>
      </w:r>
      <w:r w:rsidRPr="00A17C97">
        <w:rPr>
          <w:rFonts w:eastAsiaTheme="minorEastAsia"/>
          <w:lang w:val="en-US" w:eastAsia="zh-CN"/>
        </w:rPr>
        <w:t xml:space="preserve"> studies were performed from the aspect of device physics. To understand the evolution between the fresh and the aged devices, all aged devices studied were tracked at MPP for 100 h. The relative permittivity (</w:t>
      </w:r>
      <w:proofErr w:type="spellStart"/>
      <w:r w:rsidRPr="00A17C97">
        <w:rPr>
          <w:rFonts w:eastAsiaTheme="minorEastAsia"/>
          <w:i/>
          <w:iCs/>
          <w:lang w:val="en-US" w:eastAsia="zh-CN"/>
        </w:rPr>
        <w:t>ε</w:t>
      </w:r>
      <w:r w:rsidRPr="00A17C97">
        <w:rPr>
          <w:rFonts w:eastAsiaTheme="minorEastAsia"/>
          <w:vertAlign w:val="subscript"/>
          <w:lang w:val="en-US" w:eastAsia="zh-CN"/>
        </w:rPr>
        <w:t>r</w:t>
      </w:r>
      <w:proofErr w:type="spellEnd"/>
      <w:r w:rsidRPr="00A17C97">
        <w:rPr>
          <w:rFonts w:eastAsiaTheme="minorEastAsia"/>
          <w:lang w:val="en-US" w:eastAsia="zh-CN"/>
        </w:rPr>
        <w:t>) is a parameter that can be easily influenced by the morphological variation.</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{"citationID":"GI5mz6jm","properties":{"formattedCitation":"\\super [49]\\nosupersub{}","plainCitation":"[49]","noteIndex":0},"citationItems":[{"id":1360,"uris":["http://zotero.org/users/10832941/items/SDXQG953"],"itemData":{"id":1360,"type":"article-journal","container-title":"Joule","ISSN":"25424351","issue":"2","journalAbbreviation":"Joule","language":"en","page":"444-457","source":"DOI.org (Crossref)","title":"High fill factor organic solar cells with increased dielectric constant and molecular packing density","volume":"6","author":[{"family":"Zhang","given":"Xuning"},{"family":"Li","given":"Chao"},{"family":"Xu","given":"Jianqiu"},{"family":"Wang","given":"Rui"},{"family":"Song","given":"Jiali"},{"family":"Zhang","given":"Hong"},{"family":"Li","given":"Yanxun"},{"family":"Jing","given":"Ya-Nan"},{"family":"Li","given":"Shilin"},{"family":"Wu","given":"Guangbao"},{"family":"Zhou","given":"Jin"},{"family":"Li","given":"Xing"},{"family":"Zhang","given":"Yingying"},{"family":"Li","given":"Xiong"},{"family":"Zhang","given":"Jianqi"},{"family":"Zhang","given":"Chunfeng"},{"family":"Zhou","given":"Huiqiong"},{"family":"Sun","given":"Yanming"},{"family":"Zhang","given":"Yuan"}],"issued":{"date-parts":[["2022",2]]}}}],"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[49]</w:t>
      </w:r>
      <w:r w:rsidRPr="00A17C97">
        <w:rPr>
          <w:rFonts w:eastAsiaTheme="minorEastAsia"/>
          <w:lang w:eastAsia="zh-CN"/>
        </w:rPr>
        <w:fldChar w:fldCharType="end"/>
      </w:r>
      <w:r w:rsidRPr="00A17C97">
        <w:rPr>
          <w:rFonts w:eastAsiaTheme="minorEastAsia"/>
          <w:lang w:val="en-US" w:eastAsia="zh-CN"/>
        </w:rPr>
        <w:t xml:space="preserve"> As displayed in </w:t>
      </w:r>
      <w:r w:rsidRPr="00A17C97">
        <w:rPr>
          <w:rFonts w:eastAsiaTheme="minorEastAsia"/>
          <w:b/>
          <w:bCs/>
          <w:lang w:val="en-US" w:eastAsia="zh-CN"/>
        </w:rPr>
        <w:t>Figure 3b</w:t>
      </w:r>
      <w:r w:rsidRPr="00A17C97">
        <w:rPr>
          <w:rFonts w:eastAsiaTheme="minorEastAsia"/>
          <w:lang w:val="en-US" w:eastAsia="zh-CN"/>
        </w:rPr>
        <w:t xml:space="preserve">, the </w:t>
      </w:r>
      <w:proofErr w:type="spellStart"/>
      <w:r w:rsidRPr="00A17C97">
        <w:rPr>
          <w:rFonts w:eastAsiaTheme="minorEastAsia"/>
          <w:i/>
          <w:iCs/>
          <w:lang w:val="en-US" w:eastAsia="zh-CN"/>
        </w:rPr>
        <w:t>ε</w:t>
      </w:r>
      <w:r w:rsidRPr="00A17C97">
        <w:rPr>
          <w:rFonts w:eastAsiaTheme="minorEastAsia"/>
          <w:vertAlign w:val="subscript"/>
          <w:lang w:val="en-US" w:eastAsia="zh-CN"/>
        </w:rPr>
        <w:t>r</w:t>
      </w:r>
      <w:proofErr w:type="spellEnd"/>
      <w:r w:rsidRPr="00A17C97">
        <w:rPr>
          <w:rFonts w:eastAsiaTheme="minorEastAsia"/>
          <w:lang w:val="en-US" w:eastAsia="zh-CN"/>
        </w:rPr>
        <w:t xml:space="preserve"> of the fresh D18/BTP-eC9 device is 3.51, while that of the aged device drops to 2.38. This indicates that the meta-stable morphology of the binary active layer deteriorates rapidly under the MPP condition, causing increased exciton binding energy (</w:t>
      </w:r>
      <w:r w:rsidRPr="00A17C97">
        <w:rPr>
          <w:rFonts w:eastAsiaTheme="minorEastAsia"/>
          <w:i/>
          <w:iCs/>
          <w:lang w:val="en-US" w:eastAsia="zh-CN"/>
        </w:rPr>
        <w:t>E</w:t>
      </w:r>
      <w:r w:rsidRPr="00A17C97">
        <w:rPr>
          <w:rFonts w:eastAsiaTheme="minorEastAsia"/>
          <w:vertAlign w:val="subscript"/>
          <w:lang w:val="en-US" w:eastAsia="zh-CN"/>
        </w:rPr>
        <w:t>B</w:t>
      </w:r>
      <w:r w:rsidRPr="00A17C97">
        <w:rPr>
          <w:rFonts w:eastAsiaTheme="minorEastAsia"/>
          <w:lang w:val="en-US" w:eastAsia="zh-CN"/>
        </w:rPr>
        <w:t xml:space="preserve">) to undermine device performance. In contrast, the changes in </w:t>
      </w:r>
      <w:proofErr w:type="spellStart"/>
      <w:r w:rsidRPr="00A17C97">
        <w:rPr>
          <w:rFonts w:eastAsiaTheme="minorEastAsia"/>
          <w:i/>
          <w:iCs/>
          <w:lang w:val="en-US" w:eastAsia="zh-CN"/>
        </w:rPr>
        <w:t>ε</w:t>
      </w:r>
      <w:r w:rsidRPr="00A17C97">
        <w:rPr>
          <w:rFonts w:eastAsiaTheme="minorEastAsia"/>
          <w:vertAlign w:val="subscript"/>
          <w:lang w:val="en-US" w:eastAsia="zh-CN"/>
        </w:rPr>
        <w:t>r</w:t>
      </w:r>
      <w:r w:rsidRPr="00A17C97">
        <w:rPr>
          <w:rFonts w:eastAsiaTheme="minorEastAsia"/>
          <w:lang w:val="en-US" w:eastAsia="zh-CN"/>
        </w:rPr>
        <w:t>s</w:t>
      </w:r>
      <w:proofErr w:type="spellEnd"/>
      <w:r w:rsidRPr="00A17C97">
        <w:rPr>
          <w:rFonts w:eastAsiaTheme="minorEastAsia"/>
          <w:lang w:val="en-US" w:eastAsia="zh-CN"/>
        </w:rPr>
        <w:t xml:space="preserve"> of fresh and aged ternary devices with dimer stabilizers (Figure S1</w:t>
      </w:r>
      <w:r w:rsidR="009C43B1" w:rsidRPr="00A17C97">
        <w:rPr>
          <w:rFonts w:eastAsiaTheme="minorEastAsia"/>
          <w:lang w:val="en-US" w:eastAsia="zh-CN"/>
        </w:rPr>
        <w:t>9</w:t>
      </w:r>
      <w:r w:rsidR="00886BD4" w:rsidRPr="00A17C97">
        <w:rPr>
          <w:rFonts w:eastAsiaTheme="minorEastAsia"/>
          <w:lang w:val="en-US" w:eastAsia="zh-CN"/>
        </w:rPr>
        <w:t>, SI</w:t>
      </w:r>
      <w:r w:rsidRPr="00A17C97">
        <w:rPr>
          <w:rFonts w:eastAsiaTheme="minorEastAsia"/>
          <w:lang w:val="en-US" w:eastAsia="zh-CN"/>
        </w:rPr>
        <w:t xml:space="preserve"> and </w:t>
      </w:r>
      <w:r w:rsidRPr="00A17C97">
        <w:rPr>
          <w:rFonts w:eastAsiaTheme="minorEastAsia"/>
          <w:b/>
          <w:bCs/>
          <w:lang w:val="en-US" w:eastAsia="zh-CN"/>
        </w:rPr>
        <w:t>Figure 3c</w:t>
      </w:r>
      <w:r w:rsidRPr="00A17C97">
        <w:rPr>
          <w:rFonts w:eastAsiaTheme="minorEastAsia"/>
          <w:lang w:val="en-US" w:eastAsia="zh-CN"/>
        </w:rPr>
        <w:t xml:space="preserve">) are smaller than that of the binary device. Only negligible </w:t>
      </w:r>
      <w:proofErr w:type="spellStart"/>
      <w:r w:rsidRPr="00A17C97">
        <w:rPr>
          <w:rFonts w:eastAsiaTheme="minorEastAsia"/>
          <w:i/>
          <w:iCs/>
          <w:lang w:val="en-US" w:eastAsia="zh-CN"/>
        </w:rPr>
        <w:t>ε</w:t>
      </w:r>
      <w:r w:rsidRPr="00A17C97">
        <w:rPr>
          <w:rFonts w:eastAsiaTheme="minorEastAsia"/>
          <w:vertAlign w:val="subscript"/>
          <w:lang w:val="en-US" w:eastAsia="zh-CN"/>
        </w:rPr>
        <w:t>r</w:t>
      </w:r>
      <w:proofErr w:type="spellEnd"/>
      <w:r w:rsidRPr="00A17C97">
        <w:rPr>
          <w:rFonts w:eastAsiaTheme="minorEastAsia"/>
          <w:vertAlign w:val="subscript"/>
          <w:lang w:val="en-US" w:eastAsia="zh-CN"/>
        </w:rPr>
        <w:t xml:space="preserve"> </w:t>
      </w:r>
      <w:r w:rsidRPr="00A17C97">
        <w:rPr>
          <w:rFonts w:eastAsiaTheme="minorEastAsia"/>
          <w:lang w:val="en-US" w:eastAsia="zh-CN"/>
        </w:rPr>
        <w:t xml:space="preserve">variation </w:t>
      </w:r>
      <w:r w:rsidR="00886BD4" w:rsidRPr="00A17C97">
        <w:rPr>
          <w:rFonts w:eastAsiaTheme="minorEastAsia"/>
          <w:lang w:val="en-US" w:eastAsia="zh-CN"/>
        </w:rPr>
        <w:t>is</w:t>
      </w:r>
      <w:r w:rsidRPr="00A17C97">
        <w:rPr>
          <w:rFonts w:eastAsiaTheme="minorEastAsia"/>
          <w:lang w:val="en-US" w:eastAsia="zh-CN"/>
        </w:rPr>
        <w:t xml:space="preserve"> found in the </w:t>
      </w:r>
      <w:r w:rsidRPr="00A17C97">
        <w:rPr>
          <w:rFonts w:eastAsiaTheme="minorEastAsia"/>
          <w:i/>
          <w:iCs/>
          <w:lang w:val="en-US" w:eastAsia="zh-CN"/>
        </w:rPr>
        <w:t>d</w:t>
      </w:r>
      <w:r w:rsidRPr="00A17C97">
        <w:rPr>
          <w:rFonts w:eastAsiaTheme="minorEastAsia"/>
          <w:lang w:val="en-US" w:eastAsia="zh-CN"/>
        </w:rPr>
        <w:t>BTP-ThC4-based ternary device (</w:t>
      </w:r>
      <w:r w:rsidRPr="00A17C97">
        <w:rPr>
          <w:rFonts w:eastAsiaTheme="minorEastAsia"/>
          <w:b/>
          <w:bCs/>
          <w:lang w:val="en-US" w:eastAsia="zh-CN"/>
        </w:rPr>
        <w:t>Figures 3b-c</w:t>
      </w:r>
      <w:r w:rsidRPr="00A17C97">
        <w:rPr>
          <w:rFonts w:eastAsiaTheme="minorEastAsia"/>
          <w:lang w:val="en-US" w:eastAsia="zh-CN"/>
        </w:rPr>
        <w:t xml:space="preserve">), with the </w:t>
      </w:r>
      <w:proofErr w:type="spellStart"/>
      <w:r w:rsidRPr="00A17C97">
        <w:rPr>
          <w:rFonts w:eastAsiaTheme="minorEastAsia"/>
          <w:i/>
          <w:iCs/>
          <w:lang w:val="en-US" w:eastAsia="zh-CN"/>
        </w:rPr>
        <w:t>ε</w:t>
      </w:r>
      <w:r w:rsidRPr="00A17C97">
        <w:rPr>
          <w:rFonts w:eastAsiaTheme="minorEastAsia"/>
          <w:vertAlign w:val="subscript"/>
          <w:lang w:val="en-US" w:eastAsia="zh-CN"/>
        </w:rPr>
        <w:t>r</w:t>
      </w:r>
      <w:proofErr w:type="spellEnd"/>
      <w:r w:rsidRPr="00A17C97">
        <w:rPr>
          <w:rFonts w:eastAsiaTheme="minorEastAsia"/>
          <w:lang w:val="en-US" w:eastAsia="zh-CN"/>
        </w:rPr>
        <w:t xml:space="preserve"> of fresh and aged devices as 3.97 and 3.87, respectively. This result indicates that stable morphology realized by introducing dimers leads to stable </w:t>
      </w:r>
      <w:proofErr w:type="spellStart"/>
      <w:r w:rsidRPr="00A17C97">
        <w:rPr>
          <w:rFonts w:eastAsiaTheme="minorEastAsia"/>
          <w:i/>
          <w:iCs/>
          <w:lang w:val="en-US" w:eastAsia="zh-CN"/>
        </w:rPr>
        <w:t>ε</w:t>
      </w:r>
      <w:r w:rsidRPr="00A17C97">
        <w:rPr>
          <w:rFonts w:eastAsiaTheme="minorEastAsia"/>
          <w:vertAlign w:val="subscript"/>
          <w:lang w:val="en-US" w:eastAsia="zh-CN"/>
        </w:rPr>
        <w:t>r</w:t>
      </w:r>
      <w:proofErr w:type="spellEnd"/>
      <w:r w:rsidRPr="00A17C97">
        <w:rPr>
          <w:rFonts w:eastAsiaTheme="minorEastAsia"/>
          <w:lang w:val="en-US" w:eastAsia="zh-CN"/>
        </w:rPr>
        <w:t xml:space="preserve"> and </w:t>
      </w:r>
      <w:r w:rsidRPr="00A17C97">
        <w:rPr>
          <w:rFonts w:eastAsiaTheme="minorEastAsia"/>
          <w:i/>
          <w:iCs/>
          <w:lang w:val="en-US" w:eastAsia="zh-CN"/>
        </w:rPr>
        <w:t>E</w:t>
      </w:r>
      <w:r w:rsidRPr="00A17C97">
        <w:rPr>
          <w:rFonts w:eastAsiaTheme="minorEastAsia"/>
          <w:vertAlign w:val="subscript"/>
          <w:lang w:val="en-US" w:eastAsia="zh-CN"/>
        </w:rPr>
        <w:t>B</w:t>
      </w:r>
      <w:r w:rsidRPr="00A17C97">
        <w:rPr>
          <w:rFonts w:eastAsiaTheme="minorEastAsia"/>
          <w:lang w:val="en-US" w:eastAsia="zh-CN"/>
        </w:rPr>
        <w:t>, which should facilitate efficient charge separation e</w:t>
      </w:r>
      <w:r w:rsidRPr="002E0BD3">
        <w:rPr>
          <w:rFonts w:eastAsiaTheme="minorEastAsia"/>
          <w:lang w:val="en-US" w:eastAsia="zh-CN"/>
        </w:rPr>
        <w:t xml:space="preserve">ven in an </w:t>
      </w:r>
      <w:r w:rsidRPr="002E0BD3">
        <w:rPr>
          <w:rFonts w:eastAsiaTheme="minorEastAsia"/>
          <w:lang w:val="en-US" w:eastAsia="zh-CN"/>
        </w:rPr>
        <w:lastRenderedPageBreak/>
        <w:t>aged device. This is further confirmed by TPC characteriza</w:t>
      </w:r>
      <w:r w:rsidRPr="00A17C97">
        <w:rPr>
          <w:rFonts w:eastAsiaTheme="minorEastAsia"/>
          <w:lang w:val="en-US" w:eastAsia="zh-CN"/>
        </w:rPr>
        <w:t>tion of aged devices (Figure S</w:t>
      </w:r>
      <w:r w:rsidR="009C43B1" w:rsidRPr="00A17C97">
        <w:rPr>
          <w:rFonts w:eastAsiaTheme="minorEastAsia"/>
          <w:lang w:val="en-US" w:eastAsia="zh-CN"/>
        </w:rPr>
        <w:t>20</w:t>
      </w:r>
      <w:r w:rsidR="00886BD4" w:rsidRPr="00A17C97">
        <w:rPr>
          <w:rFonts w:eastAsiaTheme="minorEastAsia"/>
          <w:lang w:val="en-US" w:eastAsia="zh-CN"/>
        </w:rPr>
        <w:t>, SI</w:t>
      </w:r>
      <w:r w:rsidRPr="00A17C97">
        <w:rPr>
          <w:rFonts w:eastAsiaTheme="minorEastAsia"/>
          <w:lang w:val="en-US" w:eastAsia="zh-CN"/>
        </w:rPr>
        <w:t>), where the rapid charge extraction process can still be maintained well after prolonged operation when dimer stabilizers were introduced</w:t>
      </w:r>
      <w:r w:rsidRPr="00A17C97">
        <w:rPr>
          <w:rFonts w:eastAsiaTheme="minorEastAsia" w:hint="eastAsia"/>
          <w:lang w:val="en-US" w:eastAsia="zh-CN"/>
        </w:rPr>
        <w:t>.</w:t>
      </w:r>
    </w:p>
    <w:p w14:paraId="4F102078" w14:textId="1A254AE1" w:rsidR="002E0BD3" w:rsidRPr="00A17C97" w:rsidRDefault="002E0BD3" w:rsidP="006960F3">
      <w:pPr>
        <w:spacing w:line="360" w:lineRule="auto"/>
        <w:ind w:firstLine="708"/>
        <w:jc w:val="both"/>
        <w:rPr>
          <w:rFonts w:eastAsiaTheme="minorEastAsia"/>
          <w:lang w:val="en-US" w:eastAsia="zh-CN"/>
        </w:rPr>
      </w:pPr>
      <w:r w:rsidRPr="00A17C97">
        <w:rPr>
          <w:rFonts w:eastAsiaTheme="minorEastAsia"/>
          <w:lang w:val="en-US" w:eastAsia="zh-CN"/>
        </w:rPr>
        <w:t xml:space="preserve">The rapid increase of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lang w:val="en-US" w:eastAsia="zh-CN"/>
        </w:rPr>
        <w:t xml:space="preserve"> is also an important reason causing performance loss in OSCs</w:t>
      </w:r>
      <w:r w:rsidRPr="00A17C97">
        <w:rPr>
          <w:rFonts w:eastAsiaTheme="minorEastAsia" w:hint="eastAsia"/>
          <w:lang w:val="en-US" w:eastAsia="zh-CN"/>
        </w:rPr>
        <w:t>.</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{"citationID":"tzTLaQE3","properties":{"formattedCitation":"\\super [50]\\nosupersub{}","plainCitation":"[50]","noteIndex":0},"citationItems":[{"id":32,"uris":["http://zotero.org/users/10832941/items/5AVVCPQJ"],"itemData":{"id":32,"type":"article-journal","abstract":"Abstract\n            \n              Power conversion efficiency and long-term stability are two critical metrics for evaluating the commercial potential of organic photovoltaics. Although the field has witnessed a rapid progress of efficiency towards 19%, the intrinsic trade-off between efficiency and stability is still a challenging issue for bulk-heterojunction cells due to the very delicate crystallization dynamics of organic species. Herein, we developed a class of non-fullerene acceptors with varied side groups as an alternative to aliphatic chains. Among them, the acceptors with conjugated side groups show larger side-group torsion and more twisted backbone, however, they can deliver an efficiency as high as 18.3% in xylene-processed cells, which is among the highest values reported for non-halogenated solvent processed cells. Meanwhile, decent thermal/photo stability is realized for these acceptors containing conjugated side groups. Through the investigation of the geometry\n              –\n              performance\n              –\n              stability relationship, we highlight the importance of side-group steric hinderance of acceptors in achieving combined high-performance, stable, and eco-friendly organic photovoltaics.","container-title":"Nature Communications","ISSN":"2041-1723","issue":"1","journalAbbreviation":"Nat. Commun.","language":"en","page":"5946","source":"DOI.org (Crossref)","title":"Importance of structural hinderance in performance–stability equilibrium of organic photovoltaics","volume":"13","author":[{"family":"Fan","given":"Baobing"},{"family":"Gao","given":"Wei"},{"family":"Wu","given":"Xuanhao"},{"family":"Xia","given":"Xinxin"},{"family":"Wu","given":"Yue"},{"family":"Lin","given":"Francis R."},{"family":"Fan","given":"Qunping"},{"family":"Lu","given":"Xinhui"},{"family":"Li","given":"Wen Jung"},{"family":"Ma","given":"Wei"},{"family":"Jen","given":"Alex K.-Y."}],"issued":{"date-parts":[["2022",10,8]]}}}],"schema":"https://github.com/citation-style-language/schema/raw/master/csl-citation.json"}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[50]</w:t>
      </w:r>
      <w:r w:rsidRPr="00A17C97">
        <w:rPr>
          <w:rFonts w:eastAsiaTheme="minorEastAsia"/>
          <w:lang w:eastAsia="zh-CN"/>
        </w:rPr>
        <w:fldChar w:fldCharType="end"/>
      </w:r>
      <w:r w:rsidRPr="00A17C97">
        <w:rPr>
          <w:rFonts w:eastAsiaTheme="minorEastAsia"/>
          <w:lang w:val="en-US" w:eastAsia="zh-CN"/>
        </w:rPr>
        <w:t xml:space="preserve"> In Photo-CELIV characterizations, the increased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lang w:val="en-US" w:eastAsia="zh-CN"/>
        </w:rPr>
        <w:t xml:space="preserve"> can result in dispersive transport</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{"citationID":"kTc1NthF","properties":{"formattedCitation":"\\super [51]\\nosupersub{}","plainCitation":"[51]","noteIndex":0},"citationItems":[{"id":70,"uris":["http://zotero.org/users/10832941/items/TEHSVB7I"],"itemData":{"id":70,"type":"article-journal","container-title":"Joule","ISSN":"25424351","issue":"1","journalAbbreviation":"Joule","language":"en","page":"215-226","source":"DOI.org (Crossref)","title":"Efficient Polymer Solar Cells Based on Non-fullerene Acceptors with Potential Device Lifetime Approaching 10 Years","volume":"3","author":[{"family":"Du","given":"Xiaoyan"},{"family":"Heumueller","given":"Thomas"},{"family":"Gruber","given":"Wolfgang"},{"family":"Classen","given":"Andrej"},{"family":"Unruh","given":"Tobias"},{"family":"Li","given":"Ning"},{"family":"Brabec","given":"Christoph J."}],"issued":{"date-parts":[["2019",1]]}}}],"schema":"https://github.com/citation-style-language/schema/raw/master/csl-citation.json"}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[51]</w:t>
      </w:r>
      <w:r w:rsidRPr="00A17C97">
        <w:rPr>
          <w:rFonts w:eastAsiaTheme="minorEastAsia"/>
          <w:lang w:eastAsia="zh-CN"/>
        </w:rPr>
        <w:fldChar w:fldCharType="end"/>
      </w:r>
      <w:r w:rsidRPr="00A17C97">
        <w:rPr>
          <w:rFonts w:eastAsiaTheme="minorEastAsia"/>
          <w:lang w:val="en-US" w:eastAsia="zh-CN"/>
        </w:rPr>
        <w:t xml:space="preserve"> and a longer delay time (</w:t>
      </w:r>
      <w:r w:rsidRPr="00A17C97">
        <w:rPr>
          <w:rFonts w:eastAsiaTheme="minorEastAsia"/>
          <w:i/>
          <w:iCs/>
          <w:lang w:val="en-US" w:eastAsia="zh-CN"/>
        </w:rPr>
        <w:t>t</w:t>
      </w:r>
      <w:r w:rsidRPr="00A17C97">
        <w:rPr>
          <w:rFonts w:eastAsiaTheme="minorEastAsia"/>
          <w:vertAlign w:val="subscript"/>
          <w:lang w:val="en-US" w:eastAsia="zh-CN"/>
        </w:rPr>
        <w:t>d</w:t>
      </w:r>
      <w:r w:rsidRPr="00A17C97">
        <w:rPr>
          <w:rFonts w:eastAsiaTheme="minorEastAsia"/>
          <w:lang w:val="en-US" w:eastAsia="zh-CN"/>
        </w:rPr>
        <w:t>).</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{"citationID":"0o06d5xA","properties":{"formattedCitation":"\\super [52,53]\\nosupersub{}","plainCitation":"[52,53]","noteIndex":0},"citationItems":[{"id":1447,"uris":["http://zotero.org/users/10832941/items/SWLYWBP6"],"itemData":{"id":1447,"type":"article-journal","container-title":"Advanced Materials","ISSN":"09359648","issue":"32","journalAbbreviation":"Adv. Mater.","language":"en","page":"4381-4386","source":"DOI.org (Crossref)","title":"A New Approach for Probing the Mobility and Lifetime of Photogenerated Charge Carriers in Organic Solar Cells Under Real Operating Conditions","volume":"24","author":[{"family":"Baumann","given":"A."},{"family":"Lorrmann","given":"J."},{"family":"Rauh","given":"D."},{"family":"Deibel","given":"C."},{"family":"Dyakonov","given":"V."}],"issued":{"date-parts":[["2012",8,22]]}},"label":"page"},{"id":1473,"uris":["http://zotero.org/users/10832941/items/JDT4S2CN"],"itemData":{"id":1473,"type":"article-journal","container-title":"Polymer International","DOI":"10.1002/pi.5274","ISSN":"09598103","issue":"1","journalAbbreviation":"Polym. Int.","language":"en","page":"13-25","source":"DOI.org (Crossref)","title":"Charge transport and its characterization using photo-CELIV in bulk heterojunction solar cells: Photo-CELIV to probe charge transport in solar cells","title-short":"Charge transport and its characterization using photo-CELIV in bulk heterojunction solar cells","volume":"66","author":[{"family":"Stephen","given":"Meera"},{"family":"Genevičius","given":"Kristijonas"},{"family":"Juška","given":"Gytis"},{"family":"Arlauskas","given":"Kestutis"},{"family":"Hiorns","given":"Roger C"}],"issued":{"date-parts":[["2017",1]]}},"label":"page"}],"schema":"https://github.com/citation-style-language/schema/raw/master/csl-citation.json"}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[52,53]</w:t>
      </w:r>
      <w:r w:rsidRPr="00A17C97">
        <w:rPr>
          <w:rFonts w:eastAsiaTheme="minorEastAsia"/>
          <w:lang w:eastAsia="zh-CN"/>
        </w:rPr>
        <w:fldChar w:fldCharType="end"/>
      </w:r>
      <w:r w:rsidRPr="00A17C97">
        <w:rPr>
          <w:rFonts w:eastAsiaTheme="minorEastAsia"/>
          <w:lang w:val="en-US" w:eastAsia="zh-CN"/>
        </w:rPr>
        <w:t xml:space="preserve"> As displayed in </w:t>
      </w:r>
      <w:r w:rsidRPr="00A17C97">
        <w:rPr>
          <w:rFonts w:eastAsiaTheme="minorEastAsia"/>
          <w:b/>
          <w:bCs/>
          <w:lang w:val="en-US" w:eastAsia="zh-CN"/>
        </w:rPr>
        <w:t>Figure 3d</w:t>
      </w:r>
      <w:r w:rsidRPr="00A17C97">
        <w:rPr>
          <w:rFonts w:eastAsiaTheme="minorEastAsia"/>
          <w:lang w:val="en-US" w:eastAsia="zh-CN"/>
        </w:rPr>
        <w:t xml:space="preserve">, the aged D18/BTP-eC9 </w:t>
      </w:r>
      <w:r w:rsidRPr="00A17C97">
        <w:rPr>
          <w:rFonts w:eastAsiaTheme="minorEastAsia" w:hint="eastAsia"/>
          <w:lang w:val="en-US" w:eastAsia="zh-CN"/>
        </w:rPr>
        <w:t>de</w:t>
      </w:r>
      <w:r w:rsidRPr="00A17C97">
        <w:rPr>
          <w:rFonts w:eastAsiaTheme="minorEastAsia"/>
          <w:lang w:val="en-US" w:eastAsia="zh-CN"/>
        </w:rPr>
        <w:t xml:space="preserve">vice exhibits a broader CELIV curve and longer </w:t>
      </w:r>
      <w:r w:rsidRPr="00A17C97">
        <w:rPr>
          <w:rFonts w:eastAsiaTheme="minorEastAsia"/>
          <w:i/>
          <w:iCs/>
          <w:lang w:val="en-US" w:eastAsia="zh-CN"/>
        </w:rPr>
        <w:t>t</w:t>
      </w:r>
      <w:r w:rsidRPr="00A17C97">
        <w:rPr>
          <w:rFonts w:eastAsiaTheme="minorEastAsia"/>
          <w:vertAlign w:val="subscript"/>
          <w:lang w:val="en-US" w:eastAsia="zh-CN"/>
        </w:rPr>
        <w:t>d</w:t>
      </w:r>
      <w:r w:rsidRPr="00A17C97">
        <w:rPr>
          <w:rFonts w:eastAsiaTheme="minorEastAsia"/>
          <w:lang w:val="en-US" w:eastAsia="zh-CN"/>
        </w:rPr>
        <w:t xml:space="preserve"> than that of the fresh binary device, indicating higher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lang w:val="en-US" w:eastAsia="zh-CN"/>
        </w:rPr>
        <w:t xml:space="preserve"> caused by the morphological evolution. In contrast, similar CELIV curves and </w:t>
      </w:r>
      <w:proofErr w:type="spellStart"/>
      <w:r w:rsidRPr="00A17C97">
        <w:rPr>
          <w:rFonts w:eastAsiaTheme="minorEastAsia"/>
          <w:i/>
          <w:iCs/>
          <w:lang w:val="en-US" w:eastAsia="zh-CN"/>
        </w:rPr>
        <w:t>t</w:t>
      </w:r>
      <w:r w:rsidRPr="00A17C97">
        <w:rPr>
          <w:rFonts w:eastAsiaTheme="minorEastAsia"/>
          <w:vertAlign w:val="subscript"/>
          <w:lang w:val="en-US" w:eastAsia="zh-CN"/>
        </w:rPr>
        <w:t>d</w:t>
      </w:r>
      <w:r w:rsidRPr="00A17C97">
        <w:rPr>
          <w:rFonts w:eastAsiaTheme="minorEastAsia"/>
          <w:lang w:val="en-US" w:eastAsia="zh-CN"/>
        </w:rPr>
        <w:t>s</w:t>
      </w:r>
      <w:proofErr w:type="spellEnd"/>
      <w:r w:rsidRPr="00A17C97">
        <w:rPr>
          <w:rFonts w:eastAsiaTheme="minorEastAsia"/>
          <w:lang w:val="en-US" w:eastAsia="zh-CN"/>
        </w:rPr>
        <w:t xml:space="preserve"> of fresh and aged ternary devices with dimer stabilizers indicate that retarded molecular diffusion and enhanced morphological stability can help maintain the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lang w:val="en-US" w:eastAsia="zh-CN"/>
        </w:rPr>
        <w:t xml:space="preserve"> of devices at a relatively low level. Further Mott-Schottky analysis quantitatively analyzed the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lang w:val="en-US" w:eastAsia="zh-CN"/>
        </w:rPr>
        <w:t xml:space="preserve"> of aged devices (Figure S2</w:t>
      </w:r>
      <w:r w:rsidR="009C43B1" w:rsidRPr="00A17C97">
        <w:rPr>
          <w:rFonts w:eastAsiaTheme="minorEastAsia"/>
          <w:lang w:val="en-US" w:eastAsia="zh-CN"/>
        </w:rPr>
        <w:t>1</w:t>
      </w:r>
      <w:r w:rsidR="00886BD4" w:rsidRPr="00A17C97">
        <w:rPr>
          <w:rFonts w:eastAsiaTheme="minorEastAsia"/>
          <w:lang w:val="en-US" w:eastAsia="zh-CN"/>
        </w:rPr>
        <w:t>, SI</w:t>
      </w:r>
      <w:r w:rsidRPr="00A17C97">
        <w:rPr>
          <w:rFonts w:eastAsiaTheme="minorEastAsia"/>
          <w:lang w:val="en-US" w:eastAsia="zh-CN"/>
        </w:rPr>
        <w:t xml:space="preserve">), showing results agree well with that obtained from Photo-CELIV. Benefiting from dimer stabilizer regulated thermal transitions in blends, the retarded SMNFAs diffusion and the optimized crystallization can further enhance the morphological stability of active layer and maintain low-level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vertAlign w:val="subscript"/>
          <w:lang w:val="en-US" w:eastAsia="zh-CN"/>
        </w:rPr>
        <w:t xml:space="preserve"> </w:t>
      </w:r>
      <w:r w:rsidRPr="00A17C97">
        <w:rPr>
          <w:rFonts w:eastAsiaTheme="minorEastAsia"/>
          <w:lang w:val="en-US" w:eastAsia="zh-CN"/>
        </w:rPr>
        <w:t xml:space="preserve">to realize negligible burn-in loss. </w:t>
      </w:r>
    </w:p>
    <w:p w14:paraId="41A7CD9F" w14:textId="0FFFAA6F" w:rsidR="002A5479" w:rsidRPr="00A17C97" w:rsidRDefault="002E0BD3" w:rsidP="006960F3">
      <w:pPr>
        <w:spacing w:line="360" w:lineRule="auto"/>
        <w:ind w:firstLine="708"/>
        <w:jc w:val="both"/>
        <w:rPr>
          <w:rFonts w:eastAsiaTheme="minorEastAsia"/>
          <w:lang w:val="en-US" w:eastAsia="zh-CN"/>
        </w:rPr>
      </w:pPr>
      <w:r w:rsidRPr="00A17C97">
        <w:rPr>
          <w:rFonts w:eastAsiaTheme="minorEastAsia"/>
          <w:lang w:val="en-US" w:eastAsia="zh-CN"/>
        </w:rPr>
        <w:t xml:space="preserve">Transient absorption spectroscopy (TAS) characterizations were performed to understand the photophysical processes in active layer for reducing burn-in loss. As shown in </w:t>
      </w:r>
      <w:r w:rsidRPr="00A17C97">
        <w:rPr>
          <w:rFonts w:eastAsiaTheme="minorEastAsia"/>
          <w:b/>
          <w:bCs/>
          <w:lang w:val="en-US" w:eastAsia="zh-CN"/>
        </w:rPr>
        <w:t xml:space="preserve">Figures 3h-i </w:t>
      </w:r>
      <w:r w:rsidRPr="00A17C97">
        <w:rPr>
          <w:rFonts w:eastAsiaTheme="minorEastAsia"/>
          <w:lang w:val="en-US" w:eastAsia="zh-CN"/>
        </w:rPr>
        <w:t>and Figures S2</w:t>
      </w:r>
      <w:r w:rsidR="009C43B1" w:rsidRPr="00A17C97">
        <w:rPr>
          <w:rFonts w:eastAsiaTheme="minorEastAsia"/>
          <w:lang w:val="en-US" w:eastAsia="zh-CN"/>
        </w:rPr>
        <w:t>2</w:t>
      </w:r>
      <w:r w:rsidRPr="00A17C97">
        <w:rPr>
          <w:rFonts w:eastAsiaTheme="minorEastAsia"/>
          <w:lang w:val="en-US" w:eastAsia="zh-CN"/>
        </w:rPr>
        <w:t>-2</w:t>
      </w:r>
      <w:r w:rsidR="009C43B1" w:rsidRPr="00A17C97">
        <w:rPr>
          <w:rFonts w:eastAsiaTheme="minorEastAsia"/>
          <w:lang w:val="en-US" w:eastAsia="zh-CN"/>
        </w:rPr>
        <w:t>3</w:t>
      </w:r>
      <w:r w:rsidR="00886BD4" w:rsidRPr="00A17C97">
        <w:rPr>
          <w:rFonts w:eastAsiaTheme="minorEastAsia"/>
          <w:lang w:val="en-US" w:eastAsia="zh-CN"/>
        </w:rPr>
        <w:t xml:space="preserve"> (SI)</w:t>
      </w:r>
      <w:r w:rsidRPr="00A17C97">
        <w:rPr>
          <w:rFonts w:eastAsiaTheme="minorEastAsia"/>
          <w:lang w:val="en-US" w:eastAsia="zh-CN"/>
        </w:rPr>
        <w:t>, a 750 nm laser was utilized to selectively pump the acceptor to trigger the hole transfer from the acceptor to the donor, where the ground-state bleaching (GSB) signal of the donor was observed at 595 nm. The kinetics of the donor GSB signal (</w:t>
      </w:r>
      <w:r w:rsidRPr="00A17C97">
        <w:rPr>
          <w:rFonts w:eastAsiaTheme="minorEastAsia"/>
          <w:b/>
          <w:bCs/>
          <w:lang w:val="en-US" w:eastAsia="zh-CN"/>
        </w:rPr>
        <w:t>Figures 3j-k</w:t>
      </w:r>
      <w:r w:rsidRPr="00A17C97">
        <w:rPr>
          <w:rFonts w:eastAsiaTheme="minorEastAsia"/>
          <w:lang w:val="en-US" w:eastAsia="zh-CN"/>
        </w:rPr>
        <w:t xml:space="preserve">) were fitted to obtain two parameters, </w:t>
      </w:r>
      <w:r w:rsidRPr="00A17C97">
        <w:rPr>
          <w:rFonts w:eastAsiaTheme="minorEastAsia"/>
          <w:i/>
          <w:iCs/>
          <w:lang w:val="en-US" w:eastAsia="zh-CN"/>
        </w:rPr>
        <w:t>t</w:t>
      </w:r>
      <w:r w:rsidRPr="00A17C97">
        <w:rPr>
          <w:rFonts w:eastAsiaTheme="minorEastAsia"/>
          <w:vertAlign w:val="subscript"/>
          <w:lang w:val="en-US" w:eastAsia="zh-CN"/>
        </w:rPr>
        <w:t>1</w:t>
      </w:r>
      <w:r w:rsidRPr="00A17C97">
        <w:rPr>
          <w:rFonts w:eastAsiaTheme="minorEastAsia"/>
          <w:lang w:val="en-US" w:eastAsia="zh-CN"/>
        </w:rPr>
        <w:t xml:space="preserve"> and </w:t>
      </w:r>
      <w:r w:rsidRPr="00A17C97">
        <w:rPr>
          <w:rFonts w:eastAsiaTheme="minorEastAsia"/>
          <w:i/>
          <w:iCs/>
          <w:lang w:val="en-US" w:eastAsia="zh-CN"/>
        </w:rPr>
        <w:t>t</w:t>
      </w:r>
      <w:r w:rsidRPr="00A17C97">
        <w:rPr>
          <w:rFonts w:eastAsiaTheme="minorEastAsia"/>
          <w:vertAlign w:val="subscript"/>
          <w:lang w:val="en-US" w:eastAsia="zh-CN"/>
        </w:rPr>
        <w:t>2</w:t>
      </w:r>
      <w:r w:rsidRPr="00A17C97">
        <w:rPr>
          <w:rFonts w:eastAsiaTheme="minorEastAsia"/>
          <w:lang w:val="en-US" w:eastAsia="zh-CN"/>
        </w:rPr>
        <w:t>, corresponding to the exciton generation and diffusion,</w:t>
      </w:r>
      <w:r w:rsidRPr="00A17C97">
        <w:rPr>
          <w:rFonts w:eastAsiaTheme="minorEastAsia"/>
          <w:lang w:val="en-US" w:eastAsia="zh-CN"/>
        </w:rPr>
        <w:fldChar w:fldCharType="begin"/>
      </w:r>
      <w:r w:rsidR="00F51B55" w:rsidRPr="00A17C97">
        <w:rPr>
          <w:rFonts w:eastAsiaTheme="minorEastAsia"/>
          <w:lang w:val="en-US" w:eastAsia="zh-CN"/>
        </w:rPr>
        <w:instrText xml:space="preserve"> ADDIN ZOTERO_ITEM CSL_CITATION {"citationID":"TXz5b4fw","properties":{"formattedCitation":"\\super [54]\\nosupersub{}","plainCitation":"[54]","noteIndex":0},"citationItems":[{"id":64,"uris":["http://zotero.org/users/10832941/items/XZ9L35IE"],"itemData":{"id":64,"type":"article-journal","container-title":"Angewandte Chemie International Edition","ISSN":"1433-7851, 1521-3773","issue":"50","journalAbbreviation":"Angew Chem. Int. Ed.","language":"en","page":"e202213252","source":"DOI.org (Crossref)","title":</w:instrText>
      </w:r>
      <w:r w:rsidR="00F51B55" w:rsidRPr="00A17C97">
        <w:rPr>
          <w:rFonts w:eastAsiaTheme="minorEastAsia" w:hint="eastAsia"/>
          <w:lang w:val="en-US" w:eastAsia="zh-CN"/>
        </w:rPr>
        <w:instrText>"Wide Band</w:instrText>
      </w:r>
      <w:r w:rsidR="00F51B55" w:rsidRPr="00A17C97">
        <w:rPr>
          <w:rFonts w:eastAsiaTheme="minorEastAsia" w:hint="eastAsia"/>
          <w:lang w:val="en-US" w:eastAsia="zh-CN"/>
        </w:rPr>
        <w:instrText>‐</w:instrText>
      </w:r>
      <w:r w:rsidR="00F51B55" w:rsidRPr="00A17C97">
        <w:rPr>
          <w:rFonts w:eastAsiaTheme="minorEastAsia" w:hint="eastAsia"/>
          <w:lang w:val="en-US" w:eastAsia="zh-CN"/>
        </w:rPr>
        <w:instrText>Gap Polymer Donors Functionalized with Unconventional Carbamate Side Chains for Polymer Solar Cells","volume":"61","author":[{"family":"Tang","given":"Jie"},{"family":"Liao","given":"Chentong"},{"family":"Duan","given":"Yuwei"},{"family":"Xu","</w:instrText>
      </w:r>
      <w:r w:rsidR="00F51B55" w:rsidRPr="00A17C97">
        <w:rPr>
          <w:rFonts w:eastAsiaTheme="minorEastAsia"/>
          <w:lang w:val="en-US" w:eastAsia="zh-CN"/>
        </w:rPr>
        <w:instrText xml:space="preserve">given":"Xiaopeng"},{"family":"Deng","given":"Min"},{"family":"Yu","given":"Liyang"},{"family":"Li","given":"Ruipeng"},{"family":"Peng","given":"Qiang"}],"issued":{"date-parts":[["2022",12,12]]}}}],"schema":"https://github.com/citation-style-language/schema/raw/master/csl-citation.json"} </w:instrText>
      </w:r>
      <w:r w:rsidRPr="00A17C97">
        <w:rPr>
          <w:rFonts w:eastAsiaTheme="minorEastAsia"/>
          <w:lang w:val="en-US" w:eastAsia="zh-CN"/>
        </w:rPr>
        <w:fldChar w:fldCharType="separate"/>
      </w:r>
      <w:r w:rsidR="00F51B55" w:rsidRPr="00A17C97">
        <w:rPr>
          <w:vertAlign w:val="superscript"/>
        </w:rPr>
        <w:t>[54]</w:t>
      </w:r>
      <w:r w:rsidRPr="00A17C97">
        <w:rPr>
          <w:rFonts w:eastAsiaTheme="minorEastAsia"/>
          <w:lang w:eastAsia="zh-CN"/>
        </w:rPr>
        <w:fldChar w:fldCharType="end"/>
      </w:r>
      <w:r w:rsidRPr="00A17C97">
        <w:rPr>
          <w:rFonts w:eastAsiaTheme="minorEastAsia"/>
          <w:lang w:val="en-US" w:eastAsia="zh-CN"/>
        </w:rPr>
        <w:t xml:space="preserve"> respectively. Among them, the excitons diffusion to the interface is affected by phase separation and morphology of the PMHJ layer, thereby revealing morphology-related information.</w:t>
      </w:r>
      <w:bookmarkStart w:id="15" w:name="_Hlk157886706"/>
      <w:r w:rsidRPr="00A17C97">
        <w:rPr>
          <w:rFonts w:eastAsiaTheme="minorEastAsia"/>
          <w:lang w:val="en-US" w:eastAsia="zh-CN"/>
        </w:rPr>
        <w:t xml:space="preserve"> As summarized in Table S3</w:t>
      </w:r>
      <w:r w:rsidR="00886BD4" w:rsidRPr="00A17C97">
        <w:rPr>
          <w:rFonts w:eastAsiaTheme="minorEastAsia"/>
          <w:lang w:val="en-US" w:eastAsia="zh-CN"/>
        </w:rPr>
        <w:t xml:space="preserve"> (SI)</w:t>
      </w:r>
      <w:r w:rsidRPr="00A17C97">
        <w:rPr>
          <w:rFonts w:eastAsiaTheme="minorEastAsia"/>
          <w:lang w:val="en-US" w:eastAsia="zh-CN"/>
        </w:rPr>
        <w:t xml:space="preserve">, the longer </w:t>
      </w:r>
      <w:r w:rsidRPr="00A17C97">
        <w:rPr>
          <w:rFonts w:eastAsiaTheme="minorEastAsia"/>
          <w:i/>
          <w:iCs/>
          <w:lang w:val="en-US" w:eastAsia="zh-CN"/>
        </w:rPr>
        <w:t>t</w:t>
      </w:r>
      <w:r w:rsidRPr="00A17C97">
        <w:rPr>
          <w:rFonts w:eastAsiaTheme="minorEastAsia"/>
          <w:vertAlign w:val="subscript"/>
          <w:lang w:val="en-US" w:eastAsia="zh-CN"/>
        </w:rPr>
        <w:t>2</w:t>
      </w:r>
      <w:r w:rsidRPr="00A17C97">
        <w:rPr>
          <w:rFonts w:eastAsiaTheme="minorEastAsia"/>
          <w:lang w:val="en-US" w:eastAsia="zh-CN"/>
        </w:rPr>
        <w:t xml:space="preserve"> (16.53 ps / 13.78 ps) of fresh/aged films containing the </w:t>
      </w:r>
      <w:r w:rsidRPr="00A17C97">
        <w:rPr>
          <w:rFonts w:eastAsiaTheme="minorEastAsia"/>
          <w:i/>
          <w:iCs/>
          <w:lang w:val="en-US" w:eastAsia="zh-CN"/>
        </w:rPr>
        <w:t>d</w:t>
      </w:r>
      <w:r w:rsidRPr="00A17C97">
        <w:rPr>
          <w:rFonts w:eastAsiaTheme="minorEastAsia"/>
          <w:lang w:val="en-US" w:eastAsia="zh-CN"/>
        </w:rPr>
        <w:t xml:space="preserve">BTP-ThC4 than those of </w:t>
      </w:r>
      <w:r w:rsidR="00466686" w:rsidRPr="00A17C97">
        <w:rPr>
          <w:rFonts w:eastAsiaTheme="minorEastAsia"/>
          <w:lang w:val="en-US" w:eastAsia="zh-CN"/>
        </w:rPr>
        <w:t xml:space="preserve">D18/BTP-eC9 </w:t>
      </w:r>
      <w:r w:rsidRPr="00A17C97">
        <w:rPr>
          <w:rFonts w:eastAsiaTheme="minorEastAsia"/>
          <w:lang w:val="en-US" w:eastAsia="zh-CN"/>
        </w:rPr>
        <w:t>films (15.34 ps / 9.72 ps) illustrates longer exciton lifetime</w:t>
      </w:r>
      <w:r w:rsidR="002A5479" w:rsidRPr="00A17C97">
        <w:rPr>
          <w:rFonts w:eastAsiaTheme="minorEastAsia"/>
          <w:lang w:val="en-US" w:eastAsia="zh-CN"/>
        </w:rPr>
        <w:t xml:space="preserve"> in</w:t>
      </w:r>
      <w:r w:rsidRPr="00A17C97">
        <w:rPr>
          <w:rFonts w:eastAsiaTheme="minorEastAsia"/>
          <w:lang w:val="en-US" w:eastAsia="zh-CN"/>
        </w:rPr>
        <w:t xml:space="preserve"> </w:t>
      </w:r>
      <w:r w:rsidR="003F0319" w:rsidRPr="00A17C97">
        <w:rPr>
          <w:rFonts w:eastAsiaTheme="minorEastAsia"/>
          <w:lang w:val="en-US" w:eastAsia="zh-CN"/>
        </w:rPr>
        <w:t xml:space="preserve">the </w:t>
      </w:r>
      <w:r w:rsidR="002A5479" w:rsidRPr="00A17C97">
        <w:rPr>
          <w:rFonts w:eastAsiaTheme="minorEastAsia"/>
          <w:lang w:val="en-US" w:eastAsia="zh-CN"/>
        </w:rPr>
        <w:t>ternary film with</w:t>
      </w:r>
      <w:r w:rsidR="0029155F" w:rsidRPr="00A17C97">
        <w:rPr>
          <w:rFonts w:eastAsiaTheme="minorEastAsia"/>
          <w:lang w:val="en-US" w:eastAsia="zh-CN"/>
        </w:rPr>
        <w:t xml:space="preserve"> </w:t>
      </w:r>
      <w:r w:rsidR="0029155F" w:rsidRPr="00A17C97">
        <w:rPr>
          <w:rFonts w:eastAsiaTheme="minorEastAsia" w:hint="eastAsia"/>
          <w:lang w:val="en-US" w:eastAsia="zh-CN"/>
        </w:rPr>
        <w:t>a</w:t>
      </w:r>
      <w:r w:rsidR="002A5479" w:rsidRPr="00A17C97">
        <w:rPr>
          <w:rFonts w:eastAsiaTheme="minorEastAsia"/>
          <w:lang w:val="en-US" w:eastAsia="zh-CN"/>
        </w:rPr>
        <w:t xml:space="preserve"> dimer stabilizer, which </w:t>
      </w:r>
      <w:r w:rsidR="003F0319" w:rsidRPr="00A17C97">
        <w:rPr>
          <w:rFonts w:eastAsiaTheme="minorEastAsia"/>
          <w:lang w:val="en-US" w:eastAsia="zh-CN"/>
        </w:rPr>
        <w:t>is</w:t>
      </w:r>
      <w:r w:rsidR="002A5479" w:rsidRPr="00A17C97">
        <w:rPr>
          <w:rFonts w:eastAsiaTheme="minorEastAsia"/>
          <w:lang w:val="en-US" w:eastAsia="zh-CN"/>
        </w:rPr>
        <w:t xml:space="preserve"> </w:t>
      </w:r>
      <w:r w:rsidR="00A80F80" w:rsidRPr="00A17C97">
        <w:rPr>
          <w:rFonts w:eastAsiaTheme="minorEastAsia"/>
          <w:lang w:val="en-US" w:eastAsia="zh-CN"/>
        </w:rPr>
        <w:t>also corroborated</w:t>
      </w:r>
      <w:r w:rsidR="002A5479" w:rsidRPr="00A17C97">
        <w:rPr>
          <w:rFonts w:eastAsiaTheme="minorEastAsia"/>
          <w:lang w:val="en-US" w:eastAsia="zh-CN"/>
        </w:rPr>
        <w:t xml:space="preserve"> by the time-resolved </w:t>
      </w:r>
      <w:r w:rsidR="002A5479" w:rsidRPr="00A17C97">
        <w:rPr>
          <w:rFonts w:eastAsiaTheme="minorEastAsia"/>
          <w:iCs/>
          <w:lang w:val="en-US" w:eastAsia="zh-CN"/>
        </w:rPr>
        <w:t>photoluminescence (TRPL) of acceptor films</w:t>
      </w:r>
      <w:r w:rsidR="00A80F80" w:rsidRPr="00A17C97">
        <w:rPr>
          <w:rFonts w:eastAsiaTheme="minorEastAsia"/>
          <w:iCs/>
          <w:lang w:val="en-US" w:eastAsia="zh-CN"/>
        </w:rPr>
        <w:t xml:space="preserve"> as</w:t>
      </w:r>
      <w:r w:rsidR="002A5479" w:rsidRPr="00A17C97">
        <w:rPr>
          <w:rFonts w:eastAsiaTheme="minorEastAsia"/>
          <w:iCs/>
          <w:lang w:val="en-US" w:eastAsia="zh-CN"/>
        </w:rPr>
        <w:t xml:space="preserve"> displayed in Figure S24 (SI). This result further </w:t>
      </w:r>
      <w:r w:rsidR="003F0319" w:rsidRPr="00A17C97">
        <w:rPr>
          <w:rFonts w:eastAsiaTheme="minorEastAsia"/>
          <w:iCs/>
          <w:lang w:val="en-US" w:eastAsia="zh-CN"/>
        </w:rPr>
        <w:t>illustrates</w:t>
      </w:r>
      <w:r w:rsidR="002A5479" w:rsidRPr="00A17C97">
        <w:rPr>
          <w:rFonts w:eastAsiaTheme="minorEastAsia"/>
          <w:iCs/>
          <w:lang w:val="en-US" w:eastAsia="zh-CN"/>
        </w:rPr>
        <w:t xml:space="preserve"> that ternary film</w:t>
      </w:r>
      <w:r w:rsidR="003F0319" w:rsidRPr="00A17C97">
        <w:rPr>
          <w:rFonts w:eastAsiaTheme="minorEastAsia"/>
          <w:iCs/>
          <w:lang w:val="en-US" w:eastAsia="zh-CN"/>
        </w:rPr>
        <w:t>s containing dimer stabilizers</w:t>
      </w:r>
      <w:r w:rsidR="002A5479" w:rsidRPr="00A17C97">
        <w:rPr>
          <w:rFonts w:eastAsiaTheme="minorEastAsia"/>
          <w:iCs/>
          <w:lang w:val="en-US" w:eastAsia="zh-CN"/>
        </w:rPr>
        <w:t xml:space="preserve"> ha</w:t>
      </w:r>
      <w:r w:rsidR="003F0319" w:rsidRPr="00A17C97">
        <w:rPr>
          <w:rFonts w:eastAsiaTheme="minorEastAsia"/>
          <w:iCs/>
          <w:lang w:val="en-US" w:eastAsia="zh-CN"/>
        </w:rPr>
        <w:t>ve</w:t>
      </w:r>
      <w:r w:rsidR="002A5479" w:rsidRPr="00A17C97">
        <w:rPr>
          <w:rFonts w:eastAsiaTheme="minorEastAsia"/>
          <w:iCs/>
          <w:lang w:val="en-US" w:eastAsia="zh-CN"/>
        </w:rPr>
        <w:t xml:space="preserve"> </w:t>
      </w:r>
      <w:r w:rsidR="00ED47D0" w:rsidRPr="00A17C97">
        <w:rPr>
          <w:rFonts w:eastAsiaTheme="minorEastAsia"/>
          <w:iCs/>
          <w:lang w:val="en-US" w:eastAsia="zh-CN"/>
        </w:rPr>
        <w:t>more favorable</w:t>
      </w:r>
      <w:r w:rsidR="002A5479" w:rsidRPr="00A17C97">
        <w:rPr>
          <w:rFonts w:eastAsiaTheme="minorEastAsia"/>
          <w:iCs/>
          <w:lang w:val="en-US" w:eastAsia="zh-CN"/>
        </w:rPr>
        <w:t xml:space="preserve"> </w:t>
      </w:r>
      <w:r w:rsidR="0029155F" w:rsidRPr="00A17C97">
        <w:rPr>
          <w:rFonts w:eastAsiaTheme="minorEastAsia"/>
          <w:iCs/>
          <w:lang w:val="en-US" w:eastAsia="zh-CN"/>
        </w:rPr>
        <w:t>and robust morphology</w:t>
      </w:r>
      <w:r w:rsidR="002A5479" w:rsidRPr="00A17C97">
        <w:rPr>
          <w:rFonts w:eastAsiaTheme="minorEastAsia"/>
          <w:iCs/>
          <w:lang w:val="en-US" w:eastAsia="zh-CN"/>
        </w:rPr>
        <w:t xml:space="preserve"> than </w:t>
      </w:r>
      <w:r w:rsidR="0029155F" w:rsidRPr="00A17C97">
        <w:rPr>
          <w:rFonts w:eastAsiaTheme="minorEastAsia"/>
          <w:iCs/>
          <w:lang w:val="en-US" w:eastAsia="zh-CN"/>
        </w:rPr>
        <w:t xml:space="preserve">that of </w:t>
      </w:r>
      <w:r w:rsidR="002A5479" w:rsidRPr="00A17C97">
        <w:rPr>
          <w:rFonts w:eastAsiaTheme="minorEastAsia"/>
          <w:iCs/>
          <w:lang w:val="en-US" w:eastAsia="zh-CN"/>
        </w:rPr>
        <w:t xml:space="preserve">D18/BTP-eC9 films, which </w:t>
      </w:r>
      <w:r w:rsidR="0029155F" w:rsidRPr="00A17C97">
        <w:rPr>
          <w:rFonts w:eastAsiaTheme="minorEastAsia"/>
          <w:iCs/>
          <w:lang w:val="en-US" w:eastAsia="zh-CN"/>
        </w:rPr>
        <w:t xml:space="preserve">not only </w:t>
      </w:r>
      <w:r w:rsidR="003F0319" w:rsidRPr="00A17C97">
        <w:rPr>
          <w:rFonts w:eastAsiaTheme="minorEastAsia"/>
          <w:iCs/>
          <w:lang w:val="en-US" w:eastAsia="zh-CN"/>
        </w:rPr>
        <w:t xml:space="preserve">facilitates </w:t>
      </w:r>
      <w:r w:rsidR="00A80F80" w:rsidRPr="00A17C97">
        <w:rPr>
          <w:rFonts w:eastAsiaTheme="minorEastAsia"/>
          <w:iCs/>
          <w:lang w:val="en-US" w:eastAsia="zh-CN"/>
        </w:rPr>
        <w:t>more efficient</w:t>
      </w:r>
      <w:r w:rsidR="003F0319" w:rsidRPr="00A17C97">
        <w:rPr>
          <w:rFonts w:eastAsiaTheme="minorEastAsia"/>
          <w:iCs/>
          <w:lang w:val="en-US" w:eastAsia="zh-CN"/>
        </w:rPr>
        <w:t xml:space="preserve"> charge transport</w:t>
      </w:r>
      <w:r w:rsidR="00D67DB9" w:rsidRPr="00A17C97">
        <w:rPr>
          <w:rFonts w:eastAsiaTheme="minorEastAsia"/>
          <w:iCs/>
          <w:lang w:val="en-US" w:eastAsia="zh-CN"/>
        </w:rPr>
        <w:t xml:space="preserve">, </w:t>
      </w:r>
      <w:r w:rsidR="0029155F" w:rsidRPr="00A17C97">
        <w:rPr>
          <w:rFonts w:eastAsiaTheme="minorEastAsia"/>
          <w:iCs/>
          <w:lang w:val="en-US" w:eastAsia="zh-CN"/>
        </w:rPr>
        <w:t>but</w:t>
      </w:r>
      <w:r w:rsidR="00D67DB9" w:rsidRPr="00A17C97">
        <w:rPr>
          <w:rFonts w:eastAsiaTheme="minorEastAsia"/>
          <w:iCs/>
          <w:lang w:val="en-US" w:eastAsia="zh-CN"/>
        </w:rPr>
        <w:t xml:space="preserve"> also</w:t>
      </w:r>
      <w:r w:rsidR="0029155F" w:rsidRPr="00A17C97">
        <w:rPr>
          <w:rFonts w:eastAsiaTheme="minorEastAsia"/>
          <w:iCs/>
          <w:lang w:val="en-US" w:eastAsia="zh-CN"/>
        </w:rPr>
        <w:t xml:space="preserve"> retains the desirable properties upon aging to</w:t>
      </w:r>
      <w:r w:rsidR="00A80F80" w:rsidRPr="00A17C97">
        <w:rPr>
          <w:rFonts w:eastAsiaTheme="minorEastAsia"/>
          <w:iCs/>
          <w:lang w:val="en-US" w:eastAsia="zh-CN"/>
        </w:rPr>
        <w:t xml:space="preserve"> alleviate</w:t>
      </w:r>
      <w:r w:rsidR="003F0319" w:rsidRPr="00A17C97">
        <w:rPr>
          <w:rFonts w:eastAsiaTheme="minorEastAsia"/>
          <w:iCs/>
          <w:lang w:val="en-US" w:eastAsia="zh-CN"/>
        </w:rPr>
        <w:t xml:space="preserve"> the burn-in loss.</w:t>
      </w:r>
      <w:bookmarkEnd w:id="15"/>
    </w:p>
    <w:bookmarkEnd w:id="14"/>
    <w:p w14:paraId="35A47B47" w14:textId="32291F9C" w:rsidR="006C1256" w:rsidRPr="00BC6E73" w:rsidRDefault="00BC6E73" w:rsidP="006C1256">
      <w:pPr>
        <w:jc w:val="both"/>
        <w:rPr>
          <w:rFonts w:eastAsiaTheme="minorEastAsia"/>
          <w:b/>
          <w:bCs/>
          <w:lang w:eastAsia="zh-CN"/>
        </w:rPr>
      </w:pPr>
      <w:r w:rsidRPr="00BC6E73">
        <w:rPr>
          <w:rFonts w:eastAsiaTheme="minorEastAsia"/>
          <w:b/>
          <w:bCs/>
          <w:noProof/>
          <w:lang w:eastAsia="zh-CN"/>
        </w:rPr>
        <w:lastRenderedPageBreak/>
        <w:drawing>
          <wp:inline distT="0" distB="0" distL="0" distR="0" wp14:anchorId="6EAE666E" wp14:editId="4E3231C7">
            <wp:extent cx="5760720" cy="3717290"/>
            <wp:effectExtent l="0" t="0" r="0" b="0"/>
            <wp:docPr id="163652359" name="图片 1" descr="图表,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2359" name="图片 1" descr="图表, 图示&#10;&#10;中度可信度描述已自动生成"/>
                    <pic:cNvPicPr/>
                  </pic:nvPicPr>
                  <pic:blipFill>
                    <a:blip r:embed="rId14"/>
                    <a:stretch>
                      <a:fillRect/>
                    </a:stretch>
                  </pic:blipFill>
                  <pic:spPr>
                    <a:xfrm>
                      <a:off x="0" y="0"/>
                      <a:ext cx="5760720" cy="3717290"/>
                    </a:xfrm>
                    <a:prstGeom prst="rect">
                      <a:avLst/>
                    </a:prstGeom>
                  </pic:spPr>
                </pic:pic>
              </a:graphicData>
            </a:graphic>
          </wp:inline>
        </w:drawing>
      </w:r>
    </w:p>
    <w:p w14:paraId="021A3314" w14:textId="6EF5893B" w:rsidR="006C1256" w:rsidRPr="00C61DB0" w:rsidRDefault="006C1256" w:rsidP="006C1256">
      <w:pPr>
        <w:spacing w:before="120" w:line="360" w:lineRule="auto"/>
        <w:jc w:val="both"/>
      </w:pPr>
      <w:r w:rsidRPr="00C61DB0">
        <w:rPr>
          <w:rFonts w:hint="eastAsia"/>
          <w:b/>
          <w:bCs/>
        </w:rPr>
        <w:t>F</w:t>
      </w:r>
      <w:r w:rsidRPr="00C61DB0">
        <w:rPr>
          <w:b/>
          <w:bCs/>
        </w:rPr>
        <w:t>ig</w:t>
      </w:r>
      <w:r>
        <w:rPr>
          <w:b/>
          <w:bCs/>
        </w:rPr>
        <w:t>ur</w:t>
      </w:r>
      <w:r w:rsidRPr="00A17C97">
        <w:rPr>
          <w:b/>
          <w:bCs/>
        </w:rPr>
        <w:t xml:space="preserve">e 4. </w:t>
      </w:r>
      <w:r w:rsidR="00886BD4" w:rsidRPr="00A17C97">
        <w:rPr>
          <w:rFonts w:eastAsiaTheme="minorEastAsia"/>
          <w:b/>
          <w:bCs/>
          <w:lang w:val="en-US" w:eastAsia="zh-CN"/>
        </w:rPr>
        <w:t>The Material Distribution.</w:t>
      </w:r>
      <w:r w:rsidR="00886BD4" w:rsidRPr="00A17C97">
        <w:t xml:space="preserve"> </w:t>
      </w:r>
      <w:r w:rsidRPr="00A17C97">
        <w:t>The film-depth-dependent light absorption spectra (FLAS) of the fresh D18/BTP-eC9 film (</w:t>
      </w:r>
      <w:r w:rsidRPr="00A17C97">
        <w:rPr>
          <w:b/>
          <w:bCs/>
        </w:rPr>
        <w:t>a</w:t>
      </w:r>
      <w:r w:rsidRPr="00A17C97">
        <w:t>), the aged D18/BTP-eC9 film (</w:t>
      </w:r>
      <w:r w:rsidRPr="00A17C97">
        <w:rPr>
          <w:b/>
          <w:bCs/>
        </w:rPr>
        <w:t>c</w:t>
      </w:r>
      <w:r w:rsidRPr="00A17C97">
        <w:t>), the fresh D18/BTP-eC9:</w:t>
      </w:r>
      <w:r w:rsidRPr="00A17C97">
        <w:rPr>
          <w:i/>
          <w:iCs/>
        </w:rPr>
        <w:t>d</w:t>
      </w:r>
      <w:r w:rsidRPr="00A17C97">
        <w:t xml:space="preserve">BTP-ThC4 (w/ </w:t>
      </w:r>
      <w:r w:rsidRPr="00A17C97">
        <w:rPr>
          <w:i/>
          <w:iCs/>
        </w:rPr>
        <w:t>d</w:t>
      </w:r>
      <w:r w:rsidRPr="00A17C97">
        <w:t>BTP-ThC4) film (</w:t>
      </w:r>
      <w:r w:rsidRPr="00A17C97">
        <w:rPr>
          <w:b/>
          <w:bCs/>
        </w:rPr>
        <w:t>e</w:t>
      </w:r>
      <w:r w:rsidRPr="00A17C97">
        <w:t xml:space="preserve">), and the aged w/ </w:t>
      </w:r>
      <w:r w:rsidRPr="00A17C97">
        <w:rPr>
          <w:i/>
          <w:iCs/>
        </w:rPr>
        <w:t>d</w:t>
      </w:r>
      <w:r w:rsidRPr="00A17C97">
        <w:t>BTP-ThC4 film (</w:t>
      </w:r>
      <w:r w:rsidRPr="00A17C97">
        <w:rPr>
          <w:b/>
          <w:bCs/>
        </w:rPr>
        <w:t>g</w:t>
      </w:r>
      <w:r w:rsidRPr="00A17C97">
        <w:t>), respectively. The component distribution along the depth of the fresh D18/BTP-eC9 film (</w:t>
      </w:r>
      <w:r w:rsidRPr="00A17C97">
        <w:rPr>
          <w:b/>
          <w:bCs/>
        </w:rPr>
        <w:t>b</w:t>
      </w:r>
      <w:r w:rsidRPr="00A17C97">
        <w:t>), the aged D18/BTP-eC9 film (</w:t>
      </w:r>
      <w:r w:rsidRPr="00A17C97">
        <w:rPr>
          <w:b/>
          <w:bCs/>
        </w:rPr>
        <w:t>d</w:t>
      </w:r>
      <w:r w:rsidRPr="00A17C97">
        <w:t xml:space="preserve">), the fresh w/ </w:t>
      </w:r>
      <w:r w:rsidRPr="00A17C97">
        <w:rPr>
          <w:i/>
          <w:iCs/>
        </w:rPr>
        <w:t>d</w:t>
      </w:r>
      <w:r w:rsidRPr="00A17C97">
        <w:t>BTP-ThC4 film (</w:t>
      </w:r>
      <w:r w:rsidRPr="00A17C97">
        <w:rPr>
          <w:b/>
          <w:bCs/>
        </w:rPr>
        <w:t>f</w:t>
      </w:r>
      <w:r w:rsidRPr="00A17C97">
        <w:t xml:space="preserve">), and the aged w/ </w:t>
      </w:r>
      <w:r w:rsidRPr="00A17C97">
        <w:rPr>
          <w:i/>
          <w:iCs/>
        </w:rPr>
        <w:t>d</w:t>
      </w:r>
      <w:r w:rsidRPr="00A17C97">
        <w:t>BTP-ThC4 film (</w:t>
      </w:r>
      <w:r w:rsidRPr="00A17C97">
        <w:rPr>
          <w:b/>
          <w:bCs/>
        </w:rPr>
        <w:t>h</w:t>
      </w:r>
      <w:r w:rsidRPr="00A17C97">
        <w:t>), respectively. T</w:t>
      </w:r>
      <w:r w:rsidRPr="00A17C97">
        <w:rPr>
          <w:rFonts w:hint="eastAsia"/>
        </w:rPr>
        <w:t>h</w:t>
      </w:r>
      <w:r w:rsidRPr="00A17C97">
        <w:t xml:space="preserve">e high-resolution </w:t>
      </w:r>
      <w:r w:rsidRPr="00A17C97">
        <w:rPr>
          <w:i/>
          <w:iCs/>
        </w:rPr>
        <w:t>Cl 2p</w:t>
      </w:r>
      <w:r w:rsidRPr="00A17C97">
        <w:t xml:space="preserve"> core-l</w:t>
      </w:r>
      <w:r>
        <w:t xml:space="preserve">evel XPS spectra of fresh and aged D18/BTP-eC9 and w/ </w:t>
      </w:r>
      <w:r w:rsidRPr="003673CB">
        <w:rPr>
          <w:i/>
          <w:iCs/>
        </w:rPr>
        <w:t>d</w:t>
      </w:r>
      <w:r>
        <w:t>BTP-ThC4 films (</w:t>
      </w:r>
      <w:r w:rsidRPr="003673CB">
        <w:rPr>
          <w:b/>
          <w:bCs/>
        </w:rPr>
        <w:t>i</w:t>
      </w:r>
      <w:r>
        <w:t xml:space="preserve">), w/ </w:t>
      </w:r>
      <w:r w:rsidRPr="003673CB">
        <w:rPr>
          <w:i/>
          <w:iCs/>
        </w:rPr>
        <w:t>d</w:t>
      </w:r>
      <w:r>
        <w:t xml:space="preserve">BTP-ThC2 and w/ </w:t>
      </w:r>
      <w:r w:rsidRPr="003673CB">
        <w:rPr>
          <w:i/>
          <w:iCs/>
        </w:rPr>
        <w:t>d</w:t>
      </w:r>
      <w:r>
        <w:t>BTP-ThC6 films (</w:t>
      </w:r>
      <w:r w:rsidRPr="006B3108">
        <w:rPr>
          <w:b/>
          <w:bCs/>
        </w:rPr>
        <w:t>j</w:t>
      </w:r>
      <w:r>
        <w:t>). The calculated Cl (</w:t>
      </w:r>
      <w:r w:rsidRPr="003673CB">
        <w:rPr>
          <w:b/>
          <w:bCs/>
        </w:rPr>
        <w:t>k</w:t>
      </w:r>
      <w:r>
        <w:t>) and -C≡N (</w:t>
      </w:r>
      <w:r w:rsidRPr="003673CB">
        <w:rPr>
          <w:b/>
          <w:bCs/>
        </w:rPr>
        <w:t>l</w:t>
      </w:r>
      <w:r>
        <w:t>) ratios in the fresh and aged PMHJ films.</w:t>
      </w:r>
    </w:p>
    <w:p w14:paraId="135B7FB4" w14:textId="77777777" w:rsidR="002E0BD3" w:rsidRPr="006C1256" w:rsidRDefault="002E0BD3" w:rsidP="002E0BD3">
      <w:pPr>
        <w:spacing w:line="360" w:lineRule="auto"/>
        <w:jc w:val="both"/>
        <w:rPr>
          <w:rFonts w:eastAsiaTheme="minorEastAsia"/>
          <w:lang w:eastAsia="zh-CN"/>
        </w:rPr>
      </w:pPr>
    </w:p>
    <w:p w14:paraId="621CE6AE" w14:textId="36513A47" w:rsidR="002E0BD3" w:rsidRPr="006C1256" w:rsidRDefault="002E0BD3" w:rsidP="002E0BD3">
      <w:pPr>
        <w:spacing w:line="360" w:lineRule="auto"/>
        <w:jc w:val="both"/>
        <w:rPr>
          <w:rFonts w:eastAsiaTheme="minorEastAsia"/>
          <w:b/>
          <w:bCs/>
          <w:lang w:val="en-US" w:eastAsia="zh-CN"/>
        </w:rPr>
      </w:pPr>
      <w:r w:rsidRPr="006C1256">
        <w:rPr>
          <w:rFonts w:eastAsiaTheme="minorEastAsia" w:hint="eastAsia"/>
          <w:b/>
          <w:bCs/>
          <w:lang w:val="en-US" w:eastAsia="zh-CN"/>
        </w:rPr>
        <w:t>2</w:t>
      </w:r>
      <w:r w:rsidRPr="006C1256">
        <w:rPr>
          <w:rFonts w:eastAsiaTheme="minorEastAsia"/>
          <w:b/>
          <w:bCs/>
          <w:lang w:val="en-US" w:eastAsia="zh-CN"/>
        </w:rPr>
        <w:t xml:space="preserve">.5. </w:t>
      </w:r>
      <w:proofErr w:type="gramStart"/>
      <w:r w:rsidRPr="006C1256">
        <w:rPr>
          <w:rFonts w:eastAsiaTheme="minorEastAsia"/>
          <w:b/>
          <w:bCs/>
          <w:lang w:val="en-US" w:eastAsia="zh-CN"/>
        </w:rPr>
        <w:t>The Material</w:t>
      </w:r>
      <w:proofErr w:type="gramEnd"/>
      <w:r w:rsidRPr="006C1256">
        <w:rPr>
          <w:rFonts w:eastAsiaTheme="minorEastAsia"/>
          <w:b/>
          <w:bCs/>
          <w:lang w:val="en-US" w:eastAsia="zh-CN"/>
        </w:rPr>
        <w:t xml:space="preserve"> Di</w:t>
      </w:r>
      <w:r w:rsidR="00F51B55" w:rsidRPr="006C1256">
        <w:rPr>
          <w:rFonts w:eastAsiaTheme="minorEastAsia"/>
          <w:b/>
          <w:bCs/>
          <w:lang w:val="en-US" w:eastAsia="zh-CN"/>
        </w:rPr>
        <w:t>stribution</w:t>
      </w:r>
    </w:p>
    <w:p w14:paraId="1798DBBB" w14:textId="77777777" w:rsidR="00F51B55" w:rsidRPr="00F51B55" w:rsidRDefault="00F51B55" w:rsidP="006960F3">
      <w:pPr>
        <w:spacing w:line="360" w:lineRule="auto"/>
        <w:ind w:firstLine="708"/>
        <w:jc w:val="both"/>
        <w:rPr>
          <w:rFonts w:eastAsiaTheme="minorEastAsia"/>
          <w:lang w:val="en-US" w:eastAsia="zh-CN"/>
        </w:rPr>
      </w:pPr>
      <w:r w:rsidRPr="00F51B55">
        <w:rPr>
          <w:rFonts w:eastAsiaTheme="minorEastAsia"/>
          <w:lang w:val="en-US" w:eastAsia="zh-CN"/>
        </w:rPr>
        <w:t xml:space="preserve">Device physics studies indicate that the low-level </w:t>
      </w:r>
      <w:proofErr w:type="spellStart"/>
      <w:r w:rsidRPr="00F51B55">
        <w:rPr>
          <w:rFonts w:eastAsiaTheme="minorEastAsia"/>
          <w:i/>
          <w:iCs/>
          <w:lang w:val="en-US" w:eastAsia="zh-CN"/>
        </w:rPr>
        <w:t>N</w:t>
      </w:r>
      <w:r w:rsidRPr="00F51B55">
        <w:rPr>
          <w:rFonts w:eastAsiaTheme="minorEastAsia"/>
          <w:vertAlign w:val="subscript"/>
          <w:lang w:val="en-US" w:eastAsia="zh-CN"/>
        </w:rPr>
        <w:t>t</w:t>
      </w:r>
      <w:proofErr w:type="spellEnd"/>
      <w:r w:rsidRPr="00F51B55">
        <w:rPr>
          <w:rFonts w:eastAsiaTheme="minorEastAsia"/>
          <w:lang w:val="en-US" w:eastAsia="zh-CN"/>
        </w:rPr>
        <w:t xml:space="preserve"> and the well-maintained morphology facilitated by the introduced dimer are the keys to minimizing the burn-in loss in ternary devices. To understand the microstructures of the ternary blends, the composition and morphology were further investigated to elucidate how dimer stabilizers affect the distribution and stacking of molecules, as well as the phase separation. To mimic the burn-in loss, aged films applied for morphological characterizations were aged at 65 </w:t>
      </w:r>
      <w:proofErr w:type="spellStart"/>
      <w:r w:rsidRPr="00F51B55">
        <w:rPr>
          <w:rFonts w:eastAsiaTheme="minorEastAsia"/>
          <w:vertAlign w:val="superscript"/>
          <w:lang w:val="en-US" w:eastAsia="zh-CN"/>
        </w:rPr>
        <w:t>o</w:t>
      </w:r>
      <w:r w:rsidRPr="00F51B55">
        <w:rPr>
          <w:rFonts w:eastAsiaTheme="minorEastAsia"/>
          <w:lang w:val="en-US" w:eastAsia="zh-CN"/>
        </w:rPr>
        <w:t>C</w:t>
      </w:r>
      <w:proofErr w:type="spellEnd"/>
      <w:r w:rsidRPr="00F51B55">
        <w:rPr>
          <w:rFonts w:eastAsiaTheme="minorEastAsia"/>
          <w:lang w:val="en-US" w:eastAsia="zh-CN"/>
        </w:rPr>
        <w:t xml:space="preserve"> for 72 h under 1-sun illumination. </w:t>
      </w:r>
    </w:p>
    <w:p w14:paraId="5E325718" w14:textId="03D0D5DB" w:rsidR="00F51B55" w:rsidRPr="00A17C97" w:rsidRDefault="00F51B55" w:rsidP="006960F3">
      <w:pPr>
        <w:spacing w:line="360" w:lineRule="auto"/>
        <w:ind w:firstLine="708"/>
        <w:jc w:val="both"/>
        <w:rPr>
          <w:rFonts w:eastAsiaTheme="minorEastAsia"/>
          <w:lang w:val="en-US" w:eastAsia="zh-CN"/>
        </w:rPr>
      </w:pPr>
      <w:r w:rsidRPr="00F51B55">
        <w:rPr>
          <w:rFonts w:eastAsiaTheme="minorEastAsia" w:hint="eastAsia"/>
          <w:lang w:val="en-US" w:eastAsia="zh-CN"/>
        </w:rPr>
        <w:t>T</w:t>
      </w:r>
      <w:r w:rsidRPr="00F51B55">
        <w:rPr>
          <w:rFonts w:eastAsiaTheme="minorEastAsia"/>
          <w:lang w:val="en-US" w:eastAsia="zh-CN"/>
        </w:rPr>
        <w:t>he film-depth-dependent light absorption spectra (FLAS) were measured to evaluate the vertical distribution of donor and acceptors.</w:t>
      </w:r>
      <w:r w:rsidRPr="00F51B55">
        <w:rPr>
          <w:rFonts w:eastAsiaTheme="minorEastAsia"/>
          <w:lang w:val="en-US" w:eastAsia="zh-CN"/>
        </w:rPr>
        <w:fldChar w:fldCharType="begin"/>
      </w:r>
      <w:r>
        <w:rPr>
          <w:rFonts w:eastAsiaTheme="minorEastAsia"/>
          <w:lang w:val="en-US" w:eastAsia="zh-CN"/>
        </w:rPr>
        <w:instrText xml:space="preserve"> ADDIN ZOTERO_ITEM CSL_CITATION {"citationID":"EshkPLK4","properties":{"formattedCitation":"\\super [29,55,56]\\nosupersub{}","plainCitation":"[29,55,56]","noteIndex":0},"citationItems":[{"id":1125,"uris":["http://zotero.org/users/10832941/items/6SDQLZJZ"</w:instrText>
      </w:r>
      <w:r>
        <w:rPr>
          <w:rFonts w:eastAsiaTheme="minorEastAsia" w:hint="eastAsia"/>
          <w:lang w:val="en-US" w:eastAsia="zh-CN"/>
        </w:rPr>
        <w:instrText>],"itemData":{"id":1125,"type":"article-journal","container-title":"Advanced Materials","ISSN":"0935-9648, 1521-4095","issue":"33","journalAbbreviation":"Adv. Mater.","language":"en","page":"2202608","source":"DOI.org (Crossref)","title":"A Top</w:instrText>
      </w:r>
      <w:r>
        <w:rPr>
          <w:rFonts w:eastAsiaTheme="minorEastAsia" w:hint="eastAsia"/>
          <w:lang w:val="en-US" w:eastAsia="zh-CN"/>
        </w:rPr>
        <w:instrText>‐</w:instrText>
      </w:r>
      <w:r>
        <w:rPr>
          <w:rFonts w:eastAsiaTheme="minorEastAsia" w:hint="eastAsia"/>
          <w:lang w:val="en-US" w:eastAsia="zh-CN"/>
        </w:rPr>
        <w:instrText>Down Strategy to Engineer Active Layer Morphology for Highly Efficient and Stable All</w:instrText>
      </w:r>
      <w:r>
        <w:rPr>
          <w:rFonts w:eastAsiaTheme="minorEastAsia" w:hint="eastAsia"/>
          <w:lang w:val="en-US" w:eastAsia="zh-CN"/>
        </w:rPr>
        <w:instrText>‐</w:instrText>
      </w:r>
      <w:r>
        <w:rPr>
          <w:rFonts w:eastAsiaTheme="minorEastAsia" w:hint="eastAsia"/>
          <w:lang w:val="en-US" w:eastAsia="zh-CN"/>
        </w:rPr>
        <w:instrText>Polymer Solar Cells","volume":"34","author":[{"family":"Fu","given":"Huiting"},{"family":"Peng","given":"Zhengxing"},{"family":"Fan","given":"Qunping"},{"family":"Lin","given":"Fr</w:instrText>
      </w:r>
      <w:r>
        <w:rPr>
          <w:rFonts w:eastAsiaTheme="minorEastAsia"/>
          <w:lang w:val="en-US" w:eastAsia="zh-CN"/>
        </w:rPr>
        <w:instrText>ancis R."},{"family":"Qi","given":"Feng"},{"family":"Ran","given":"Yixin"},{"family":"Wu","given":"Ziang"},{"family":"Fan","given":"Baobing"},{"family":"Jiang","given":"Kui"},{"family":"Woo","given":"Han Young"},{"family":"Lu","given":"Guanghao"},{"family</w:instrText>
      </w:r>
      <w:r>
        <w:rPr>
          <w:rFonts w:eastAsiaTheme="minorEastAsia" w:hint="eastAsia"/>
          <w:lang w:val="en-US" w:eastAsia="zh-CN"/>
        </w:rPr>
        <w:instrText>":"Ade","given":"Harald"},{"family":"Jen","given":"Alex K.</w:instrText>
      </w:r>
      <w:r>
        <w:rPr>
          <w:rFonts w:eastAsiaTheme="minorEastAsia" w:hint="eastAsia"/>
          <w:lang w:val="en-US" w:eastAsia="zh-CN"/>
        </w:rPr>
        <w:instrText>‐</w:instrText>
      </w:r>
      <w:r>
        <w:rPr>
          <w:rFonts w:eastAsiaTheme="minorEastAsia" w:hint="eastAsia"/>
          <w:lang w:val="en-US" w:eastAsia="zh-CN"/>
        </w:rPr>
        <w:instrText>Y."}],"issued":{"date-parts":[["2022",8]]}},"label":"page"},{"id":1480,"uris":["http://zotero.org/users/10832941/items/LM4CLN6M"],"itemData":{"id":1480,"type":"article-journal","container-title":"</w:instrText>
      </w:r>
      <w:r>
        <w:rPr>
          <w:rFonts w:eastAsiaTheme="minorEastAsia"/>
          <w:lang w:val="en-US" w:eastAsia="zh-CN"/>
        </w:rPr>
        <w:instrText>Advanced Materials","ISSN":"09359648","issue":"2","journalAbbreviation":"Adv. Mater.","language":"en","page":"1704695","source":"DOI.org (Crossref)","title":"Printing Semiconductor-Insulator Polymer Bilayers for High-Performance Coplanar Field-Effect Transistors","volume":"30","author":[{"family":"Bu","given":"Laju"},{"family":"Hu","given":"Mengxing"},{"family":"Lu","given":"Wanlong"},{"family":"Wang","given":"Ziyu"},{"family":"Lu","given":"Guanghao"}],"issued":{"date-parts":[["2018",1]]}},"label":"page"},{"id":1479,"uris":["http://zotero.org/users/10832941/items/CJIN89V9"],"itemData":{"id":1479,"type":"article-journal","container-title":"Advanced Optical Materials","ISSN":"2195-1071, 2195-1071","issue":"10","journalAbbreviation":"Adv. Optical Mater.","la</w:instrText>
      </w:r>
      <w:r>
        <w:rPr>
          <w:rFonts w:eastAsiaTheme="minorEastAsia" w:hint="eastAsia"/>
          <w:lang w:val="en-US" w:eastAsia="zh-CN"/>
        </w:rPr>
        <w:instrText>nguage":"en","page":"1900152","source":"DOI.org (Crossref)","title":"Correlations between Performance of Organic Solar Cells and Film</w:instrText>
      </w:r>
      <w:r>
        <w:rPr>
          <w:rFonts w:eastAsiaTheme="minorEastAsia" w:hint="eastAsia"/>
          <w:lang w:val="en-US" w:eastAsia="zh-CN"/>
        </w:rPr>
        <w:instrText>‐</w:instrText>
      </w:r>
      <w:r>
        <w:rPr>
          <w:rFonts w:eastAsiaTheme="minorEastAsia" w:hint="eastAsia"/>
          <w:lang w:val="en-US" w:eastAsia="zh-CN"/>
        </w:rPr>
        <w:instrText>Depth</w:instrText>
      </w:r>
      <w:r>
        <w:rPr>
          <w:rFonts w:eastAsiaTheme="minorEastAsia" w:hint="eastAsia"/>
          <w:lang w:val="en-US" w:eastAsia="zh-CN"/>
        </w:rPr>
        <w:instrText>‐</w:instrText>
      </w:r>
      <w:r>
        <w:rPr>
          <w:rFonts w:eastAsiaTheme="minorEastAsia" w:hint="eastAsia"/>
          <w:lang w:val="en-US" w:eastAsia="zh-CN"/>
        </w:rPr>
        <w:instrText>Dependent Optical and Electronic Variations","volume":"7","author":[{"family":"Wang","given":"Zihao"},{"family":"Hu</w:instrText>
      </w:r>
      <w:r>
        <w:rPr>
          <w:rFonts w:eastAsiaTheme="minorEastAsia"/>
          <w:lang w:val="en-US" w:eastAsia="zh-CN"/>
        </w:rPr>
        <w:instrText xml:space="preserve">","given":"Yupeng"},{"family":"Xiao","given":"Tong"},{"family":"Zhu","given":"Yuanwei"},{"family":"Chen","given":"Xin"},{"family":"Bu","given":"Laju"},{"family":"Zhang","given":"Yajie"},{"family":"Wei","given":"Zhixiang"},{"family":"Xu","given":"Ben Bin"},{"family":"Lu","given":"Guanghao"}],"issued":{"date-parts":[["2019",5]]}},"label":"page"}],"schema":"https://github.com/citation-style-language/schema/raw/master/csl-citation.json"} </w:instrText>
      </w:r>
      <w:r w:rsidRPr="00F51B55">
        <w:rPr>
          <w:rFonts w:eastAsiaTheme="minorEastAsia"/>
          <w:lang w:val="en-US" w:eastAsia="zh-CN"/>
        </w:rPr>
        <w:fldChar w:fldCharType="separate"/>
      </w:r>
      <w:r w:rsidRPr="00F51B55">
        <w:rPr>
          <w:vertAlign w:val="superscript"/>
        </w:rPr>
        <w:t>[29,55,56]</w:t>
      </w:r>
      <w:r w:rsidRPr="00F51B55">
        <w:rPr>
          <w:rFonts w:eastAsiaTheme="minorEastAsia"/>
          <w:lang w:val="en-US" w:eastAsia="zh-CN"/>
        </w:rPr>
        <w:fldChar w:fldCharType="end"/>
      </w:r>
      <w:r w:rsidRPr="00F51B55">
        <w:rPr>
          <w:rFonts w:eastAsiaTheme="minorEastAsia"/>
          <w:lang w:val="en-US" w:eastAsia="zh-CN"/>
        </w:rPr>
        <w:t xml:space="preserve"> Compared to the fresh binary film (</w:t>
      </w:r>
      <w:r w:rsidRPr="00F51B55">
        <w:rPr>
          <w:rFonts w:eastAsiaTheme="minorEastAsia"/>
          <w:b/>
          <w:bCs/>
          <w:lang w:val="en-US" w:eastAsia="zh-CN"/>
        </w:rPr>
        <w:t>Figures 4a-b</w:t>
      </w:r>
      <w:r w:rsidRPr="00F51B55">
        <w:rPr>
          <w:rFonts w:eastAsiaTheme="minorEastAsia"/>
          <w:lang w:val="en-US" w:eastAsia="zh-CN"/>
        </w:rPr>
        <w:t xml:space="preserve">), a distinct component segregation is observed in the aged D18/BTP-eC9 film </w:t>
      </w:r>
      <w:r w:rsidRPr="00F51B55">
        <w:rPr>
          <w:rFonts w:eastAsiaTheme="minorEastAsia"/>
          <w:lang w:val="en-US" w:eastAsia="zh-CN"/>
        </w:rPr>
        <w:lastRenderedPageBreak/>
        <w:t>(</w:t>
      </w:r>
      <w:r w:rsidRPr="00F51B55">
        <w:rPr>
          <w:rFonts w:eastAsiaTheme="minorEastAsia"/>
          <w:b/>
          <w:bCs/>
          <w:lang w:val="en-US" w:eastAsia="zh-CN"/>
        </w:rPr>
        <w:t>Fig</w:t>
      </w:r>
      <w:r w:rsidRPr="00A17C97">
        <w:rPr>
          <w:rFonts w:eastAsiaTheme="minorEastAsia"/>
          <w:b/>
          <w:bCs/>
          <w:lang w:val="en-US" w:eastAsia="zh-CN"/>
        </w:rPr>
        <w:t>ures 4c-d</w:t>
      </w:r>
      <w:r w:rsidRPr="00A17C97">
        <w:rPr>
          <w:rFonts w:eastAsiaTheme="minorEastAsia"/>
          <w:lang w:val="en-US" w:eastAsia="zh-CN"/>
        </w:rPr>
        <w:t>), which can be attributed to the rapid diffusion and surface crystallization of SMNFAs. By introducing dimer stabilizers, the component segregation is much mitigated (Figures S2</w:t>
      </w:r>
      <w:r w:rsidR="009C43B1" w:rsidRPr="00A17C97">
        <w:rPr>
          <w:rFonts w:eastAsiaTheme="minorEastAsia"/>
          <w:lang w:val="en-US" w:eastAsia="zh-CN"/>
        </w:rPr>
        <w:t>5</w:t>
      </w:r>
      <w:r w:rsidRPr="00A17C97">
        <w:rPr>
          <w:rFonts w:eastAsiaTheme="minorEastAsia"/>
          <w:lang w:val="en-US" w:eastAsia="zh-CN"/>
        </w:rPr>
        <w:t>-2</w:t>
      </w:r>
      <w:r w:rsidR="009C43B1" w:rsidRPr="00A17C97">
        <w:rPr>
          <w:rFonts w:eastAsiaTheme="minorEastAsia"/>
          <w:lang w:val="en-US" w:eastAsia="zh-CN"/>
        </w:rPr>
        <w:t>6</w:t>
      </w:r>
      <w:r w:rsidRPr="00A17C97">
        <w:rPr>
          <w:rFonts w:eastAsiaTheme="minorEastAsia"/>
          <w:lang w:val="en-US" w:eastAsia="zh-CN"/>
        </w:rPr>
        <w:t>,</w:t>
      </w:r>
      <w:r w:rsidR="00CA5A1C" w:rsidRPr="00A17C97">
        <w:rPr>
          <w:rFonts w:eastAsiaTheme="minorEastAsia"/>
          <w:lang w:val="en-US" w:eastAsia="zh-CN"/>
        </w:rPr>
        <w:t xml:space="preserve"> SI and</w:t>
      </w:r>
      <w:r w:rsidRPr="00A17C97">
        <w:rPr>
          <w:rFonts w:eastAsiaTheme="minorEastAsia"/>
          <w:lang w:val="en-US" w:eastAsia="zh-CN"/>
        </w:rPr>
        <w:t xml:space="preserve"> </w:t>
      </w:r>
      <w:r w:rsidRPr="00A17C97">
        <w:rPr>
          <w:rFonts w:eastAsiaTheme="minorEastAsia"/>
          <w:b/>
          <w:bCs/>
          <w:lang w:val="en-US" w:eastAsia="zh-CN"/>
        </w:rPr>
        <w:t>Figures 4e-h</w:t>
      </w:r>
      <w:r w:rsidRPr="00A17C97">
        <w:rPr>
          <w:rFonts w:eastAsiaTheme="minorEastAsia"/>
          <w:lang w:val="en-US" w:eastAsia="zh-CN"/>
        </w:rPr>
        <w:t>), leading to more stable active layer morphology. The ternary film of D18/BTP-eC</w:t>
      </w:r>
      <w:proofErr w:type="gramStart"/>
      <w:r w:rsidRPr="00A17C97">
        <w:rPr>
          <w:rFonts w:eastAsiaTheme="minorEastAsia"/>
          <w:lang w:val="en-US" w:eastAsia="zh-CN"/>
        </w:rPr>
        <w:t>9:</w:t>
      </w:r>
      <w:r w:rsidRPr="00A17C97">
        <w:rPr>
          <w:rFonts w:eastAsiaTheme="minorEastAsia"/>
          <w:i/>
          <w:iCs/>
          <w:lang w:val="en-US" w:eastAsia="zh-CN"/>
        </w:rPr>
        <w:t>d</w:t>
      </w:r>
      <w:r w:rsidRPr="00A17C97">
        <w:rPr>
          <w:rFonts w:eastAsiaTheme="minorEastAsia"/>
          <w:lang w:val="en-US" w:eastAsia="zh-CN"/>
        </w:rPr>
        <w:t>BTP</w:t>
      </w:r>
      <w:proofErr w:type="gramEnd"/>
      <w:r w:rsidRPr="00A17C97">
        <w:rPr>
          <w:rFonts w:eastAsiaTheme="minorEastAsia"/>
          <w:lang w:val="en-US" w:eastAsia="zh-CN"/>
        </w:rPr>
        <w:t>-ThC4 exhibits the most robust component distribution after aging (</w:t>
      </w:r>
      <w:r w:rsidRPr="00A17C97">
        <w:rPr>
          <w:rFonts w:eastAsiaTheme="minorEastAsia"/>
          <w:b/>
          <w:bCs/>
          <w:lang w:val="en-US" w:eastAsia="zh-CN"/>
        </w:rPr>
        <w:t>Figures 4e-h</w:t>
      </w:r>
      <w:r w:rsidRPr="00A17C97">
        <w:rPr>
          <w:rFonts w:eastAsiaTheme="minorEastAsia"/>
          <w:lang w:val="en-US" w:eastAsia="zh-CN"/>
        </w:rPr>
        <w:t>), demonstrating that the employment of a suitable dimer stabilizer with moderate flexible linker length can effectively retard the SMNFAs diffusion and suppress the unfavorable surface crystallization.</w:t>
      </w:r>
    </w:p>
    <w:p w14:paraId="2DAFD920" w14:textId="00B2510D" w:rsidR="0068413E" w:rsidRDefault="00F51B55" w:rsidP="009F37DC">
      <w:pPr>
        <w:spacing w:line="360" w:lineRule="auto"/>
        <w:ind w:firstLine="708"/>
        <w:jc w:val="both"/>
        <w:rPr>
          <w:rFonts w:eastAsiaTheme="minorEastAsia" w:hint="eastAsia"/>
          <w:lang w:val="en-US" w:eastAsia="zh-CN"/>
        </w:rPr>
      </w:pPr>
      <w:r w:rsidRPr="00A17C97">
        <w:rPr>
          <w:rFonts w:eastAsiaTheme="minorEastAsia"/>
          <w:lang w:val="en-US" w:eastAsia="zh-CN"/>
        </w:rPr>
        <w:t>Considering that the segregation of SMNFAs mainly occurs at the top surface of PMHJ films, the surface-sensitive XPS characterization</w:t>
      </w:r>
      <w:r w:rsidRPr="00A17C97">
        <w:rPr>
          <w:rFonts w:eastAsiaTheme="minorEastAsia"/>
          <w:lang w:val="en-US" w:eastAsia="zh-CN"/>
        </w:rPr>
        <w:fldChar w:fldCharType="begin"/>
      </w:r>
      <w:r w:rsidRPr="00A17C97">
        <w:rPr>
          <w:rFonts w:eastAsiaTheme="minorEastAsia"/>
          <w:lang w:val="en-US" w:eastAsia="zh-CN"/>
        </w:rPr>
        <w:instrText xml:space="preserve"> ADDIN ZOTERO_ITEM CSL_CITATION {"citationID":"Hj8Am36o","properties":{"formattedCitation":"\\super [57]\\nosupersub{}","plainCitation":"[57]","noteIndex":0},"citationItems":[{"id":42,"uris":["http://zotero.org/users/10832941/items/S2THT7KF"],"itemData":{"id":42,"type":"article-journal","abstract":"Abstract\n            \n              The stability of organic solar cells is a key issue to promote practical applications. Herein, we demonstrate that the device performance of organic solar cells is enhanced by an Ir/IrO\n              x\n              electron-transporting layer, benefiting from its suitable work function and heterogeneous distribution of surface energy in nanoscale. Notably, the champion Ir/IrO\n              x\n              -based devices exhibit superior stabilities under shelf storing (\n              T\n              80\n               = 56696 h), thermal aging (\n              T\n              70\n               = 13920 h), and maximum power point tracking (\n              T\n              80\n               = 1058 h), compared to the ZnO-based devices. It can be attributed to the stable morphology of photoactive layer resulting from the optimized molecular distribution of the donor and acceptor and the absence of photocatalysis in the Ir/IrO\n              x\n              -based devices, which helps to maintain the improved charge extraction and inhibited charge recombination in the aged devices. This work provides a reliable and efficient electron-transporting material toward stable organic solar cells.","container-title":"Nature Communications","ISSN":"2041-1723","issue":"1","journalAbbreviation":"Nat. Commun.","language":"en","page":"1241","source":"DOI.org (Crossref)","title":"Lifetime over 10000 hours for organic solar cells with Ir/IrOx electron-transporting layer","volume":"14","author":[{"family":"Li","given":"Yanxun"},{"family":"Huang","given":"Bo"},{"family":"Zhang","given":"Xuning"},{"family":"Ding","given":"Jianwei"},{"family":"Zhang","given":"Yingyu"},{"family":"Xiao","given":"Linge"},{"family":"Wang","given":"Boxin"},{"family":"Cheng","given":"Qian"},{"family":"Huang","given":"Gaosheng"},{"family":"Zhang","given":"Hong"},{"family":"Yang","given":"Yingguo"},{"family":"Qi","given":"Xiaoying"},{"family":"Zheng","given":"Qiang"},{"family":"Zhang","given":"Yuan"},{"family":"Qiu","given":"Xiaohui"},{"family":"Liang","given":"Minghui"},{"family":"Zhou","given":"Huiqiong"}],"issued":{"date-parts":[["2023",3,4]]}}}],"schema":"https://github.com/citation-style-language/schema/raw/master/csl-citation.json"} </w:instrText>
      </w:r>
      <w:r w:rsidRPr="00A17C97">
        <w:rPr>
          <w:rFonts w:eastAsiaTheme="minorEastAsia"/>
          <w:lang w:val="en-US" w:eastAsia="zh-CN"/>
        </w:rPr>
        <w:fldChar w:fldCharType="separate"/>
      </w:r>
      <w:r w:rsidRPr="00A17C97">
        <w:rPr>
          <w:vertAlign w:val="superscript"/>
        </w:rPr>
        <w:t>[57]</w:t>
      </w:r>
      <w:r w:rsidRPr="00A17C97">
        <w:rPr>
          <w:rFonts w:eastAsiaTheme="minorEastAsia"/>
          <w:lang w:val="en-US" w:eastAsia="zh-CN"/>
        </w:rPr>
        <w:fldChar w:fldCharType="end"/>
      </w:r>
      <w:r w:rsidRPr="00A17C97">
        <w:rPr>
          <w:rFonts w:eastAsiaTheme="minorEastAsia"/>
          <w:lang w:val="en-US" w:eastAsia="zh-CN"/>
        </w:rPr>
        <w:t xml:space="preserve"> was performed to examine the surface composition of fresh and aged PMHJ films. </w:t>
      </w:r>
      <w:r w:rsidRPr="00A17C97">
        <w:rPr>
          <w:rFonts w:eastAsiaTheme="minorEastAsia" w:hint="eastAsia"/>
          <w:lang w:val="en-US" w:eastAsia="zh-CN"/>
        </w:rPr>
        <w:t>U</w:t>
      </w:r>
      <w:r w:rsidRPr="00A17C97">
        <w:rPr>
          <w:rFonts w:eastAsiaTheme="minorEastAsia"/>
          <w:lang w:val="en-US" w:eastAsia="zh-CN"/>
        </w:rPr>
        <w:t>sing</w:t>
      </w:r>
      <w:r w:rsidRPr="00A17C97">
        <w:rPr>
          <w:rFonts w:eastAsiaTheme="minorEastAsia" w:hint="eastAsia"/>
          <w:lang w:val="en-US" w:eastAsia="zh-CN"/>
        </w:rPr>
        <w:t xml:space="preserve"> </w:t>
      </w:r>
      <w:proofErr w:type="spellStart"/>
      <w:r w:rsidRPr="00A17C97">
        <w:rPr>
          <w:rFonts w:eastAsiaTheme="minorEastAsia"/>
          <w:lang w:val="en-US" w:eastAsia="zh-CN"/>
        </w:rPr>
        <w:t>chloro</w:t>
      </w:r>
      <w:proofErr w:type="spellEnd"/>
      <w:r w:rsidRPr="00A17C97">
        <w:rPr>
          <w:rFonts w:eastAsiaTheme="minorEastAsia"/>
          <w:lang w:val="en-US" w:eastAsia="zh-CN"/>
        </w:rPr>
        <w:t xml:space="preserve"> group (Cl) as the signature species of BTP-eC9, the ratios of Cl at the surface of different PMHJ films were probed to estimate the surface distribution of BTP-eC9. As displayed in </w:t>
      </w:r>
      <w:r w:rsidRPr="00A17C97">
        <w:rPr>
          <w:rFonts w:eastAsiaTheme="minorEastAsia"/>
          <w:b/>
          <w:bCs/>
          <w:lang w:val="en-US" w:eastAsia="zh-CN"/>
        </w:rPr>
        <w:t xml:space="preserve">Figure 4i </w:t>
      </w:r>
      <w:r w:rsidRPr="00A17C97">
        <w:rPr>
          <w:rFonts w:eastAsiaTheme="minorEastAsia"/>
          <w:lang w:val="en-US" w:eastAsia="zh-CN"/>
        </w:rPr>
        <w:t>and Table S4</w:t>
      </w:r>
      <w:r w:rsidR="00CA5A1C" w:rsidRPr="00A17C97">
        <w:rPr>
          <w:rFonts w:eastAsiaTheme="minorEastAsia"/>
          <w:lang w:val="en-US" w:eastAsia="zh-CN"/>
        </w:rPr>
        <w:t xml:space="preserve"> (SI)</w:t>
      </w:r>
      <w:r w:rsidRPr="00A17C97">
        <w:rPr>
          <w:rFonts w:eastAsiaTheme="minorEastAsia"/>
          <w:lang w:val="en-US" w:eastAsia="zh-CN"/>
        </w:rPr>
        <w:t>, the</w:t>
      </w:r>
      <w:r w:rsidRPr="00F51B55">
        <w:rPr>
          <w:rFonts w:eastAsiaTheme="minorEastAsia"/>
          <w:lang w:val="en-US" w:eastAsia="zh-CN"/>
        </w:rPr>
        <w:t xml:space="preserve"> </w:t>
      </w:r>
      <w:r w:rsidRPr="00F51B55">
        <w:rPr>
          <w:rFonts w:eastAsiaTheme="minorEastAsia"/>
          <w:i/>
          <w:iCs/>
          <w:lang w:val="en-US" w:eastAsia="zh-CN"/>
        </w:rPr>
        <w:t xml:space="preserve">Cl 2p </w:t>
      </w:r>
      <w:r w:rsidRPr="00F51B55">
        <w:rPr>
          <w:rFonts w:eastAsiaTheme="minorEastAsia"/>
          <w:lang w:val="en-US" w:eastAsia="zh-CN"/>
        </w:rPr>
        <w:t>core level spectra</w:t>
      </w:r>
      <w:r w:rsidRPr="00F51B55">
        <w:rPr>
          <w:rFonts w:eastAsiaTheme="minorEastAsia" w:hint="eastAsia"/>
          <w:lang w:val="en-US" w:eastAsia="zh-CN"/>
        </w:rPr>
        <w:t xml:space="preserve"> </w:t>
      </w:r>
      <w:r w:rsidRPr="00F51B55">
        <w:rPr>
          <w:rFonts w:eastAsiaTheme="minorEastAsia"/>
          <w:lang w:val="en-US" w:eastAsia="zh-CN"/>
        </w:rPr>
        <w:t xml:space="preserve">of aged D18/BTP-eC9 film exhibits a distinctly increased Cl ratio from 0.72% (fresh) to 2.20% (aged), demonstrating the segregation of BTP-eC9 after aging. This agrees well with the result from depth-dependent absorption spectra. In contrast, as shown in </w:t>
      </w:r>
      <w:r w:rsidRPr="00F51B55">
        <w:rPr>
          <w:rFonts w:eastAsiaTheme="minorEastAsia"/>
          <w:b/>
          <w:bCs/>
          <w:lang w:val="en-US" w:eastAsia="zh-CN"/>
        </w:rPr>
        <w:t>Figures 4i-k</w:t>
      </w:r>
      <w:r w:rsidRPr="00F51B55">
        <w:rPr>
          <w:rFonts w:eastAsiaTheme="minorEastAsia"/>
          <w:lang w:val="en-US" w:eastAsia="zh-CN"/>
        </w:rPr>
        <w:t xml:space="preserve"> and Table S4, all ternary films with dimer stabilizer exhibit almost unchanged Cl ratio compared to that of the binary film, showing the effectiveness of dimer in inhibiting the segregation of SMNFAs. Meanwhile, the si</w:t>
      </w:r>
      <w:r w:rsidRPr="00A17C97">
        <w:rPr>
          <w:rFonts w:eastAsiaTheme="minorEastAsia"/>
          <w:lang w:val="en-US" w:eastAsia="zh-CN"/>
        </w:rPr>
        <w:t xml:space="preserve">gnal of cyano (-C≡N) group corresponding to BTP-eC9 and dimers can also be isolated from the high-resolution </w:t>
      </w:r>
      <w:r w:rsidRPr="00A17C97">
        <w:rPr>
          <w:rFonts w:eastAsiaTheme="minorEastAsia"/>
          <w:i/>
          <w:iCs/>
          <w:lang w:val="en-US" w:eastAsia="zh-CN"/>
        </w:rPr>
        <w:t>N 1s</w:t>
      </w:r>
      <w:r w:rsidRPr="00A17C97">
        <w:rPr>
          <w:rFonts w:eastAsiaTheme="minorEastAsia"/>
          <w:lang w:val="en-US" w:eastAsia="zh-CN"/>
        </w:rPr>
        <w:t xml:space="preserve"> core level spectra to verify whether segregation occurs with dimer stabilizers. As shown in </w:t>
      </w:r>
      <w:r w:rsidRPr="00A17C97">
        <w:rPr>
          <w:rFonts w:eastAsiaTheme="minorEastAsia"/>
          <w:b/>
          <w:bCs/>
          <w:lang w:val="en-US" w:eastAsia="zh-CN"/>
        </w:rPr>
        <w:t>Figure 4l</w:t>
      </w:r>
      <w:r w:rsidRPr="00A17C97">
        <w:rPr>
          <w:rFonts w:eastAsiaTheme="minorEastAsia"/>
          <w:lang w:val="en-US" w:eastAsia="zh-CN"/>
        </w:rPr>
        <w:t>, Figures S2</w:t>
      </w:r>
      <w:r w:rsidR="009C43B1" w:rsidRPr="00A17C97">
        <w:rPr>
          <w:rFonts w:eastAsiaTheme="minorEastAsia"/>
          <w:lang w:val="en-US" w:eastAsia="zh-CN"/>
        </w:rPr>
        <w:t>7</w:t>
      </w:r>
      <w:r w:rsidRPr="00A17C97">
        <w:rPr>
          <w:rFonts w:eastAsiaTheme="minorEastAsia"/>
          <w:lang w:val="en-US" w:eastAsia="zh-CN"/>
        </w:rPr>
        <w:t>-3</w:t>
      </w:r>
      <w:r w:rsidR="009C43B1" w:rsidRPr="00A17C97">
        <w:rPr>
          <w:rFonts w:eastAsiaTheme="minorEastAsia"/>
          <w:lang w:val="en-US" w:eastAsia="zh-CN"/>
        </w:rPr>
        <w:t>2</w:t>
      </w:r>
      <w:r w:rsidRPr="00A17C97">
        <w:rPr>
          <w:rFonts w:eastAsiaTheme="minorEastAsia"/>
          <w:lang w:val="en-US" w:eastAsia="zh-CN"/>
        </w:rPr>
        <w:t xml:space="preserve"> and Table S5</w:t>
      </w:r>
      <w:r w:rsidR="00CA5A1C" w:rsidRPr="00A17C97">
        <w:rPr>
          <w:rFonts w:eastAsiaTheme="minorEastAsia"/>
          <w:lang w:val="en-US" w:eastAsia="zh-CN"/>
        </w:rPr>
        <w:t xml:space="preserve"> (SI)</w:t>
      </w:r>
      <w:r w:rsidRPr="00A17C97">
        <w:rPr>
          <w:rFonts w:eastAsiaTheme="minorEastAsia"/>
          <w:lang w:val="en-US" w:eastAsia="zh-CN"/>
        </w:rPr>
        <w:t xml:space="preserve">, the </w:t>
      </w:r>
      <w:r w:rsidR="00CA5A1C" w:rsidRPr="00A17C97">
        <w:rPr>
          <w:rFonts w:eastAsiaTheme="minorEastAsia"/>
          <w:lang w:val="en-US" w:eastAsia="zh-CN"/>
        </w:rPr>
        <w:t>rule</w:t>
      </w:r>
      <w:r w:rsidRPr="00A17C97">
        <w:rPr>
          <w:rFonts w:eastAsiaTheme="minorEastAsia"/>
          <w:lang w:val="en-US" w:eastAsia="zh-CN"/>
        </w:rPr>
        <w:t xml:space="preserve"> of -C≡N ratio change is </w:t>
      </w:r>
      <w:proofErr w:type="gramStart"/>
      <w:r w:rsidRPr="00A17C97">
        <w:rPr>
          <w:rFonts w:eastAsiaTheme="minorEastAsia"/>
          <w:lang w:val="en-US" w:eastAsia="zh-CN"/>
        </w:rPr>
        <w:t>similar to</w:t>
      </w:r>
      <w:proofErr w:type="gramEnd"/>
      <w:r w:rsidRPr="00A17C97">
        <w:rPr>
          <w:rFonts w:eastAsiaTheme="minorEastAsia"/>
          <w:lang w:val="en-US" w:eastAsia="zh-CN"/>
        </w:rPr>
        <w:t xml:space="preserve"> that of Cl within BTP-eC9, illustrating that the acceptor segregation is mainly due to the d</w:t>
      </w:r>
      <w:r w:rsidRPr="00F51B55">
        <w:rPr>
          <w:rFonts w:eastAsiaTheme="minorEastAsia"/>
          <w:lang w:val="en-US" w:eastAsia="zh-CN"/>
        </w:rPr>
        <w:t>iffusion of small-molecule BTP-eC9 and the introduction of the dimer stabilizer can retard the diffusion of SMNFAs to inhibit unfavorable segregation.</w:t>
      </w:r>
    </w:p>
    <w:p w14:paraId="779DB49F" w14:textId="16CB3C85" w:rsidR="006C1256" w:rsidRPr="0068413E" w:rsidRDefault="0068413E" w:rsidP="00135998">
      <w:pPr>
        <w:spacing w:line="360" w:lineRule="auto"/>
        <w:jc w:val="center"/>
        <w:rPr>
          <w:rFonts w:eastAsiaTheme="minorEastAsia"/>
          <w:lang w:val="en-US" w:eastAsia="zh-CN"/>
        </w:rPr>
      </w:pPr>
      <w:bookmarkStart w:id="16" w:name="_Hlk157876456"/>
      <w:r w:rsidRPr="0068413E">
        <w:rPr>
          <w:rFonts w:eastAsiaTheme="minorEastAsia"/>
          <w:noProof/>
          <w:lang w:eastAsia="zh-CN"/>
        </w:rPr>
        <w:drawing>
          <wp:inline distT="0" distB="0" distL="0" distR="0" wp14:anchorId="0DDD6AF3" wp14:editId="26EAB7B5">
            <wp:extent cx="5760720" cy="2333625"/>
            <wp:effectExtent l="0" t="0" r="0" b="9525"/>
            <wp:docPr id="74" name="图片 73" descr="电脑萤幕画面&#10;&#10;描述已自动生成">
              <a:extLst xmlns:a="http://schemas.openxmlformats.org/drawingml/2006/main">
                <a:ext uri="{FF2B5EF4-FFF2-40B4-BE49-F238E27FC236}">
                  <a16:creationId xmlns:a16="http://schemas.microsoft.com/office/drawing/2014/main" id="{1954D466-037E-6046-F793-05873BB08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电脑萤幕画面&#10;&#10;描述已自动生成">
                      <a:extLst>
                        <a:ext uri="{FF2B5EF4-FFF2-40B4-BE49-F238E27FC236}">
                          <a16:creationId xmlns:a16="http://schemas.microsoft.com/office/drawing/2014/main" id="{1954D466-037E-6046-F793-05873BB08D73}"/>
                        </a:ext>
                      </a:extLst>
                    </pic:cNvPr>
                    <pic:cNvPicPr>
                      <a:picLocks noChangeAspect="1"/>
                    </pic:cNvPicPr>
                  </pic:nvPicPr>
                  <pic:blipFill>
                    <a:blip r:embed="rId15"/>
                    <a:stretch>
                      <a:fillRect/>
                    </a:stretch>
                  </pic:blipFill>
                  <pic:spPr>
                    <a:xfrm>
                      <a:off x="0" y="0"/>
                      <a:ext cx="5760720" cy="2333625"/>
                    </a:xfrm>
                    <a:prstGeom prst="rect">
                      <a:avLst/>
                    </a:prstGeom>
                    <a:solidFill>
                      <a:schemeClr val="bg1"/>
                    </a:solidFill>
                  </pic:spPr>
                </pic:pic>
              </a:graphicData>
            </a:graphic>
          </wp:inline>
        </w:drawing>
      </w:r>
    </w:p>
    <w:p w14:paraId="78272993" w14:textId="58DED465" w:rsidR="006C1256" w:rsidRPr="00A17C97" w:rsidRDefault="006C1256" w:rsidP="006C1256">
      <w:pPr>
        <w:spacing w:line="360" w:lineRule="auto"/>
        <w:jc w:val="both"/>
      </w:pPr>
      <w:r w:rsidRPr="00A17C97">
        <w:rPr>
          <w:rFonts w:hint="eastAsia"/>
          <w:b/>
          <w:bCs/>
        </w:rPr>
        <w:lastRenderedPageBreak/>
        <w:t>F</w:t>
      </w:r>
      <w:r w:rsidRPr="00A17C97">
        <w:rPr>
          <w:b/>
          <w:bCs/>
        </w:rPr>
        <w:t xml:space="preserve">igure 5. The morphology evolution. </w:t>
      </w:r>
      <w:r w:rsidRPr="00A17C97">
        <w:t>The two-dimensional (2D) GIWAXS patterns of the aged D18/BTP-eC9 (</w:t>
      </w:r>
      <w:r w:rsidRPr="00A17C97">
        <w:rPr>
          <w:b/>
          <w:bCs/>
        </w:rPr>
        <w:t>a</w:t>
      </w:r>
      <w:r w:rsidRPr="00A17C97">
        <w:t>) and D18/BTP-eC9:</w:t>
      </w:r>
      <w:r w:rsidRPr="00A17C97">
        <w:rPr>
          <w:i/>
          <w:iCs/>
        </w:rPr>
        <w:t>d</w:t>
      </w:r>
      <w:r w:rsidRPr="00A17C97">
        <w:t xml:space="preserve">BTP-ThC4 (w/ </w:t>
      </w:r>
      <w:r w:rsidRPr="00A17C97">
        <w:rPr>
          <w:i/>
          <w:iCs/>
        </w:rPr>
        <w:t>d</w:t>
      </w:r>
      <w:r w:rsidRPr="00A17C97">
        <w:t>BTP-ThC4) films (</w:t>
      </w:r>
      <w:r w:rsidRPr="00A17C97">
        <w:rPr>
          <w:b/>
          <w:bCs/>
        </w:rPr>
        <w:t>b</w:t>
      </w:r>
      <w:r w:rsidRPr="00A17C97">
        <w:t>), respectively. The line-cut-of profiles along the in-plane (IP) and out-of-plane directions (OOP) of fresh and aged D18/BTP-eC9 (</w:t>
      </w:r>
      <w:r w:rsidRPr="00A17C97">
        <w:rPr>
          <w:b/>
          <w:bCs/>
        </w:rPr>
        <w:t>c</w:t>
      </w:r>
      <w:r w:rsidRPr="00A17C97">
        <w:t xml:space="preserve">) and w/ </w:t>
      </w:r>
      <w:r w:rsidRPr="00A17C97">
        <w:rPr>
          <w:i/>
          <w:iCs/>
        </w:rPr>
        <w:t>d</w:t>
      </w:r>
      <w:r w:rsidRPr="00A17C97">
        <w:t>BTP-ThC4 films (</w:t>
      </w:r>
      <w:r w:rsidRPr="00A17C97">
        <w:rPr>
          <w:b/>
          <w:bCs/>
        </w:rPr>
        <w:t>d</w:t>
      </w:r>
      <w:r w:rsidRPr="00A17C97">
        <w:t>) corresponding to the 2D GIWAXS patterns. The GISAXS curves of fresh and aged D18/BTP-eC9 (</w:t>
      </w:r>
      <w:r w:rsidR="0068413E" w:rsidRPr="00A17C97">
        <w:rPr>
          <w:rFonts w:eastAsiaTheme="minorEastAsia" w:hint="eastAsia"/>
          <w:b/>
          <w:bCs/>
          <w:lang w:eastAsia="zh-CN"/>
        </w:rPr>
        <w:t>e</w:t>
      </w:r>
      <w:r w:rsidRPr="00A17C97">
        <w:t xml:space="preserve">) and w/ </w:t>
      </w:r>
      <w:r w:rsidRPr="00A17C97">
        <w:rPr>
          <w:i/>
          <w:iCs/>
        </w:rPr>
        <w:t>d</w:t>
      </w:r>
      <w:r w:rsidRPr="00A17C97">
        <w:t>BTP-ThC4 films (</w:t>
      </w:r>
      <w:r w:rsidR="0068413E" w:rsidRPr="00A17C97">
        <w:rPr>
          <w:rFonts w:eastAsiaTheme="minorEastAsia" w:hint="eastAsia"/>
          <w:b/>
          <w:bCs/>
          <w:lang w:eastAsia="zh-CN"/>
        </w:rPr>
        <w:t>f</w:t>
      </w:r>
      <w:r w:rsidRPr="00A17C97">
        <w:t xml:space="preserve">), where the filled and hollow dots represent the data of fresh and aged films, respectively. </w:t>
      </w:r>
      <w:r w:rsidR="0068413E" w:rsidRPr="00A17C97">
        <w:rPr>
          <w:rFonts w:eastAsiaTheme="minorEastAsia" w:hint="eastAsia"/>
          <w:lang w:eastAsia="zh-CN"/>
        </w:rPr>
        <w:t>(</w:t>
      </w:r>
      <w:r w:rsidR="0068413E" w:rsidRPr="00A17C97">
        <w:rPr>
          <w:rFonts w:eastAsiaTheme="minorEastAsia" w:hint="eastAsia"/>
          <w:b/>
          <w:bCs/>
          <w:lang w:eastAsia="zh-CN"/>
        </w:rPr>
        <w:t>g)</w:t>
      </w:r>
      <w:r w:rsidRPr="00A17C97">
        <w:t xml:space="preserve"> The statistic of gyration radius (</w:t>
      </w:r>
      <w:r w:rsidRPr="00A17C97">
        <w:rPr>
          <w:i/>
          <w:iCs/>
        </w:rPr>
        <w:t>R</w:t>
      </w:r>
      <w:r w:rsidRPr="00A17C97">
        <w:rPr>
          <w:vertAlign w:val="subscript"/>
        </w:rPr>
        <w:t>g</w:t>
      </w:r>
      <w:r w:rsidRPr="00A17C97">
        <w:t>) extracted from the GISAXS curves.</w:t>
      </w:r>
    </w:p>
    <w:bookmarkEnd w:id="16"/>
    <w:p w14:paraId="0D0A4D87" w14:textId="77777777" w:rsidR="00F51B55" w:rsidRPr="00A17C97" w:rsidRDefault="00F51B55" w:rsidP="006C1256">
      <w:pPr>
        <w:spacing w:line="360" w:lineRule="auto"/>
        <w:ind w:firstLineChars="200" w:firstLine="480"/>
        <w:jc w:val="both"/>
        <w:rPr>
          <w:rFonts w:eastAsiaTheme="minorEastAsia"/>
          <w:lang w:eastAsia="zh-CN"/>
        </w:rPr>
      </w:pPr>
    </w:p>
    <w:p w14:paraId="25186274" w14:textId="1C6E11D5" w:rsidR="00F51B55" w:rsidRPr="00A17C97" w:rsidRDefault="00F51B55" w:rsidP="00F51B55">
      <w:pPr>
        <w:spacing w:line="360" w:lineRule="auto"/>
        <w:jc w:val="both"/>
        <w:rPr>
          <w:rFonts w:eastAsiaTheme="minorEastAsia"/>
          <w:b/>
          <w:bCs/>
          <w:lang w:val="en-US" w:eastAsia="zh-CN"/>
        </w:rPr>
      </w:pPr>
      <w:r w:rsidRPr="00A17C97">
        <w:rPr>
          <w:rFonts w:eastAsiaTheme="minorEastAsia" w:hint="eastAsia"/>
          <w:b/>
          <w:bCs/>
          <w:lang w:val="en-US" w:eastAsia="zh-CN"/>
        </w:rPr>
        <w:t>2</w:t>
      </w:r>
      <w:r w:rsidRPr="00A17C97">
        <w:rPr>
          <w:rFonts w:eastAsiaTheme="minorEastAsia"/>
          <w:b/>
          <w:bCs/>
          <w:lang w:val="en-US" w:eastAsia="zh-CN"/>
        </w:rPr>
        <w:t>.6. The Morphology Evolution</w:t>
      </w:r>
    </w:p>
    <w:p w14:paraId="2303A74B" w14:textId="3D49729B" w:rsidR="00F51B55" w:rsidRPr="00F51B55" w:rsidRDefault="00591199" w:rsidP="006960F3">
      <w:pPr>
        <w:spacing w:line="360" w:lineRule="auto"/>
        <w:ind w:firstLine="708"/>
        <w:jc w:val="both"/>
        <w:rPr>
          <w:rFonts w:eastAsiaTheme="minorEastAsia"/>
          <w:lang w:val="en-US" w:eastAsia="zh-CN"/>
        </w:rPr>
      </w:pPr>
      <w:bookmarkStart w:id="17" w:name="_Hlk150762701"/>
      <w:r w:rsidRPr="00A17C97">
        <w:rPr>
          <w:rFonts w:eastAsiaTheme="minorEastAsia"/>
          <w:lang w:val="en-US" w:eastAsia="zh-CN"/>
        </w:rPr>
        <w:t>We further study the</w:t>
      </w:r>
      <w:r w:rsidR="00DE3BB0" w:rsidRPr="00A17C97">
        <w:rPr>
          <w:rFonts w:eastAsiaTheme="minorEastAsia"/>
          <w:lang w:val="en-US" w:eastAsia="zh-CN"/>
        </w:rPr>
        <w:t xml:space="preserve"> morphology evolution to intuitively describe the role of supramolecular stabilizers</w:t>
      </w:r>
      <w:r w:rsidRPr="00A17C97">
        <w:rPr>
          <w:rFonts w:eastAsiaTheme="minorEastAsia"/>
          <w:lang w:val="en-US" w:eastAsia="zh-CN"/>
        </w:rPr>
        <w:t xml:space="preserve"> during device operation</w:t>
      </w:r>
      <w:r w:rsidR="00DE3BB0" w:rsidRPr="00A17C97">
        <w:rPr>
          <w:rFonts w:eastAsiaTheme="minorEastAsia"/>
          <w:lang w:val="en-US" w:eastAsia="zh-CN"/>
        </w:rPr>
        <w:t>.</w:t>
      </w:r>
      <w:r w:rsidR="00C0665D" w:rsidRPr="00A17C97">
        <w:rPr>
          <w:rFonts w:eastAsiaTheme="minorEastAsia"/>
          <w:lang w:val="en-US" w:eastAsia="zh-CN"/>
        </w:rPr>
        <w:t xml:space="preserve"> </w:t>
      </w:r>
      <w:r w:rsidR="00F51B55" w:rsidRPr="00A17C97">
        <w:rPr>
          <w:rFonts w:eastAsiaTheme="minorEastAsia"/>
          <w:lang w:val="en-US" w:eastAsia="zh-CN"/>
        </w:rPr>
        <w:t>The grazing incidence wide-angle X-ray scattering (GIWAXS) characterization was performed to study the molecular stacking. As shown in Figure S3</w:t>
      </w:r>
      <w:r w:rsidR="009C43B1" w:rsidRPr="00A17C97">
        <w:rPr>
          <w:rFonts w:eastAsiaTheme="minorEastAsia"/>
          <w:lang w:val="en-US" w:eastAsia="zh-CN"/>
        </w:rPr>
        <w:t>3</w:t>
      </w:r>
      <w:r w:rsidR="00CA5A1C" w:rsidRPr="00A17C97">
        <w:rPr>
          <w:rFonts w:eastAsiaTheme="minorEastAsia"/>
          <w:lang w:val="en-US" w:eastAsia="zh-CN"/>
        </w:rPr>
        <w:t xml:space="preserve"> (SI)</w:t>
      </w:r>
      <w:r w:rsidR="00F51B55" w:rsidRPr="00A17C97">
        <w:rPr>
          <w:rFonts w:eastAsiaTheme="minorEastAsia"/>
          <w:lang w:val="en-US" w:eastAsia="zh-CN"/>
        </w:rPr>
        <w:t xml:space="preserve"> and </w:t>
      </w:r>
      <w:r w:rsidR="00F51B55" w:rsidRPr="00A17C97">
        <w:rPr>
          <w:rFonts w:eastAsiaTheme="minorEastAsia"/>
          <w:b/>
          <w:bCs/>
          <w:lang w:val="en-US" w:eastAsia="zh-CN"/>
        </w:rPr>
        <w:t>Figure 5a</w:t>
      </w:r>
      <w:r w:rsidR="00F51B55" w:rsidRPr="00A17C97">
        <w:rPr>
          <w:rFonts w:eastAsiaTheme="minorEastAsia"/>
          <w:lang w:val="en-US" w:eastAsia="zh-CN"/>
        </w:rPr>
        <w:t xml:space="preserve">, several new peaks </w:t>
      </w:r>
      <w:r w:rsidR="00F51B55" w:rsidRPr="00A17C97">
        <w:rPr>
          <w:rFonts w:eastAsiaTheme="minorEastAsia" w:hint="eastAsia"/>
          <w:lang w:val="en-US" w:eastAsia="zh-CN"/>
        </w:rPr>
        <w:t>loc</w:t>
      </w:r>
      <w:r w:rsidR="00F51B55" w:rsidRPr="00A17C97">
        <w:rPr>
          <w:rFonts w:eastAsiaTheme="minorEastAsia"/>
          <w:lang w:val="en-US" w:eastAsia="zh-CN"/>
        </w:rPr>
        <w:t>ated at 0.7/0.9 Å</w:t>
      </w:r>
      <w:r w:rsidR="00F51B55" w:rsidRPr="00A17C97">
        <w:rPr>
          <w:rFonts w:eastAsiaTheme="minorEastAsia"/>
          <w:vertAlign w:val="superscript"/>
          <w:lang w:val="en-US" w:eastAsia="zh-CN"/>
        </w:rPr>
        <w:t>-1</w:t>
      </w:r>
      <w:r w:rsidR="00F51B55" w:rsidRPr="00A17C97">
        <w:rPr>
          <w:rFonts w:eastAsiaTheme="minorEastAsia"/>
          <w:lang w:val="en-US" w:eastAsia="zh-CN"/>
        </w:rPr>
        <w:t xml:space="preserve"> along the out-of-plane (OOP) direction are observed in the aged D18/BTP-eC9 film accompanied by the weakened peak at 1.7</w:t>
      </w:r>
      <w:r w:rsidR="004978BF" w:rsidRPr="00A17C97">
        <w:rPr>
          <w:rFonts w:eastAsiaTheme="minorEastAsia"/>
          <w:lang w:val="en-US" w:eastAsia="zh-CN"/>
        </w:rPr>
        <w:t xml:space="preserve">0 </w:t>
      </w:r>
      <w:r w:rsidR="00F51B55" w:rsidRPr="00A17C97">
        <w:rPr>
          <w:rFonts w:eastAsiaTheme="minorEastAsia"/>
          <w:lang w:val="en-US" w:eastAsia="zh-CN"/>
        </w:rPr>
        <w:t>Å</w:t>
      </w:r>
      <w:r w:rsidR="00F51B55" w:rsidRPr="00A17C97">
        <w:rPr>
          <w:rFonts w:eastAsiaTheme="minorEastAsia"/>
          <w:vertAlign w:val="superscript"/>
          <w:lang w:val="en-US" w:eastAsia="zh-CN"/>
        </w:rPr>
        <w:t>-1</w:t>
      </w:r>
      <w:r w:rsidR="00F51B55" w:rsidRPr="00A17C97">
        <w:rPr>
          <w:rFonts w:eastAsiaTheme="minorEastAsia"/>
          <w:lang w:val="en-US" w:eastAsia="zh-CN"/>
        </w:rPr>
        <w:t xml:space="preserve"> (corresponding to the π-π stacking), </w:t>
      </w:r>
      <w:r w:rsidR="00F51B55" w:rsidRPr="00A17C97">
        <w:rPr>
          <w:rFonts w:eastAsiaTheme="minorEastAsia" w:hint="eastAsia"/>
          <w:lang w:val="en-US" w:eastAsia="zh-CN"/>
        </w:rPr>
        <w:t>i</w:t>
      </w:r>
      <w:r w:rsidR="00F51B55" w:rsidRPr="00A17C97">
        <w:rPr>
          <w:rFonts w:eastAsiaTheme="minorEastAsia"/>
          <w:lang w:val="en-US" w:eastAsia="zh-CN"/>
        </w:rPr>
        <w:t>ndicating that the segregation of SMNFAs induced by rapid molecular diffusion and surface crystallization can destroy the favorable crystal orientation. In contrast, no segregation-caused peaks could be observed in the GIWAXS patterns of fresh and aged ternary films incorporating dimer stabilizers (</w:t>
      </w:r>
      <w:r w:rsidR="00F51B55" w:rsidRPr="00A17C97">
        <w:rPr>
          <w:rFonts w:eastAsiaTheme="minorEastAsia"/>
          <w:b/>
          <w:bCs/>
          <w:lang w:val="en-US" w:eastAsia="zh-CN"/>
        </w:rPr>
        <w:t>Figure 5b</w:t>
      </w:r>
      <w:r w:rsidR="00F51B55" w:rsidRPr="00A17C97">
        <w:rPr>
          <w:rFonts w:eastAsiaTheme="minorEastAsia"/>
          <w:lang w:val="en-US" w:eastAsia="zh-CN"/>
        </w:rPr>
        <w:t xml:space="preserve"> and Figures S3</w:t>
      </w:r>
      <w:r w:rsidR="009C43B1" w:rsidRPr="00A17C97">
        <w:rPr>
          <w:rFonts w:eastAsiaTheme="minorEastAsia"/>
          <w:lang w:val="en-US" w:eastAsia="zh-CN"/>
        </w:rPr>
        <w:t>3</w:t>
      </w:r>
      <w:r w:rsidR="00F51B55" w:rsidRPr="00A17C97">
        <w:rPr>
          <w:rFonts w:eastAsiaTheme="minorEastAsia"/>
          <w:lang w:val="en-US" w:eastAsia="zh-CN"/>
        </w:rPr>
        <w:t>-3</w:t>
      </w:r>
      <w:r w:rsidR="009C43B1" w:rsidRPr="00A17C97">
        <w:rPr>
          <w:rFonts w:eastAsiaTheme="minorEastAsia"/>
          <w:lang w:val="en-US" w:eastAsia="zh-CN"/>
        </w:rPr>
        <w:t>4</w:t>
      </w:r>
      <w:r w:rsidR="00CA5A1C" w:rsidRPr="00A17C97">
        <w:rPr>
          <w:rFonts w:eastAsiaTheme="minorEastAsia"/>
          <w:lang w:val="en-US" w:eastAsia="zh-CN"/>
        </w:rPr>
        <w:t>, SI</w:t>
      </w:r>
      <w:r w:rsidR="00F51B55" w:rsidRPr="00A17C97">
        <w:rPr>
          <w:rFonts w:eastAsiaTheme="minorEastAsia"/>
          <w:lang w:val="en-US" w:eastAsia="zh-CN"/>
        </w:rPr>
        <w:t>). This demonstrates that the employment of dimers could address SMNFA molecular diffusion to facilitate a favorable and well-maintained crystallization orientation. By comparing the crystal coherence length (CCL) of π-π stacking peak (</w:t>
      </w:r>
      <w:r w:rsidR="00F51B55" w:rsidRPr="00A17C97">
        <w:rPr>
          <w:rFonts w:eastAsiaTheme="minorEastAsia"/>
          <w:b/>
          <w:bCs/>
          <w:lang w:val="en-US" w:eastAsia="zh-CN"/>
        </w:rPr>
        <w:t>Figures 5c-d</w:t>
      </w:r>
      <w:r w:rsidR="004978BF" w:rsidRPr="00A17C97">
        <w:rPr>
          <w:rFonts w:eastAsiaTheme="minorEastAsia"/>
          <w:lang w:val="en-US" w:eastAsia="zh-CN"/>
        </w:rPr>
        <w:t xml:space="preserve">, </w:t>
      </w:r>
      <w:r w:rsidR="00F51B55" w:rsidRPr="00A17C97">
        <w:rPr>
          <w:rFonts w:eastAsiaTheme="minorEastAsia"/>
          <w:lang w:val="en-US" w:eastAsia="zh-CN"/>
        </w:rPr>
        <w:t>Figure S3</w:t>
      </w:r>
      <w:r w:rsidR="009C43B1" w:rsidRPr="00A17C97">
        <w:rPr>
          <w:rFonts w:eastAsiaTheme="minorEastAsia"/>
          <w:lang w:val="en-US" w:eastAsia="zh-CN"/>
        </w:rPr>
        <w:t>5</w:t>
      </w:r>
      <w:r w:rsidR="004978BF" w:rsidRPr="00A17C97">
        <w:rPr>
          <w:rFonts w:eastAsiaTheme="minorEastAsia"/>
          <w:lang w:val="en-US" w:eastAsia="zh-CN"/>
        </w:rPr>
        <w:t xml:space="preserve"> and Table S7</w:t>
      </w:r>
      <w:r w:rsidR="00CA5A1C" w:rsidRPr="00A17C97">
        <w:rPr>
          <w:rFonts w:eastAsiaTheme="minorEastAsia"/>
          <w:lang w:val="en-US" w:eastAsia="zh-CN"/>
        </w:rPr>
        <w:t>, SI</w:t>
      </w:r>
      <w:r w:rsidR="00F51B55" w:rsidRPr="00A17C97">
        <w:rPr>
          <w:rFonts w:eastAsiaTheme="minorEastAsia"/>
          <w:lang w:val="en-US" w:eastAsia="zh-CN"/>
        </w:rPr>
        <w:t xml:space="preserve">), it is confirmed that introducing dimer stabilizers not only enhances the π-π stacking of </w:t>
      </w:r>
      <w:proofErr w:type="gramStart"/>
      <w:r w:rsidR="00F51B55" w:rsidRPr="00A17C97">
        <w:rPr>
          <w:rFonts w:eastAsiaTheme="minorEastAsia"/>
          <w:lang w:val="en-US" w:eastAsia="zh-CN"/>
        </w:rPr>
        <w:t>films, but</w:t>
      </w:r>
      <w:proofErr w:type="gramEnd"/>
      <w:r w:rsidR="00F51B55" w:rsidRPr="00A17C97">
        <w:rPr>
          <w:rFonts w:eastAsiaTheme="minorEastAsia"/>
          <w:lang w:val="en-US" w:eastAsia="zh-CN"/>
        </w:rPr>
        <w:t xml:space="preserve"> also inhibits stress-induced morphological changes during aging to maintain efficient charge-transporting pathways. Besides, it is </w:t>
      </w:r>
      <w:r w:rsidR="004978BF" w:rsidRPr="00A17C97">
        <w:rPr>
          <w:rFonts w:eastAsiaTheme="minorEastAsia"/>
          <w:lang w:val="en-US" w:eastAsia="zh-CN"/>
        </w:rPr>
        <w:t xml:space="preserve">also </w:t>
      </w:r>
      <w:r w:rsidR="00F51B55" w:rsidRPr="00A17C97">
        <w:rPr>
          <w:rFonts w:eastAsiaTheme="minorEastAsia"/>
          <w:lang w:val="en-US" w:eastAsia="zh-CN"/>
        </w:rPr>
        <w:t>noted th</w:t>
      </w:r>
      <w:r w:rsidR="00F51B55" w:rsidRPr="00F51B55">
        <w:rPr>
          <w:rFonts w:eastAsiaTheme="minorEastAsia"/>
          <w:lang w:val="en-US" w:eastAsia="zh-CN"/>
        </w:rPr>
        <w:t>at the D18/BTP-eC</w:t>
      </w:r>
      <w:proofErr w:type="gramStart"/>
      <w:r w:rsidR="00F51B55" w:rsidRPr="00F51B55">
        <w:rPr>
          <w:rFonts w:eastAsiaTheme="minorEastAsia"/>
          <w:lang w:val="en-US" w:eastAsia="zh-CN"/>
        </w:rPr>
        <w:t>9:</w:t>
      </w:r>
      <w:r w:rsidR="00F51B55" w:rsidRPr="00F51B55">
        <w:rPr>
          <w:rFonts w:eastAsiaTheme="minorEastAsia"/>
          <w:i/>
          <w:iCs/>
          <w:lang w:val="en-US" w:eastAsia="zh-CN"/>
        </w:rPr>
        <w:t>d</w:t>
      </w:r>
      <w:r w:rsidR="00F51B55" w:rsidRPr="00F51B55">
        <w:rPr>
          <w:rFonts w:eastAsiaTheme="minorEastAsia"/>
          <w:lang w:val="en-US" w:eastAsia="zh-CN"/>
        </w:rPr>
        <w:t>BTP</w:t>
      </w:r>
      <w:proofErr w:type="gramEnd"/>
      <w:r w:rsidR="00F51B55" w:rsidRPr="00F51B55">
        <w:rPr>
          <w:rFonts w:eastAsiaTheme="minorEastAsia"/>
          <w:lang w:val="en-US" w:eastAsia="zh-CN"/>
        </w:rPr>
        <w:t xml:space="preserve">-ThC4 film exhibits the longest and unchanged CCL of π-π stacking, as benefited from the reduced component segregation and is critical for maintaining excellent </w:t>
      </w:r>
      <w:proofErr w:type="spellStart"/>
      <w:r w:rsidR="00F51B55" w:rsidRPr="00F51B55">
        <w:rPr>
          <w:rFonts w:eastAsiaTheme="minorEastAsia"/>
          <w:i/>
          <w:iCs/>
          <w:lang w:val="en-US" w:eastAsia="zh-CN"/>
        </w:rPr>
        <w:t>ε</w:t>
      </w:r>
      <w:r w:rsidR="00F51B55" w:rsidRPr="00F51B55">
        <w:rPr>
          <w:rFonts w:eastAsiaTheme="minorEastAsia"/>
          <w:vertAlign w:val="subscript"/>
          <w:lang w:val="en-US" w:eastAsia="zh-CN"/>
        </w:rPr>
        <w:t>r</w:t>
      </w:r>
      <w:proofErr w:type="spellEnd"/>
      <w:r w:rsidR="00F51B55" w:rsidRPr="00F51B55">
        <w:rPr>
          <w:rFonts w:eastAsiaTheme="minorEastAsia"/>
          <w:lang w:val="en-US" w:eastAsia="zh-CN"/>
        </w:rPr>
        <w:t xml:space="preserve"> and low </w:t>
      </w:r>
      <w:r w:rsidR="00F51B55" w:rsidRPr="00F51B55">
        <w:rPr>
          <w:rFonts w:eastAsiaTheme="minorEastAsia"/>
          <w:i/>
          <w:iCs/>
          <w:lang w:val="en-US" w:eastAsia="zh-CN"/>
        </w:rPr>
        <w:t>N</w:t>
      </w:r>
      <w:r w:rsidR="00F51B55" w:rsidRPr="00F51B55">
        <w:rPr>
          <w:rFonts w:eastAsiaTheme="minorEastAsia"/>
          <w:vertAlign w:val="subscript"/>
          <w:lang w:val="en-US" w:eastAsia="zh-CN"/>
        </w:rPr>
        <w:t>t</w:t>
      </w:r>
      <w:r w:rsidR="00F51B55" w:rsidRPr="00F51B55">
        <w:rPr>
          <w:rFonts w:eastAsiaTheme="minorEastAsia" w:hint="eastAsia"/>
          <w:lang w:val="en-US" w:eastAsia="zh-CN"/>
        </w:rPr>
        <w:t>.</w:t>
      </w:r>
    </w:p>
    <w:p w14:paraId="59F3D186" w14:textId="4E5F5435" w:rsidR="002E0BD3" w:rsidRPr="00A17C97" w:rsidRDefault="00F51B55" w:rsidP="006960F3">
      <w:pPr>
        <w:spacing w:line="360" w:lineRule="auto"/>
        <w:ind w:firstLine="708"/>
        <w:jc w:val="both"/>
        <w:rPr>
          <w:rFonts w:eastAsiaTheme="minorEastAsia"/>
          <w:lang w:val="en-US" w:eastAsia="zh-CN"/>
        </w:rPr>
      </w:pPr>
      <w:r w:rsidRPr="00F51B55">
        <w:rPr>
          <w:rFonts w:eastAsiaTheme="minorEastAsia"/>
          <w:lang w:val="en-US" w:eastAsia="zh-CN"/>
        </w:rPr>
        <w:t>To quant</w:t>
      </w:r>
      <w:r w:rsidRPr="00F51B55">
        <w:rPr>
          <w:rFonts w:eastAsiaTheme="minorEastAsia" w:hint="eastAsia"/>
          <w:lang w:val="en-US" w:eastAsia="zh-CN"/>
        </w:rPr>
        <w:t>ify</w:t>
      </w:r>
      <w:r w:rsidRPr="00F51B55">
        <w:rPr>
          <w:rFonts w:eastAsiaTheme="minorEastAsia"/>
          <w:lang w:val="en-US" w:eastAsia="zh-CN"/>
        </w:rPr>
        <w:t xml:space="preserve"> the </w:t>
      </w:r>
      <w:r w:rsidRPr="00A17C97">
        <w:rPr>
          <w:rFonts w:eastAsiaTheme="minorEastAsia"/>
          <w:lang w:val="en-US" w:eastAsia="zh-CN"/>
        </w:rPr>
        <w:t>variation of phase separation, the grazing incidence small-angle X-ray scattering (GISAXS) technique was adopted to examine the gyration radius (</w:t>
      </w:r>
      <w:r w:rsidRPr="00A17C97">
        <w:rPr>
          <w:rFonts w:eastAsiaTheme="minorEastAsia"/>
          <w:i/>
          <w:iCs/>
          <w:lang w:val="en-US" w:eastAsia="zh-CN"/>
        </w:rPr>
        <w:t>R</w:t>
      </w:r>
      <w:r w:rsidRPr="00A17C97">
        <w:rPr>
          <w:rFonts w:eastAsiaTheme="minorEastAsia"/>
          <w:vertAlign w:val="subscript"/>
          <w:lang w:val="en-US" w:eastAsia="zh-CN"/>
        </w:rPr>
        <w:t>g</w:t>
      </w:r>
      <w:r w:rsidRPr="00A17C97">
        <w:rPr>
          <w:rFonts w:eastAsiaTheme="minorEastAsia"/>
          <w:lang w:val="en-US" w:eastAsia="zh-CN"/>
        </w:rPr>
        <w:t>), which reflects the domain size of acceptors.</w:t>
      </w:r>
      <w:r w:rsidRPr="00A17C97">
        <w:rPr>
          <w:rFonts w:eastAsiaTheme="minorEastAsia"/>
          <w:lang w:val="en-US" w:eastAsia="zh-CN"/>
        </w:rPr>
        <w:fldChar w:fldCharType="begin"/>
      </w:r>
      <w:r w:rsidR="00DA5BD5" w:rsidRPr="00A17C97">
        <w:rPr>
          <w:rFonts w:eastAsiaTheme="minorEastAsia"/>
          <w:lang w:val="en-US" w:eastAsia="zh-CN"/>
        </w:rPr>
        <w:instrText xml:space="preserve"> ADDIN ZOTERO_ITEM CSL_CITATION {"citationID":"2YdkIm4t","properties":{"formattedCitation":"\\super [59]\\nosupersub{}","plainCitation":"[59]","noteIndex":0},"citationItems":[{"id":51,"uris":["http://zotero.org/users/10832941/items/M8HEBI43"],"itemData":{"id":51,"type":"article-journal","container-title":"Joule","ISSN":"25424351","issue":"12","journalAbbreviation":"Joule","language":"en","page":"3154-3168","source":"DOI.org (Crossref)","title":"Nanoscale heterogeneous distribution of surface energy at interlayers in organic bulk-heterojunction solar cells","volume":"5","author":[{"family":"Li","given":"Yanxun"},{"family":"Ding","given":"Jianwei"},{"family":"Liang","given":"Cheng"},{"family":"Zhang","given":"Xuning"},{"family":"Zhang","given":"Jianqi"},{"family":"Jakob","given":"Devon S."},{"family":"Wang","given":"Boxin"},{"family":"Li","given":"Xing"},{"family":"Zhang","given":"Hong"},{"family":"Li","given":"Lina"},{"family":"Yang","given":"Yingguo"},{"family":"Zhang","given":"Guangjie"},{"family":"Zhang","given":"Xiaoxian"},{"family":"Du","given":"Wenna"},{"family":"Liu","given":"Xinfeng"},{"family":"Zhang","given":"Yuan"},{"family":"Zhang","given":"Yong"},{"family":"Xu","given":"Xiaoji"},{"family":"Qiu","given":"Xiaohui"},{"family":"Zhou","given":"Huiqiong"}],"issued":{"date-parts":[["2021",12]]}}}],"schema":"https://github.com/citation-style-language/schema/raw/master/csl-citation.json"} </w:instrText>
      </w:r>
      <w:r w:rsidRPr="00A17C97">
        <w:rPr>
          <w:rFonts w:eastAsiaTheme="minorEastAsia"/>
          <w:lang w:val="en-US" w:eastAsia="zh-CN"/>
        </w:rPr>
        <w:fldChar w:fldCharType="separate"/>
      </w:r>
      <w:r w:rsidR="00DA5BD5" w:rsidRPr="00A17C97">
        <w:rPr>
          <w:vertAlign w:val="superscript"/>
        </w:rPr>
        <w:t>[59]</w:t>
      </w:r>
      <w:r w:rsidRPr="00A17C97">
        <w:rPr>
          <w:rFonts w:eastAsiaTheme="minorEastAsia"/>
          <w:lang w:eastAsia="zh-CN"/>
        </w:rPr>
        <w:fldChar w:fldCharType="end"/>
      </w:r>
      <w:r w:rsidRPr="00A17C97">
        <w:rPr>
          <w:rFonts w:eastAsiaTheme="minorEastAsia"/>
          <w:lang w:val="en-US" w:eastAsia="zh-CN"/>
        </w:rPr>
        <w:t xml:space="preserve"> As shown in </w:t>
      </w:r>
      <w:r w:rsidRPr="00A17C97">
        <w:rPr>
          <w:rFonts w:eastAsiaTheme="minorEastAsia"/>
          <w:b/>
          <w:bCs/>
          <w:lang w:val="en-US" w:eastAsia="zh-CN"/>
        </w:rPr>
        <w:t xml:space="preserve">Figures </w:t>
      </w:r>
      <w:r w:rsidR="0068413E" w:rsidRPr="00A17C97">
        <w:rPr>
          <w:rFonts w:eastAsiaTheme="minorEastAsia"/>
          <w:b/>
          <w:bCs/>
          <w:lang w:val="en-US" w:eastAsia="zh-CN"/>
        </w:rPr>
        <w:t>5</w:t>
      </w:r>
      <w:r w:rsidR="0068413E" w:rsidRPr="00A17C97">
        <w:rPr>
          <w:rFonts w:eastAsiaTheme="minorEastAsia" w:hint="eastAsia"/>
          <w:b/>
          <w:bCs/>
          <w:lang w:val="en-US" w:eastAsia="zh-CN"/>
        </w:rPr>
        <w:t>e</w:t>
      </w:r>
      <w:r w:rsidRPr="00A17C97">
        <w:rPr>
          <w:rFonts w:eastAsiaTheme="minorEastAsia"/>
          <w:b/>
          <w:bCs/>
          <w:lang w:val="en-US" w:eastAsia="zh-CN"/>
        </w:rPr>
        <w:t>-</w:t>
      </w:r>
      <w:r w:rsidR="0068413E" w:rsidRPr="00A17C97">
        <w:rPr>
          <w:rFonts w:eastAsiaTheme="minorEastAsia" w:hint="eastAsia"/>
          <w:b/>
          <w:bCs/>
          <w:lang w:val="en-US" w:eastAsia="zh-CN"/>
        </w:rPr>
        <w:t>f</w:t>
      </w:r>
      <w:r w:rsidR="0068413E" w:rsidRPr="00A17C97">
        <w:rPr>
          <w:rFonts w:eastAsiaTheme="minorEastAsia"/>
          <w:lang w:val="en-US" w:eastAsia="zh-CN"/>
        </w:rPr>
        <w:t xml:space="preserve"> </w:t>
      </w:r>
      <w:r w:rsidRPr="00A17C97">
        <w:rPr>
          <w:rFonts w:eastAsiaTheme="minorEastAsia"/>
          <w:lang w:val="en-US" w:eastAsia="zh-CN"/>
        </w:rPr>
        <w:t xml:space="preserve">and Figure </w:t>
      </w:r>
      <w:r w:rsidR="0068413E" w:rsidRPr="00A17C97">
        <w:rPr>
          <w:rFonts w:eastAsiaTheme="minorEastAsia"/>
          <w:lang w:val="en-US" w:eastAsia="zh-CN"/>
        </w:rPr>
        <w:t>S3</w:t>
      </w:r>
      <w:r w:rsidR="0068413E" w:rsidRPr="00A17C97">
        <w:rPr>
          <w:rFonts w:eastAsiaTheme="minorEastAsia" w:hint="eastAsia"/>
          <w:lang w:val="en-US" w:eastAsia="zh-CN"/>
        </w:rPr>
        <w:t>6</w:t>
      </w:r>
      <w:r w:rsidR="0068413E" w:rsidRPr="00A17C97">
        <w:rPr>
          <w:rFonts w:eastAsiaTheme="minorEastAsia"/>
          <w:lang w:val="en-US" w:eastAsia="zh-CN"/>
        </w:rPr>
        <w:t xml:space="preserve"> </w:t>
      </w:r>
      <w:r w:rsidR="00CA5A1C" w:rsidRPr="00A17C97">
        <w:rPr>
          <w:rFonts w:eastAsiaTheme="minorEastAsia"/>
          <w:lang w:val="en-US" w:eastAsia="zh-CN"/>
        </w:rPr>
        <w:t>(SI)</w:t>
      </w:r>
      <w:r w:rsidRPr="00A17C97">
        <w:rPr>
          <w:rFonts w:eastAsiaTheme="minorEastAsia"/>
          <w:lang w:val="en-US" w:eastAsia="zh-CN"/>
        </w:rPr>
        <w:t xml:space="preserve">, the </w:t>
      </w:r>
      <w:r w:rsidRPr="00A17C97">
        <w:rPr>
          <w:rFonts w:eastAsiaTheme="minorEastAsia"/>
          <w:i/>
          <w:iCs/>
          <w:lang w:val="en-US" w:eastAsia="zh-CN"/>
        </w:rPr>
        <w:t>R</w:t>
      </w:r>
      <w:r w:rsidRPr="00A17C97">
        <w:rPr>
          <w:rFonts w:eastAsiaTheme="minorEastAsia"/>
          <w:vertAlign w:val="subscript"/>
          <w:lang w:val="en-US" w:eastAsia="zh-CN"/>
        </w:rPr>
        <w:t>g</w:t>
      </w:r>
      <w:r w:rsidRPr="00A17C97">
        <w:rPr>
          <w:rFonts w:eastAsiaTheme="minorEastAsia"/>
          <w:lang w:val="en-US" w:eastAsia="zh-CN"/>
        </w:rPr>
        <w:t xml:space="preserve"> of D18/BTP-eC9 film increases from 18.8 nm (fresh) to 21.3 nm (aged). Meanwhile, the </w:t>
      </w:r>
      <w:proofErr w:type="spellStart"/>
      <w:r w:rsidRPr="00A17C97">
        <w:rPr>
          <w:rFonts w:eastAsiaTheme="minorEastAsia"/>
          <w:i/>
          <w:iCs/>
          <w:lang w:val="en-US" w:eastAsia="zh-CN"/>
        </w:rPr>
        <w:t>R</w:t>
      </w:r>
      <w:r w:rsidRPr="00A17C97">
        <w:rPr>
          <w:rFonts w:eastAsiaTheme="minorEastAsia"/>
          <w:vertAlign w:val="subscript"/>
          <w:lang w:val="en-US" w:eastAsia="zh-CN"/>
        </w:rPr>
        <w:t>g</w:t>
      </w:r>
      <w:r w:rsidRPr="00A17C97">
        <w:rPr>
          <w:rFonts w:eastAsiaTheme="minorEastAsia"/>
          <w:lang w:val="en-US" w:eastAsia="zh-CN"/>
        </w:rPr>
        <w:t>s</w:t>
      </w:r>
      <w:proofErr w:type="spellEnd"/>
      <w:r w:rsidRPr="00A17C97">
        <w:rPr>
          <w:rFonts w:eastAsiaTheme="minorEastAsia"/>
          <w:lang w:val="en-US" w:eastAsia="zh-CN"/>
        </w:rPr>
        <w:t xml:space="preserve"> of</w:t>
      </w:r>
      <w:r w:rsidRPr="00A17C97">
        <w:rPr>
          <w:rFonts w:eastAsiaTheme="minorEastAsia"/>
          <w:i/>
          <w:iCs/>
          <w:lang w:val="en-US" w:eastAsia="zh-CN"/>
        </w:rPr>
        <w:t xml:space="preserve"> </w:t>
      </w:r>
      <w:r w:rsidRPr="00A17C97">
        <w:rPr>
          <w:rFonts w:eastAsiaTheme="minorEastAsia"/>
          <w:lang w:val="en-US" w:eastAsia="zh-CN"/>
        </w:rPr>
        <w:t xml:space="preserve">fresh and aged ternary films (Figure </w:t>
      </w:r>
      <w:r w:rsidR="0068413E" w:rsidRPr="00A17C97">
        <w:rPr>
          <w:rFonts w:eastAsiaTheme="minorEastAsia"/>
          <w:lang w:val="en-US" w:eastAsia="zh-CN"/>
        </w:rPr>
        <w:t>S3</w:t>
      </w:r>
      <w:r w:rsidR="0068413E" w:rsidRPr="00A17C97">
        <w:rPr>
          <w:rFonts w:eastAsiaTheme="minorEastAsia" w:hint="eastAsia"/>
          <w:lang w:val="en-US" w:eastAsia="zh-CN"/>
        </w:rPr>
        <w:t>7</w:t>
      </w:r>
      <w:r w:rsidR="00CA5A1C" w:rsidRPr="00A17C97">
        <w:rPr>
          <w:rFonts w:eastAsiaTheme="minorEastAsia"/>
          <w:lang w:val="en-US" w:eastAsia="zh-CN"/>
        </w:rPr>
        <w:t>, SI</w:t>
      </w:r>
      <w:r w:rsidRPr="00A17C97">
        <w:rPr>
          <w:rFonts w:eastAsiaTheme="minorEastAsia"/>
          <w:lang w:val="en-US" w:eastAsia="zh-CN"/>
        </w:rPr>
        <w:t xml:space="preserve"> and </w:t>
      </w:r>
      <w:r w:rsidRPr="00A17C97">
        <w:rPr>
          <w:rFonts w:eastAsiaTheme="minorEastAsia"/>
          <w:b/>
          <w:bCs/>
          <w:lang w:val="en-US" w:eastAsia="zh-CN"/>
        </w:rPr>
        <w:t xml:space="preserve">Figure </w:t>
      </w:r>
      <w:r w:rsidR="0068413E" w:rsidRPr="00A17C97">
        <w:rPr>
          <w:rFonts w:eastAsiaTheme="minorEastAsia"/>
          <w:b/>
          <w:bCs/>
          <w:lang w:val="en-US" w:eastAsia="zh-CN"/>
        </w:rPr>
        <w:t>5</w:t>
      </w:r>
      <w:r w:rsidR="0068413E" w:rsidRPr="00A17C97">
        <w:rPr>
          <w:rFonts w:eastAsiaTheme="minorEastAsia" w:hint="eastAsia"/>
          <w:b/>
          <w:bCs/>
          <w:lang w:val="en-US" w:eastAsia="zh-CN"/>
        </w:rPr>
        <w:t>g</w:t>
      </w:r>
      <w:r w:rsidRPr="00A17C97">
        <w:rPr>
          <w:rFonts w:eastAsiaTheme="minorEastAsia"/>
          <w:lang w:val="en-US" w:eastAsia="zh-CN"/>
        </w:rPr>
        <w:t xml:space="preserve">) show similar values, indicating higher tolerance of morphological stability in ternary films than the binary film to external stresses. Consequently, the negligible difference of </w:t>
      </w:r>
      <w:r w:rsidRPr="00A17C97">
        <w:rPr>
          <w:rFonts w:eastAsiaTheme="minorEastAsia"/>
          <w:i/>
          <w:iCs/>
          <w:lang w:val="en-US" w:eastAsia="zh-CN"/>
        </w:rPr>
        <w:t>R</w:t>
      </w:r>
      <w:r w:rsidRPr="00A17C97">
        <w:rPr>
          <w:rFonts w:eastAsiaTheme="minorEastAsia"/>
          <w:vertAlign w:val="subscript"/>
          <w:lang w:val="en-US" w:eastAsia="zh-CN"/>
        </w:rPr>
        <w:t>g</w:t>
      </w:r>
      <w:r w:rsidRPr="00A17C97">
        <w:rPr>
          <w:rFonts w:eastAsiaTheme="minorEastAsia"/>
          <w:lang w:val="en-US" w:eastAsia="zh-CN"/>
        </w:rPr>
        <w:t xml:space="preserve"> (23.1 nm </w:t>
      </w:r>
      <w:proofErr w:type="spellStart"/>
      <w:r w:rsidRPr="00A17C97">
        <w:rPr>
          <w:rFonts w:eastAsiaTheme="minorEastAsia"/>
          <w:lang w:val="en-US" w:eastAsia="zh-CN"/>
        </w:rPr>
        <w:t>v.s</w:t>
      </w:r>
      <w:proofErr w:type="spellEnd"/>
      <w:r w:rsidRPr="00A17C97">
        <w:rPr>
          <w:rFonts w:eastAsiaTheme="minorEastAsia"/>
          <w:lang w:val="en-US" w:eastAsia="zh-CN"/>
        </w:rPr>
        <w:t xml:space="preserve">. 23.0 nm) is observed in the </w:t>
      </w:r>
      <w:r w:rsidRPr="00A17C97">
        <w:rPr>
          <w:rFonts w:eastAsiaTheme="minorEastAsia"/>
          <w:lang w:val="en-US" w:eastAsia="zh-CN"/>
        </w:rPr>
        <w:lastRenderedPageBreak/>
        <w:t>fresh and aged the D18/BTP-eC</w:t>
      </w:r>
      <w:proofErr w:type="gramStart"/>
      <w:r w:rsidRPr="00A17C97">
        <w:rPr>
          <w:rFonts w:eastAsiaTheme="minorEastAsia"/>
          <w:lang w:val="en-US" w:eastAsia="zh-CN"/>
        </w:rPr>
        <w:t>9:</w:t>
      </w:r>
      <w:r w:rsidRPr="00A17C97">
        <w:rPr>
          <w:rFonts w:eastAsiaTheme="minorEastAsia"/>
          <w:i/>
          <w:iCs/>
          <w:lang w:val="en-US" w:eastAsia="zh-CN"/>
        </w:rPr>
        <w:t>d</w:t>
      </w:r>
      <w:r w:rsidRPr="00A17C97">
        <w:rPr>
          <w:rFonts w:eastAsiaTheme="minorEastAsia"/>
          <w:lang w:val="en-US" w:eastAsia="zh-CN"/>
        </w:rPr>
        <w:t>BTP</w:t>
      </w:r>
      <w:proofErr w:type="gramEnd"/>
      <w:r w:rsidRPr="00A17C97">
        <w:rPr>
          <w:rFonts w:eastAsiaTheme="minorEastAsia"/>
          <w:lang w:val="en-US" w:eastAsia="zh-CN"/>
        </w:rPr>
        <w:t>-ThC4 films, which</w:t>
      </w:r>
      <w:r w:rsidR="00DF1E9B" w:rsidRPr="00A17C97">
        <w:rPr>
          <w:rFonts w:eastAsiaTheme="minorEastAsia" w:hint="eastAsia"/>
          <w:lang w:val="en-US" w:eastAsia="zh-CN"/>
        </w:rPr>
        <w:t xml:space="preserve"> illustrates the enhanced phase stability of the dimer-based active layer</w:t>
      </w:r>
      <w:r w:rsidRPr="00A17C97">
        <w:rPr>
          <w:rFonts w:eastAsiaTheme="minorEastAsia"/>
          <w:lang w:val="en-US" w:eastAsia="zh-CN"/>
        </w:rPr>
        <w:t xml:space="preserve">. In short, the stable morphology enabled by the dimer stabilizer stems from the retarded molecular diffusion and suppressed surface crystallization, which can further minimize the component segregation to maintain favorable π-π stacking and morphological stability. More importantly, the typical burn-in loss observed in MPPT is greatly eliminated due to the stable morphology associated with the optimal thermal transition properties of dimer stabilizers with moderate flexible linker length, resulting in low </w:t>
      </w:r>
      <w:proofErr w:type="spellStart"/>
      <w:r w:rsidRPr="00A17C97">
        <w:rPr>
          <w:rFonts w:eastAsiaTheme="minorEastAsia"/>
          <w:i/>
          <w:iCs/>
          <w:lang w:val="en-US" w:eastAsia="zh-CN"/>
        </w:rPr>
        <w:t>N</w:t>
      </w:r>
      <w:r w:rsidRPr="00A17C97">
        <w:rPr>
          <w:rFonts w:eastAsiaTheme="minorEastAsia"/>
          <w:vertAlign w:val="subscript"/>
          <w:lang w:val="en-US" w:eastAsia="zh-CN"/>
        </w:rPr>
        <w:t>t</w:t>
      </w:r>
      <w:proofErr w:type="spellEnd"/>
      <w:r w:rsidRPr="00A17C97">
        <w:rPr>
          <w:rFonts w:eastAsiaTheme="minorEastAsia"/>
          <w:vertAlign w:val="subscript"/>
          <w:lang w:val="en-US" w:eastAsia="zh-CN"/>
        </w:rPr>
        <w:t xml:space="preserve"> </w:t>
      </w:r>
      <w:r w:rsidRPr="00A17C97">
        <w:rPr>
          <w:rFonts w:eastAsiaTheme="minorEastAsia"/>
          <w:lang w:val="en-US" w:eastAsia="zh-CN"/>
        </w:rPr>
        <w:t>in the corresponding devices.</w:t>
      </w:r>
      <w:bookmarkEnd w:id="17"/>
    </w:p>
    <w:p w14:paraId="43977AB9" w14:textId="77777777" w:rsidR="00004A23" w:rsidRPr="00A17C97" w:rsidRDefault="00004A23" w:rsidP="008C6D5F">
      <w:pPr>
        <w:spacing w:line="360" w:lineRule="auto"/>
        <w:rPr>
          <w:lang w:val="en-US"/>
        </w:rPr>
      </w:pPr>
    </w:p>
    <w:p w14:paraId="254BF382" w14:textId="33761F3D" w:rsidR="00004A23" w:rsidRPr="00A17C97" w:rsidRDefault="00F51B55" w:rsidP="008C6D5F">
      <w:pPr>
        <w:pStyle w:val="Head1"/>
      </w:pPr>
      <w:r w:rsidRPr="00A17C97">
        <w:t>3</w:t>
      </w:r>
      <w:r w:rsidR="00004A23" w:rsidRPr="00A17C97">
        <w:t xml:space="preserve">. </w:t>
      </w:r>
      <w:r w:rsidR="00327FDC" w:rsidRPr="00A17C97">
        <w:t>Conclusion</w:t>
      </w:r>
    </w:p>
    <w:p w14:paraId="1B7628BB" w14:textId="4394CA84" w:rsidR="00F51B55" w:rsidRPr="00A17C97" w:rsidRDefault="00F51B55" w:rsidP="00C00221">
      <w:pPr>
        <w:spacing w:line="360" w:lineRule="auto"/>
        <w:ind w:firstLine="708"/>
        <w:jc w:val="both"/>
        <w:rPr>
          <w:lang w:val="en-US"/>
        </w:rPr>
      </w:pPr>
      <w:bookmarkStart w:id="18" w:name="_Hlk150762096"/>
      <w:r w:rsidRPr="00A17C97">
        <w:rPr>
          <w:lang w:val="en-US"/>
        </w:rPr>
        <w:t xml:space="preserve">Overcoming the meta-stable active layer morphology and maintaining a low-level </w:t>
      </w:r>
      <w:proofErr w:type="spellStart"/>
      <w:r w:rsidRPr="00A17C97">
        <w:rPr>
          <w:i/>
          <w:iCs/>
          <w:lang w:val="en-US"/>
        </w:rPr>
        <w:t>N</w:t>
      </w:r>
      <w:r w:rsidRPr="00A17C97">
        <w:rPr>
          <w:vertAlign w:val="subscript"/>
          <w:lang w:val="en-US"/>
        </w:rPr>
        <w:t>t</w:t>
      </w:r>
      <w:proofErr w:type="spellEnd"/>
      <w:r w:rsidRPr="00A17C97">
        <w:rPr>
          <w:lang w:val="en-US"/>
        </w:rPr>
        <w:t xml:space="preserve"> in the device </w:t>
      </w:r>
      <w:r w:rsidR="004978BF" w:rsidRPr="00A17C97">
        <w:rPr>
          <w:lang w:val="en-US"/>
        </w:rPr>
        <w:t xml:space="preserve">under </w:t>
      </w:r>
      <w:r w:rsidRPr="00A17C97">
        <w:rPr>
          <w:lang w:val="en-US"/>
        </w:rPr>
        <w:t xml:space="preserve">external stress are the critical keys to eliminating the burn-in loss of OPVs. To enable a stable morphology, ternary devices based on the </w:t>
      </w:r>
      <w:r w:rsidR="004978BF" w:rsidRPr="00A17C97">
        <w:rPr>
          <w:lang w:val="en-US"/>
        </w:rPr>
        <w:t xml:space="preserve">dimer stabilizer with optimal </w:t>
      </w:r>
      <w:r w:rsidRPr="00A17C97">
        <w:rPr>
          <w:lang w:val="en-US"/>
        </w:rPr>
        <w:t xml:space="preserve">flexible linker length (C4) and PMHJ architecture </w:t>
      </w:r>
      <w:proofErr w:type="gramStart"/>
      <w:r w:rsidRPr="00A17C97">
        <w:rPr>
          <w:lang w:val="en-US"/>
        </w:rPr>
        <w:t>are capable of optimizing</w:t>
      </w:r>
      <w:proofErr w:type="gramEnd"/>
      <w:r w:rsidRPr="00A17C97">
        <w:rPr>
          <w:lang w:val="en-US"/>
        </w:rPr>
        <w:t xml:space="preserve"> their thermal</w:t>
      </w:r>
      <w:r w:rsidR="004978BF" w:rsidRPr="00A17C97">
        <w:rPr>
          <w:lang w:val="en-US"/>
        </w:rPr>
        <w:t>-</w:t>
      </w:r>
      <w:r w:rsidRPr="00A17C97">
        <w:rPr>
          <w:lang w:val="en-US"/>
        </w:rPr>
        <w:t xml:space="preserve">transition properties to retard molecular diffusion and surface crystallization. This results in </w:t>
      </w:r>
      <w:r w:rsidR="004978BF" w:rsidRPr="00A17C97">
        <w:rPr>
          <w:lang w:val="en-US"/>
        </w:rPr>
        <w:t xml:space="preserve">the </w:t>
      </w:r>
      <w:r w:rsidRPr="00A17C97">
        <w:rPr>
          <w:lang w:val="en-US"/>
        </w:rPr>
        <w:t xml:space="preserve">more </w:t>
      </w:r>
      <w:r w:rsidR="00DE3BB0" w:rsidRPr="00A17C97">
        <w:rPr>
          <w:lang w:val="en-US"/>
        </w:rPr>
        <w:t>well-</w:t>
      </w:r>
      <w:r w:rsidRPr="00A17C97">
        <w:rPr>
          <w:lang w:val="en-US"/>
        </w:rPr>
        <w:t xml:space="preserve">organized and robust molecular distribution, π-π stacking, and phase separation in the OSC blend. Meanwhile, the crystallization- and morphology-regulation effects of dimer stabilizers can also facilitate rapid charge extraction, suppressed charge recombination, efficient charge transport, and low </w:t>
      </w:r>
      <w:proofErr w:type="spellStart"/>
      <w:r w:rsidRPr="00A17C97">
        <w:rPr>
          <w:i/>
          <w:iCs/>
          <w:lang w:val="en-US"/>
        </w:rPr>
        <w:t>N</w:t>
      </w:r>
      <w:r w:rsidRPr="00A17C97">
        <w:rPr>
          <w:vertAlign w:val="subscript"/>
          <w:lang w:val="en-US"/>
        </w:rPr>
        <w:t>t</w:t>
      </w:r>
      <w:proofErr w:type="spellEnd"/>
      <w:r w:rsidRPr="00A17C97">
        <w:rPr>
          <w:lang w:val="en-US"/>
        </w:rPr>
        <w:t xml:space="preserve"> resulting in a high PCE of over 19%. These dimer</w:t>
      </w:r>
      <w:r w:rsidR="00DE3BB0" w:rsidRPr="00A17C97">
        <w:rPr>
          <w:lang w:val="en-US"/>
        </w:rPr>
        <w:t xml:space="preserve"> supramolecular</w:t>
      </w:r>
      <w:r w:rsidRPr="00A17C97">
        <w:rPr>
          <w:lang w:val="en-US"/>
        </w:rPr>
        <w:t xml:space="preserve"> stabilizers enable excellent photovoltaic physical properties that </w:t>
      </w:r>
      <w:r w:rsidR="004978BF" w:rsidRPr="00A17C97">
        <w:rPr>
          <w:lang w:val="en-US"/>
        </w:rPr>
        <w:t xml:space="preserve">can </w:t>
      </w:r>
      <w:r w:rsidRPr="00A17C97">
        <w:rPr>
          <w:lang w:val="en-US"/>
        </w:rPr>
        <w:t>be maintained well under external stresses</w:t>
      </w:r>
      <w:r w:rsidR="00DE3BB0" w:rsidRPr="00A17C97">
        <w:rPr>
          <w:lang w:val="en-US"/>
        </w:rPr>
        <w:t xml:space="preserve">, which </w:t>
      </w:r>
      <w:r w:rsidR="00591199" w:rsidRPr="00A17C97">
        <w:rPr>
          <w:lang w:val="en-US"/>
        </w:rPr>
        <w:t>help</w:t>
      </w:r>
      <w:r w:rsidR="00DE3BB0" w:rsidRPr="00A17C97">
        <w:rPr>
          <w:lang w:val="en-US"/>
        </w:rPr>
        <w:t xml:space="preserve"> eliminat</w:t>
      </w:r>
      <w:r w:rsidR="00591199" w:rsidRPr="00A17C97">
        <w:rPr>
          <w:lang w:val="en-US"/>
        </w:rPr>
        <w:t xml:space="preserve">e the </w:t>
      </w:r>
      <w:r w:rsidRPr="00A17C97">
        <w:rPr>
          <w:lang w:val="en-US"/>
        </w:rPr>
        <w:t>burn-in loss</w:t>
      </w:r>
      <w:r w:rsidR="00DE3BB0" w:rsidRPr="00A17C97">
        <w:rPr>
          <w:lang w:val="en-US"/>
        </w:rPr>
        <w:t xml:space="preserve"> </w:t>
      </w:r>
      <w:r w:rsidR="00591199" w:rsidRPr="00A17C97">
        <w:rPr>
          <w:lang w:val="en-US"/>
        </w:rPr>
        <w:t>for</w:t>
      </w:r>
      <w:r w:rsidRPr="00A17C97">
        <w:rPr>
          <w:lang w:val="en-US"/>
        </w:rPr>
        <w:t xml:space="preserve"> maintaining a </w:t>
      </w:r>
      <w:r w:rsidRPr="00A17C97">
        <w:rPr>
          <w:i/>
          <w:iCs/>
          <w:lang w:val="en-US"/>
        </w:rPr>
        <w:t>T</w:t>
      </w:r>
      <w:r w:rsidRPr="00A17C97">
        <w:rPr>
          <w:vertAlign w:val="subscript"/>
          <w:lang w:val="en-US"/>
        </w:rPr>
        <w:t>98</w:t>
      </w:r>
      <w:r w:rsidRPr="00A17C97">
        <w:rPr>
          <w:lang w:val="en-US"/>
        </w:rPr>
        <w:t xml:space="preserve"> of 600 h under MPPT. Our investigation provides useful guidelines for the fabrication of burn-in-free OSCs to facilitate their future commercial deployment. </w:t>
      </w:r>
    </w:p>
    <w:bookmarkEnd w:id="18"/>
    <w:p w14:paraId="6DC99612" w14:textId="77777777" w:rsidR="00004A23" w:rsidRPr="00A17C97" w:rsidRDefault="00004A23" w:rsidP="008C6D5F">
      <w:pPr>
        <w:spacing w:line="360" w:lineRule="auto"/>
        <w:rPr>
          <w:lang w:val="en-US"/>
        </w:rPr>
      </w:pPr>
    </w:p>
    <w:p w14:paraId="698F1431" w14:textId="5B46C1AD" w:rsidR="00004A23" w:rsidRDefault="00A42FBA" w:rsidP="008C6D5F">
      <w:pPr>
        <w:pStyle w:val="Head1"/>
      </w:pPr>
      <w:r w:rsidRPr="00A17C97">
        <w:t>Methods</w:t>
      </w:r>
      <w:r w:rsidR="00562E2B">
        <w:t xml:space="preserve"> </w:t>
      </w:r>
    </w:p>
    <w:p w14:paraId="655364CE" w14:textId="542AE22E" w:rsidR="00F51B55" w:rsidRDefault="00F51B55" w:rsidP="00C00221">
      <w:pPr>
        <w:pStyle w:val="ExperimentalText"/>
        <w:jc w:val="both"/>
        <w:rPr>
          <w:rFonts w:eastAsiaTheme="minorEastAsia"/>
          <w:iCs/>
          <w:lang w:eastAsia="zh-CN"/>
        </w:rPr>
      </w:pPr>
      <w:r>
        <w:rPr>
          <w:rFonts w:eastAsiaTheme="minorEastAsia" w:hint="eastAsia"/>
          <w:i/>
          <w:lang w:eastAsia="zh-CN"/>
        </w:rPr>
        <w:t>M</w:t>
      </w:r>
      <w:r>
        <w:rPr>
          <w:rFonts w:eastAsiaTheme="minorEastAsia"/>
          <w:i/>
          <w:lang w:eastAsia="zh-CN"/>
        </w:rPr>
        <w:t xml:space="preserve">aterials: </w:t>
      </w:r>
      <w:bookmarkStart w:id="19" w:name="_Hlk150763166"/>
      <w:r w:rsidRPr="00F51B55">
        <w:rPr>
          <w:rFonts w:eastAsiaTheme="minorEastAsia"/>
          <w:iCs/>
          <w:lang w:eastAsia="zh-CN"/>
        </w:rPr>
        <w:t>The D18 was synthesized according to the literature</w:t>
      </w:r>
      <w:r w:rsidRPr="00F51B55">
        <w:rPr>
          <w:rFonts w:eastAsiaTheme="minorEastAsia"/>
          <w:iCs/>
          <w:lang w:eastAsia="zh-CN"/>
        </w:rPr>
        <w:fldChar w:fldCharType="begin"/>
      </w:r>
      <w:r w:rsidR="00DA5BD5">
        <w:rPr>
          <w:rFonts w:eastAsiaTheme="minorEastAsia"/>
          <w:iCs/>
          <w:lang w:eastAsia="zh-CN"/>
        </w:rPr>
        <w:instrText xml:space="preserve"> ADDIN ZOTERO_ITEM CSL_CITATION {"citationID":"5rklIAeD","properties":{"formattedCitation":"\\super [60]\\nosupersub{}","plainCitation":"[60]","noteIndex":0},"citationItems":[{"id":1475,"uris":["http://zotero.org/users/10832941/items/CTGRDQG7"],"itemData":{"id":1475,"type":"article-journal","container-title":"Science Bulletin","ISSN":"20959273","issue":"4","journalAbbreviation":"Sci. Bull.","language":"en","page":"272-275","source":"DOI.org (Crossref)","title":"18% Efficiency organic solar cells","volume":"65","author":[{"family":"Liu","given":"Qishi"},{"family":"Jiang","given":"Yufan"},{"family":"Jin","given":"Ke"},{"family":"Qin","given":"Jianqiang"},{"family":"Xu","given":"Jingui"},{"family":"Li","given":"Wenting"},{"family":"Xiong","given":"Ji"},{"family":"Liu","given":"Jinfeng"},{"family":"Xiao","given":"Zuo"},{"family":"Sun","given":"Kuan"},{"family":"Yang","given":"Shangfeng"},{"family":"Zhang","given":"Xiaotao"},{"family":"Ding","given":"Liming"}],"issued":{"date-parts":[["2020",2]]}}}],"schema":"https://github.com/citation-style-language/schema/raw/master/csl-citation.json"} </w:instrText>
      </w:r>
      <w:r w:rsidRPr="00F51B55">
        <w:rPr>
          <w:rFonts w:eastAsiaTheme="minorEastAsia"/>
          <w:iCs/>
          <w:lang w:eastAsia="zh-CN"/>
        </w:rPr>
        <w:fldChar w:fldCharType="separate"/>
      </w:r>
      <w:r w:rsidR="00DA5BD5" w:rsidRPr="00DA5BD5">
        <w:rPr>
          <w:vertAlign w:val="superscript"/>
        </w:rPr>
        <w:t>[60]</w:t>
      </w:r>
      <w:r w:rsidRPr="00F51B55">
        <w:rPr>
          <w:rFonts w:eastAsiaTheme="minorEastAsia"/>
          <w:iCs/>
          <w:lang w:eastAsia="zh-CN"/>
        </w:rPr>
        <w:fldChar w:fldCharType="end"/>
      </w:r>
      <w:r w:rsidRPr="00F51B55">
        <w:rPr>
          <w:rFonts w:eastAsiaTheme="minorEastAsia"/>
          <w:iCs/>
          <w:lang w:eastAsia="zh-CN"/>
        </w:rPr>
        <w:t>. BTP-eC9 and L8-BO we</w:t>
      </w:r>
      <w:r w:rsidRPr="00F51B55">
        <w:rPr>
          <w:rFonts w:eastAsiaTheme="minorEastAsia" w:hint="eastAsia"/>
          <w:iCs/>
          <w:lang w:eastAsia="zh-CN"/>
        </w:rPr>
        <w:t>re</w:t>
      </w:r>
      <w:r w:rsidRPr="00F51B55">
        <w:rPr>
          <w:rFonts w:eastAsiaTheme="minorEastAsia"/>
          <w:iCs/>
          <w:lang w:eastAsia="zh-CN"/>
        </w:rPr>
        <w:t xml:space="preserve"> purchased from the </w:t>
      </w:r>
      <w:proofErr w:type="spellStart"/>
      <w:r w:rsidRPr="00F51B55">
        <w:rPr>
          <w:rFonts w:eastAsiaTheme="minorEastAsia"/>
          <w:iCs/>
          <w:lang w:eastAsia="zh-CN"/>
        </w:rPr>
        <w:t>Solarmer</w:t>
      </w:r>
      <w:proofErr w:type="spellEnd"/>
      <w:r w:rsidRPr="00F51B55">
        <w:rPr>
          <w:rFonts w:eastAsiaTheme="minorEastAsia"/>
          <w:iCs/>
          <w:lang w:eastAsia="zh-CN"/>
        </w:rPr>
        <w:t xml:space="preserve"> Inc. The </w:t>
      </w:r>
      <w:proofErr w:type="gramStart"/>
      <w:r w:rsidRPr="00F51B55">
        <w:rPr>
          <w:rFonts w:eastAsiaTheme="minorEastAsia"/>
          <w:iCs/>
          <w:lang w:eastAsia="zh-CN"/>
        </w:rPr>
        <w:t>PEDOT:PSS</w:t>
      </w:r>
      <w:proofErr w:type="gramEnd"/>
      <w:r w:rsidRPr="00F51B55">
        <w:rPr>
          <w:rFonts w:eastAsiaTheme="minorEastAsia"/>
          <w:iCs/>
          <w:lang w:eastAsia="zh-CN"/>
        </w:rPr>
        <w:t xml:space="preserve"> (PVP Al 4083) and PNDIT-F3N were purchased from Heraeus and </w:t>
      </w:r>
      <w:proofErr w:type="spellStart"/>
      <w:r w:rsidRPr="00F51B55">
        <w:rPr>
          <w:rFonts w:eastAsiaTheme="minorEastAsia"/>
          <w:iCs/>
          <w:lang w:eastAsia="zh-CN"/>
        </w:rPr>
        <w:t>eflex</w:t>
      </w:r>
      <w:proofErr w:type="spellEnd"/>
      <w:r w:rsidRPr="00F51B55">
        <w:rPr>
          <w:rFonts w:eastAsiaTheme="minorEastAsia"/>
          <w:iCs/>
          <w:lang w:eastAsia="zh-CN"/>
        </w:rPr>
        <w:t xml:space="preserve"> PV, respectively. All chemicals and reagents for the synthesis of dimers were purchased from commercial resources and were used without further purification. ThC2-Sn, ThC4-Sn, ThC6-Sn and Compound 4 were synthesized according to the literature.</w:t>
      </w:r>
      <w:r w:rsidRPr="00F51B55">
        <w:rPr>
          <w:rFonts w:eastAsiaTheme="minorEastAsia"/>
          <w:iCs/>
          <w:lang w:eastAsia="zh-CN"/>
        </w:rPr>
        <w:fldChar w:fldCharType="begin"/>
      </w:r>
      <w:r w:rsidR="00DA5BD5">
        <w:rPr>
          <w:rFonts w:eastAsiaTheme="minorEastAsia"/>
          <w:iCs/>
          <w:lang w:eastAsia="zh-CN"/>
        </w:rPr>
        <w:instrText xml:space="preserve"> ADDIN ZOTERO_ITEM CSL_CITATION {"citationID":"kbCEgXG5","properties":{"formattedCitation":"\\super [61]\\nosupersub{}","plainCitation":"[61]","noteIndex":0},"citationItems":[{"id":1477,"uris":["http://zotero.org/users/10832941/items/PY5IJZ9L"],"itemData":{"id":1477,"type":"article-journal","container-title":"Macromolecules","ISSN":"0024-9297, 1520-5835","issue":"7","journalAbbreviation":"Macromolecules","language":"en","page":"2601-2608","source":"DOI.org (Crossref)","title":"Complementary Semiconducting Polymer Blends: The Influence of Conjugation-Break Spacer Length in Matrix Polymers","title-short":"Complementary Semiconducting Polymer Blends","volume":"49","author":[{"family":"Zhao","given":"Xikang"},{"family":"Zhao","given":"Yan"},{"family":"Ge","given":"Qu"},{"family":"Butrouna","given":"Kamal"},{"family":"Diao","given":"Ying"},{"family":"Graham","given":"Kenneth R."},{"family":"Mei","given":"Jianguo"}],"issued":{"date-parts":[["2016",4,12]]}}}],"schema":"https://github.com/citation-style-language/schema/raw/master/csl-citation.json"} </w:instrText>
      </w:r>
      <w:r w:rsidRPr="00F51B55">
        <w:rPr>
          <w:rFonts w:eastAsiaTheme="minorEastAsia"/>
          <w:iCs/>
          <w:lang w:eastAsia="zh-CN"/>
        </w:rPr>
        <w:fldChar w:fldCharType="separate"/>
      </w:r>
      <w:r w:rsidR="00DA5BD5" w:rsidRPr="00DA5BD5">
        <w:rPr>
          <w:vertAlign w:val="superscript"/>
        </w:rPr>
        <w:t>[61]</w:t>
      </w:r>
      <w:r w:rsidRPr="00F51B55">
        <w:rPr>
          <w:rFonts w:eastAsiaTheme="minorEastAsia"/>
          <w:iCs/>
          <w:lang w:eastAsia="zh-CN"/>
        </w:rPr>
        <w:fldChar w:fldCharType="end"/>
      </w:r>
      <w:r w:rsidRPr="00F51B55">
        <w:rPr>
          <w:rFonts w:eastAsiaTheme="minorEastAsia"/>
          <w:iCs/>
          <w:lang w:eastAsia="zh-CN"/>
        </w:rPr>
        <w:t xml:space="preserve"> </w:t>
      </w:r>
      <w:bookmarkEnd w:id="19"/>
    </w:p>
    <w:p w14:paraId="0B787521" w14:textId="2B5F7DB9" w:rsidR="00F51B55" w:rsidRPr="00A17C97" w:rsidRDefault="00F51B55" w:rsidP="00C00221">
      <w:pPr>
        <w:pStyle w:val="ExperimentalText"/>
        <w:jc w:val="both"/>
        <w:rPr>
          <w:rFonts w:eastAsiaTheme="minorEastAsia"/>
          <w:lang w:val="de-DE" w:eastAsia="zh-CN"/>
        </w:rPr>
      </w:pPr>
      <w:r w:rsidRPr="00F51B55">
        <w:rPr>
          <w:rFonts w:eastAsiaTheme="minorEastAsia" w:hint="eastAsia"/>
          <w:i/>
          <w:iCs/>
          <w:lang w:val="de-DE" w:eastAsia="zh-CN"/>
        </w:rPr>
        <w:lastRenderedPageBreak/>
        <w:t>J</w:t>
      </w:r>
      <w:r w:rsidRPr="00F51B55">
        <w:rPr>
          <w:rFonts w:eastAsiaTheme="minorEastAsia"/>
          <w:i/>
          <w:iCs/>
          <w:lang w:val="de-DE" w:eastAsia="zh-CN"/>
        </w:rPr>
        <w:t>-V C</w:t>
      </w:r>
      <w:r w:rsidRPr="00F51B55">
        <w:rPr>
          <w:rFonts w:eastAsiaTheme="minorEastAsia" w:hint="eastAsia"/>
          <w:i/>
          <w:iCs/>
          <w:lang w:val="de-DE" w:eastAsia="zh-CN"/>
        </w:rPr>
        <w:t>har</w:t>
      </w:r>
      <w:r w:rsidRPr="00F51B55">
        <w:rPr>
          <w:rFonts w:eastAsiaTheme="minorEastAsia"/>
          <w:i/>
          <w:iCs/>
          <w:lang w:val="de-DE" w:eastAsia="zh-CN"/>
        </w:rPr>
        <w:t>acterizations, EQE and Stability Evaluation</w:t>
      </w:r>
      <w:r>
        <w:rPr>
          <w:rFonts w:eastAsiaTheme="minorEastAsia"/>
          <w:i/>
          <w:iCs/>
          <w:lang w:val="de-DE" w:eastAsia="zh-CN"/>
        </w:rPr>
        <w:t xml:space="preserve">: </w:t>
      </w:r>
      <w:bookmarkStart w:id="20" w:name="_Hlk150763198"/>
      <w:r w:rsidRPr="00F51B55">
        <w:rPr>
          <w:rFonts w:eastAsiaTheme="minorEastAsia"/>
          <w:lang w:val="de-DE" w:eastAsia="zh-CN"/>
        </w:rPr>
        <w:t xml:space="preserve">The </w:t>
      </w:r>
      <w:r w:rsidRPr="00135998">
        <w:rPr>
          <w:rFonts w:eastAsiaTheme="minorEastAsia"/>
          <w:i/>
          <w:iCs/>
          <w:lang w:val="de-DE" w:eastAsia="zh-CN"/>
        </w:rPr>
        <w:t>J−V</w:t>
      </w:r>
      <w:r w:rsidRPr="00F51B55">
        <w:rPr>
          <w:rFonts w:eastAsiaTheme="minorEastAsia"/>
          <w:lang w:val="de-DE" w:eastAsia="zh-CN"/>
        </w:rPr>
        <w:t xml:space="preserve"> characteristics were performed by the solar simulator (Enlitech SS-F5, Enlitech) along with AM 1.5 G spectra which intensity was calibrated by the certified standard silicon solar cell at 100 mW/cm</w:t>
      </w:r>
      <w:r w:rsidRPr="00F51B55">
        <w:rPr>
          <w:rFonts w:eastAsiaTheme="minorEastAsia"/>
          <w:vertAlign w:val="superscript"/>
          <w:lang w:val="de-DE" w:eastAsia="zh-CN"/>
        </w:rPr>
        <w:t>2</w:t>
      </w:r>
      <w:r w:rsidRPr="00F51B55">
        <w:rPr>
          <w:rFonts w:eastAsiaTheme="minorEastAsia"/>
          <w:lang w:val="de-DE" w:eastAsia="zh-CN"/>
        </w:rPr>
        <w:t>. EQE spectra were measured by a Solar Cell Spectral R</w:t>
      </w:r>
      <w:r w:rsidRPr="00A17C97">
        <w:rPr>
          <w:rFonts w:eastAsiaTheme="minorEastAsia"/>
          <w:lang w:val="de-DE" w:eastAsia="zh-CN"/>
        </w:rPr>
        <w:t xml:space="preserve">esponse Measurement System QE-S (Enlitech, Taiwan) equipped with a standard silicon diode, where the monochromatic light was generated from a Newport 300 W lamp. Dynamic MPPT was examined on an in-situ stability measurement system (CRYSCO, Guangzhou) under the LED lamp with an intensity equaling 1 </w:t>
      </w:r>
      <w:r w:rsidR="005268F5" w:rsidRPr="00A17C97">
        <w:rPr>
          <w:rFonts w:eastAsiaTheme="minorEastAsia"/>
          <w:lang w:val="de-DE" w:eastAsia="zh-CN"/>
        </w:rPr>
        <w:t>s</w:t>
      </w:r>
      <w:r w:rsidRPr="00A17C97">
        <w:rPr>
          <w:rFonts w:eastAsiaTheme="minorEastAsia"/>
          <w:lang w:val="de-DE" w:eastAsia="zh-CN"/>
        </w:rPr>
        <w:t>un. The chamber of MPPT was placed in the N</w:t>
      </w:r>
      <w:r w:rsidRPr="00A17C97">
        <w:rPr>
          <w:rFonts w:eastAsiaTheme="minorEastAsia"/>
          <w:vertAlign w:val="subscript"/>
          <w:lang w:val="de-DE" w:eastAsia="zh-CN"/>
        </w:rPr>
        <w:t>2</w:t>
      </w:r>
      <w:r w:rsidRPr="00A17C97">
        <w:rPr>
          <w:rFonts w:eastAsiaTheme="minorEastAsia"/>
          <w:lang w:val="de-DE" w:eastAsia="zh-CN"/>
        </w:rPr>
        <w:t>-filled glovebox.</w:t>
      </w:r>
      <w:bookmarkStart w:id="21" w:name="_Hlk157870456"/>
      <w:bookmarkEnd w:id="20"/>
      <w:r w:rsidR="005268F5" w:rsidRPr="00A17C97">
        <w:rPr>
          <w:rFonts w:eastAsiaTheme="minorEastAsia"/>
          <w:lang w:val="de-DE" w:eastAsia="zh-CN"/>
        </w:rPr>
        <w:t xml:space="preserve"> The film samples for stability-related characterizations were heated at 65 </w:t>
      </w:r>
      <w:r w:rsidR="005268F5" w:rsidRPr="00A17C97">
        <w:rPr>
          <w:rFonts w:eastAsiaTheme="minorEastAsia"/>
          <w:vertAlign w:val="superscript"/>
          <w:lang w:val="de-DE" w:eastAsia="zh-CN"/>
        </w:rPr>
        <w:t>o</w:t>
      </w:r>
      <w:r w:rsidR="005268F5" w:rsidRPr="00A17C97">
        <w:rPr>
          <w:rFonts w:eastAsiaTheme="minorEastAsia"/>
          <w:lang w:val="de-DE" w:eastAsia="zh-CN"/>
        </w:rPr>
        <w:t>C in the N</w:t>
      </w:r>
      <w:r w:rsidR="005268F5" w:rsidRPr="00A17C97">
        <w:rPr>
          <w:rFonts w:eastAsiaTheme="minorEastAsia"/>
          <w:vertAlign w:val="subscript"/>
          <w:lang w:val="de-DE" w:eastAsia="zh-CN"/>
        </w:rPr>
        <w:t>2</w:t>
      </w:r>
      <w:r w:rsidR="005268F5" w:rsidRPr="00A17C97">
        <w:rPr>
          <w:rFonts w:eastAsiaTheme="minorEastAsia"/>
          <w:lang w:val="de-DE" w:eastAsia="zh-CN"/>
        </w:rPr>
        <w:t xml:space="preserve"> environment </w:t>
      </w:r>
      <w:r w:rsidR="0029155F" w:rsidRPr="00A17C97">
        <w:rPr>
          <w:rFonts w:eastAsiaTheme="minorEastAsia"/>
          <w:lang w:val="de-DE" w:eastAsia="zh-CN"/>
        </w:rPr>
        <w:t>with</w:t>
      </w:r>
      <w:r w:rsidR="005268F5" w:rsidRPr="00A17C97">
        <w:rPr>
          <w:rFonts w:eastAsiaTheme="minorEastAsia"/>
          <w:lang w:val="de-DE" w:eastAsia="zh-CN"/>
        </w:rPr>
        <w:t xml:space="preserve"> 1-sun illumination</w:t>
      </w:r>
      <w:r w:rsidR="0029155F" w:rsidRPr="00A17C97">
        <w:rPr>
          <w:sz w:val="22"/>
          <w:szCs w:val="22"/>
          <w:lang w:val="de-DE" w:eastAsia="zh-CN"/>
        </w:rPr>
        <w:t xml:space="preserve"> simultaneously</w:t>
      </w:r>
      <w:r w:rsidR="005268F5" w:rsidRPr="00A17C97">
        <w:rPr>
          <w:rFonts w:eastAsiaTheme="minorEastAsia"/>
          <w:lang w:val="de-DE" w:eastAsia="zh-CN"/>
        </w:rPr>
        <w:t xml:space="preserve"> for 72 hours. </w:t>
      </w:r>
    </w:p>
    <w:bookmarkEnd w:id="21"/>
    <w:p w14:paraId="6EA94A79" w14:textId="77777777" w:rsidR="00F51B55" w:rsidRDefault="00F51B55" w:rsidP="00C00221">
      <w:pPr>
        <w:pStyle w:val="ExperimentalText"/>
        <w:jc w:val="both"/>
        <w:rPr>
          <w:rFonts w:eastAsiaTheme="minorEastAsia"/>
          <w:lang w:eastAsia="zh-CN"/>
        </w:rPr>
      </w:pPr>
      <w:r w:rsidRPr="00A17C97">
        <w:rPr>
          <w:rFonts w:eastAsiaTheme="minorEastAsia" w:hint="eastAsia"/>
          <w:i/>
          <w:iCs/>
          <w:lang w:val="de-DE" w:eastAsia="zh-CN"/>
        </w:rPr>
        <w:t>D</w:t>
      </w:r>
      <w:r w:rsidRPr="00A17C97">
        <w:rPr>
          <w:rFonts w:eastAsiaTheme="minorEastAsia"/>
          <w:i/>
          <w:iCs/>
          <w:lang w:val="de-DE" w:eastAsia="zh-CN"/>
        </w:rPr>
        <w:t>evice Characterization</w:t>
      </w:r>
      <w:r w:rsidRPr="00A17C97">
        <w:rPr>
          <w:rFonts w:eastAsiaTheme="minorEastAsia"/>
          <w:lang w:val="de-DE" w:eastAsia="zh-CN"/>
        </w:rPr>
        <w:t xml:space="preserve">: </w:t>
      </w:r>
      <w:bookmarkStart w:id="22" w:name="_Hlk150763267"/>
      <w:r w:rsidRPr="00A17C97">
        <w:rPr>
          <w:rFonts w:eastAsiaTheme="minorEastAsia"/>
          <w:lang w:eastAsia="zh-CN"/>
        </w:rPr>
        <w:t>For permittivity, devices wer</w:t>
      </w:r>
      <w:r w:rsidRPr="00F51B55">
        <w:rPr>
          <w:rFonts w:eastAsiaTheme="minorEastAsia"/>
          <w:lang w:eastAsia="zh-CN"/>
        </w:rPr>
        <w:t>e scanned from 10</w:t>
      </w:r>
      <w:r w:rsidRPr="00F51B55">
        <w:rPr>
          <w:rFonts w:eastAsiaTheme="minorEastAsia"/>
          <w:vertAlign w:val="superscript"/>
          <w:lang w:eastAsia="zh-CN"/>
        </w:rPr>
        <w:t>5</w:t>
      </w:r>
      <w:r w:rsidRPr="00F51B55">
        <w:rPr>
          <w:rFonts w:eastAsiaTheme="minorEastAsia" w:hint="eastAsia"/>
          <w:lang w:eastAsia="zh-CN"/>
        </w:rPr>
        <w:t xml:space="preserve"> </w:t>
      </w:r>
      <w:r w:rsidRPr="00F51B55">
        <w:rPr>
          <w:rFonts w:eastAsiaTheme="minorEastAsia"/>
          <w:lang w:eastAsia="zh-CN"/>
        </w:rPr>
        <w:t xml:space="preserve">to 1 Hz with a disturbance AC signal of 20 mV (DC bias = 0 V) in dark conditions by using a CHI660 electrochemical workstation (CH Instrument, Inc.). For Mott-Schottky analysis, the devices were scanned with a DC bias from 1 to -0.2 V in dark </w:t>
      </w:r>
      <w:proofErr w:type="gramStart"/>
      <w:r w:rsidRPr="00F51B55">
        <w:rPr>
          <w:rFonts w:eastAsiaTheme="minorEastAsia"/>
          <w:lang w:eastAsia="zh-CN"/>
        </w:rPr>
        <w:t>condition</w:t>
      </w:r>
      <w:proofErr w:type="gramEnd"/>
      <w:r w:rsidRPr="00F51B55">
        <w:rPr>
          <w:rFonts w:eastAsiaTheme="minorEastAsia"/>
          <w:lang w:eastAsia="zh-CN"/>
        </w:rPr>
        <w:t xml:space="preserve">. The </w:t>
      </w:r>
      <w:proofErr w:type="spellStart"/>
      <w:r w:rsidRPr="00F51B55">
        <w:rPr>
          <w:rFonts w:eastAsiaTheme="minorEastAsia"/>
          <w:i/>
          <w:iCs/>
          <w:lang w:eastAsia="zh-CN"/>
        </w:rPr>
        <w:t>N</w:t>
      </w:r>
      <w:r w:rsidRPr="00F51B55">
        <w:rPr>
          <w:rFonts w:eastAsiaTheme="minorEastAsia"/>
          <w:vertAlign w:val="subscript"/>
          <w:lang w:eastAsia="zh-CN"/>
        </w:rPr>
        <w:t>t</w:t>
      </w:r>
      <w:proofErr w:type="spellEnd"/>
      <w:r w:rsidRPr="00F51B55">
        <w:rPr>
          <w:rFonts w:eastAsiaTheme="minorEastAsia"/>
          <w:lang w:eastAsia="zh-CN"/>
        </w:rPr>
        <w:t xml:space="preserve"> can be calculated by </w:t>
      </w:r>
      <m:oMath>
        <m:f>
          <m:fPr>
            <m:ctrlPr>
              <w:rPr>
                <w:rFonts w:ascii="Cambria Math" w:eastAsiaTheme="minorEastAsia" w:hAnsi="Cambria Math"/>
                <w:iCs/>
                <w:lang w:eastAsia="zh-CN"/>
              </w:rPr>
            </m:ctrlPr>
          </m:fPr>
          <m:num>
            <m:sSup>
              <m:sSupPr>
                <m:ctrlPr>
                  <w:rPr>
                    <w:rFonts w:ascii="Cambria Math" w:eastAsiaTheme="minorEastAsia" w:hAnsi="Cambria Math"/>
                    <w:iCs/>
                    <w:lang w:eastAsia="zh-CN"/>
                  </w:rPr>
                </m:ctrlPr>
              </m:sSupPr>
              <m:e>
                <m:r>
                  <m:rPr>
                    <m:nor/>
                  </m:rPr>
                  <w:rPr>
                    <w:rFonts w:eastAsiaTheme="minorEastAsia"/>
                    <w:i/>
                    <w:lang w:eastAsia="zh-CN"/>
                  </w:rPr>
                  <m:t>A</m:t>
                </m:r>
              </m:e>
              <m:sup>
                <m:r>
                  <m:rPr>
                    <m:nor/>
                  </m:rPr>
                  <w:rPr>
                    <w:rFonts w:eastAsiaTheme="minorEastAsia"/>
                    <w:iCs/>
                    <w:lang w:eastAsia="zh-CN"/>
                  </w:rPr>
                  <m:t>2</m:t>
                </m:r>
              </m:sup>
            </m:sSup>
          </m:num>
          <m:den>
            <m:sSup>
              <m:sSupPr>
                <m:ctrlPr>
                  <w:rPr>
                    <w:rFonts w:ascii="Cambria Math" w:eastAsiaTheme="minorEastAsia" w:hAnsi="Cambria Math"/>
                    <w:iCs/>
                    <w:lang w:eastAsia="zh-CN"/>
                  </w:rPr>
                </m:ctrlPr>
              </m:sSupPr>
              <m:e>
                <m:r>
                  <m:rPr>
                    <m:nor/>
                  </m:rPr>
                  <w:rPr>
                    <w:rFonts w:eastAsiaTheme="minorEastAsia"/>
                    <w:i/>
                    <w:lang w:eastAsia="zh-CN"/>
                  </w:rPr>
                  <m:t>C</m:t>
                </m:r>
              </m:e>
              <m:sup>
                <m:r>
                  <m:rPr>
                    <m:nor/>
                  </m:rPr>
                  <w:rPr>
                    <w:rFonts w:eastAsiaTheme="minorEastAsia"/>
                    <w:iCs/>
                    <w:lang w:eastAsia="zh-CN"/>
                  </w:rPr>
                  <m:t>2</m:t>
                </m:r>
              </m:sup>
            </m:sSup>
          </m:den>
        </m:f>
        <m:r>
          <m:rPr>
            <m:nor/>
          </m:rPr>
          <w:rPr>
            <w:rFonts w:eastAsiaTheme="minorEastAsia"/>
            <w:iCs/>
            <w:lang w:eastAsia="zh-CN"/>
          </w:rPr>
          <m:t xml:space="preserve">= </m:t>
        </m:r>
        <m:f>
          <m:fPr>
            <m:ctrlPr>
              <w:rPr>
                <w:rFonts w:ascii="Cambria Math" w:eastAsiaTheme="minorEastAsia" w:hAnsi="Cambria Math"/>
                <w:iCs/>
                <w:lang w:eastAsia="zh-CN"/>
              </w:rPr>
            </m:ctrlPr>
          </m:fPr>
          <m:num>
            <m:r>
              <m:rPr>
                <m:nor/>
              </m:rPr>
              <w:rPr>
                <w:rFonts w:eastAsiaTheme="minorEastAsia"/>
                <w:iCs/>
                <w:lang w:eastAsia="zh-CN"/>
              </w:rPr>
              <m:t>2(</m:t>
            </m:r>
            <m:sSub>
              <m:sSubPr>
                <m:ctrlPr>
                  <w:rPr>
                    <w:rFonts w:ascii="Cambria Math" w:eastAsiaTheme="minorEastAsia" w:hAnsi="Cambria Math"/>
                    <w:iCs/>
                    <w:lang w:eastAsia="zh-CN"/>
                  </w:rPr>
                </m:ctrlPr>
              </m:sSubPr>
              <m:e>
                <m:r>
                  <m:rPr>
                    <m:nor/>
                  </m:rPr>
                  <w:rPr>
                    <w:rFonts w:eastAsiaTheme="minorEastAsia"/>
                    <w:i/>
                    <w:lang w:eastAsia="zh-CN"/>
                  </w:rPr>
                  <m:t>V</m:t>
                </m:r>
              </m:e>
              <m:sub>
                <m:r>
                  <m:rPr>
                    <m:nor/>
                  </m:rPr>
                  <w:rPr>
                    <w:rFonts w:eastAsiaTheme="minorEastAsia"/>
                    <w:iCs/>
                    <w:lang w:eastAsia="zh-CN"/>
                  </w:rPr>
                  <m:t>bi</m:t>
                </m:r>
              </m:sub>
            </m:sSub>
            <m:r>
              <m:rPr>
                <m:nor/>
              </m:rPr>
              <w:rPr>
                <w:rFonts w:eastAsiaTheme="minorEastAsia"/>
                <w:iCs/>
                <w:lang w:eastAsia="zh-CN"/>
              </w:rPr>
              <m:t>-</m:t>
            </m:r>
            <m:r>
              <m:rPr>
                <m:nor/>
              </m:rPr>
              <w:rPr>
                <w:rFonts w:eastAsiaTheme="minorEastAsia"/>
                <w:i/>
                <w:lang w:eastAsia="zh-CN"/>
              </w:rPr>
              <m:t>V</m:t>
            </m:r>
            <m:r>
              <m:rPr>
                <m:nor/>
              </m:rPr>
              <w:rPr>
                <w:rFonts w:eastAsiaTheme="minorEastAsia"/>
                <w:iCs/>
                <w:lang w:eastAsia="zh-CN"/>
              </w:rPr>
              <m:t>)</m:t>
            </m:r>
          </m:num>
          <m:den>
            <m:r>
              <m:rPr>
                <m:nor/>
              </m:rPr>
              <w:rPr>
                <w:rFonts w:eastAsiaTheme="minorEastAsia"/>
                <w:i/>
                <w:lang w:eastAsia="zh-CN"/>
              </w:rPr>
              <m:t>q</m:t>
            </m:r>
            <m:sSub>
              <m:sSubPr>
                <m:ctrlPr>
                  <w:rPr>
                    <w:rFonts w:ascii="Cambria Math" w:eastAsiaTheme="minorEastAsia" w:hAnsi="Cambria Math"/>
                    <w:iCs/>
                    <w:lang w:eastAsia="zh-CN"/>
                  </w:rPr>
                </m:ctrlPr>
              </m:sSubPr>
              <m:e>
                <m:r>
                  <m:rPr>
                    <m:nor/>
                  </m:rPr>
                  <w:rPr>
                    <w:rFonts w:eastAsiaTheme="minorEastAsia"/>
                    <w:i/>
                    <w:lang w:eastAsia="zh-CN"/>
                  </w:rPr>
                  <m:t>ε</m:t>
                </m:r>
              </m:e>
              <m:sub>
                <m:r>
                  <m:rPr>
                    <m:nor/>
                  </m:rPr>
                  <w:rPr>
                    <w:rFonts w:eastAsiaTheme="minorEastAsia"/>
                    <w:iCs/>
                    <w:lang w:eastAsia="zh-CN"/>
                  </w:rPr>
                  <m:t>0</m:t>
                </m:r>
              </m:sub>
            </m:sSub>
            <m:sSub>
              <m:sSubPr>
                <m:ctrlPr>
                  <w:rPr>
                    <w:rFonts w:ascii="Cambria Math" w:eastAsiaTheme="minorEastAsia" w:hAnsi="Cambria Math"/>
                    <w:iCs/>
                    <w:lang w:eastAsia="zh-CN"/>
                  </w:rPr>
                </m:ctrlPr>
              </m:sSubPr>
              <m:e>
                <m:r>
                  <m:rPr>
                    <m:nor/>
                  </m:rPr>
                  <w:rPr>
                    <w:rFonts w:eastAsiaTheme="minorEastAsia"/>
                    <w:i/>
                    <w:lang w:eastAsia="zh-CN"/>
                  </w:rPr>
                  <m:t>ε</m:t>
                </m:r>
              </m:e>
              <m:sub>
                <m:r>
                  <m:rPr>
                    <m:nor/>
                  </m:rPr>
                  <w:rPr>
                    <w:rFonts w:eastAsiaTheme="minorEastAsia"/>
                    <w:iCs/>
                    <w:lang w:eastAsia="zh-CN"/>
                  </w:rPr>
                  <m:t>r</m:t>
                </m:r>
              </m:sub>
            </m:sSub>
            <m:sSub>
              <m:sSubPr>
                <m:ctrlPr>
                  <w:rPr>
                    <w:rFonts w:ascii="Cambria Math" w:eastAsiaTheme="minorEastAsia" w:hAnsi="Cambria Math"/>
                    <w:iCs/>
                    <w:lang w:eastAsia="zh-CN"/>
                  </w:rPr>
                </m:ctrlPr>
              </m:sSubPr>
              <m:e>
                <m:r>
                  <m:rPr>
                    <m:nor/>
                  </m:rPr>
                  <w:rPr>
                    <w:rFonts w:eastAsiaTheme="minorEastAsia"/>
                    <w:i/>
                    <w:lang w:eastAsia="zh-CN"/>
                  </w:rPr>
                  <m:t>N</m:t>
                </m:r>
              </m:e>
              <m:sub>
                <m:r>
                  <m:rPr>
                    <m:nor/>
                  </m:rPr>
                  <w:rPr>
                    <w:rFonts w:eastAsiaTheme="minorEastAsia"/>
                    <w:iCs/>
                    <w:lang w:eastAsia="zh-CN"/>
                  </w:rPr>
                  <m:t>t</m:t>
                </m:r>
              </m:sub>
            </m:sSub>
          </m:den>
        </m:f>
      </m:oMath>
      <w:r w:rsidRPr="00F51B55">
        <w:rPr>
          <w:rFonts w:eastAsiaTheme="minorEastAsia" w:hint="eastAsia"/>
          <w:lang w:eastAsia="zh-CN"/>
        </w:rPr>
        <w:t>,</w:t>
      </w:r>
      <w:r w:rsidRPr="00F51B55">
        <w:rPr>
          <w:rFonts w:eastAsiaTheme="minorEastAsia"/>
          <w:lang w:eastAsia="zh-CN"/>
        </w:rPr>
        <w:t xml:space="preserve"> where </w:t>
      </w:r>
      <w:r w:rsidRPr="00F51B55">
        <w:rPr>
          <w:rFonts w:eastAsiaTheme="minorEastAsia"/>
          <w:i/>
          <w:iCs/>
          <w:lang w:eastAsia="zh-CN"/>
        </w:rPr>
        <w:t>A</w:t>
      </w:r>
      <w:r w:rsidRPr="00F51B55">
        <w:rPr>
          <w:rFonts w:eastAsiaTheme="minorEastAsia"/>
          <w:lang w:eastAsia="zh-CN"/>
        </w:rPr>
        <w:t xml:space="preserve"> is the device area, </w:t>
      </w:r>
      <w:r w:rsidRPr="00F51B55">
        <w:rPr>
          <w:rFonts w:eastAsiaTheme="minorEastAsia"/>
          <w:i/>
          <w:iCs/>
          <w:lang w:eastAsia="zh-CN"/>
        </w:rPr>
        <w:t>C</w:t>
      </w:r>
      <w:r w:rsidRPr="00F51B55">
        <w:rPr>
          <w:rFonts w:eastAsiaTheme="minorEastAsia"/>
          <w:lang w:eastAsia="zh-CN"/>
        </w:rPr>
        <w:t xml:space="preserve"> represents the capacitance, </w:t>
      </w:r>
      <w:r w:rsidRPr="00F51B55">
        <w:rPr>
          <w:rFonts w:eastAsiaTheme="minorEastAsia"/>
          <w:i/>
          <w:iCs/>
          <w:lang w:eastAsia="zh-CN"/>
        </w:rPr>
        <w:t>ε</w:t>
      </w:r>
      <w:r w:rsidRPr="00F51B55">
        <w:rPr>
          <w:rFonts w:eastAsiaTheme="minorEastAsia"/>
          <w:vertAlign w:val="subscript"/>
          <w:lang w:eastAsia="zh-CN"/>
        </w:rPr>
        <w:t>0</w:t>
      </w:r>
      <w:r w:rsidRPr="00F51B55">
        <w:rPr>
          <w:rFonts w:eastAsiaTheme="minorEastAsia"/>
          <w:lang w:eastAsia="zh-CN"/>
        </w:rPr>
        <w:t xml:space="preserve"> and </w:t>
      </w:r>
      <w:proofErr w:type="spellStart"/>
      <w:r w:rsidRPr="00F51B55">
        <w:rPr>
          <w:rFonts w:eastAsiaTheme="minorEastAsia"/>
          <w:i/>
          <w:iCs/>
          <w:lang w:eastAsia="zh-CN"/>
        </w:rPr>
        <w:t>ε</w:t>
      </w:r>
      <w:r w:rsidRPr="00F51B55">
        <w:rPr>
          <w:rFonts w:eastAsiaTheme="minorEastAsia"/>
          <w:vertAlign w:val="subscript"/>
          <w:lang w:eastAsia="zh-CN"/>
        </w:rPr>
        <w:t>r</w:t>
      </w:r>
      <w:proofErr w:type="spellEnd"/>
      <w:r w:rsidRPr="00F51B55">
        <w:rPr>
          <w:rFonts w:eastAsiaTheme="minorEastAsia"/>
          <w:lang w:eastAsia="zh-CN"/>
        </w:rPr>
        <w:t xml:space="preserve"> represent the permittivity of free space and relative permittivity, </w:t>
      </w:r>
      <w:proofErr w:type="spellStart"/>
      <w:r w:rsidRPr="00F51B55">
        <w:rPr>
          <w:rFonts w:eastAsiaTheme="minorEastAsia"/>
          <w:i/>
          <w:iCs/>
          <w:lang w:eastAsia="zh-CN"/>
        </w:rPr>
        <w:t>V</w:t>
      </w:r>
      <w:r w:rsidRPr="00F51B55">
        <w:rPr>
          <w:rFonts w:eastAsiaTheme="minorEastAsia"/>
          <w:vertAlign w:val="subscript"/>
          <w:lang w:eastAsia="zh-CN"/>
        </w:rPr>
        <w:t>bi</w:t>
      </w:r>
      <w:proofErr w:type="spellEnd"/>
      <w:r w:rsidRPr="00F51B55">
        <w:rPr>
          <w:rFonts w:eastAsiaTheme="minorEastAsia"/>
          <w:lang w:eastAsia="zh-CN"/>
        </w:rPr>
        <w:t xml:space="preserve"> is the built-in </w:t>
      </w:r>
      <w:proofErr w:type="spellStart"/>
      <w:r w:rsidRPr="00F51B55">
        <w:rPr>
          <w:rFonts w:eastAsiaTheme="minorEastAsia"/>
          <w:lang w:eastAsia="zh-CN"/>
        </w:rPr>
        <w:t>volatage</w:t>
      </w:r>
      <w:proofErr w:type="spellEnd"/>
      <w:r w:rsidRPr="00F51B55">
        <w:rPr>
          <w:rFonts w:eastAsiaTheme="minorEastAsia"/>
          <w:lang w:eastAsia="zh-CN"/>
        </w:rPr>
        <w:t xml:space="preserve"> of devices, </w:t>
      </w:r>
      <w:r w:rsidRPr="00F51B55">
        <w:rPr>
          <w:rFonts w:eastAsiaTheme="minorEastAsia"/>
          <w:i/>
          <w:iCs/>
          <w:lang w:eastAsia="zh-CN"/>
        </w:rPr>
        <w:t>q</w:t>
      </w:r>
      <w:r w:rsidRPr="00F51B55">
        <w:rPr>
          <w:rFonts w:eastAsiaTheme="minorEastAsia"/>
          <w:lang w:eastAsia="zh-CN"/>
        </w:rPr>
        <w:t xml:space="preserve"> is the elementary charge. Transient photocurrent (TPC) and delay-time CELIV were measured on an integrated platform of </w:t>
      </w:r>
      <w:proofErr w:type="spellStart"/>
      <w:r w:rsidRPr="00F51B55">
        <w:rPr>
          <w:rFonts w:eastAsiaTheme="minorEastAsia"/>
          <w:lang w:eastAsia="zh-CN"/>
        </w:rPr>
        <w:t>Paios</w:t>
      </w:r>
      <w:proofErr w:type="spellEnd"/>
      <w:r w:rsidRPr="00F51B55">
        <w:rPr>
          <w:rFonts w:eastAsiaTheme="minorEastAsia"/>
          <w:lang w:eastAsia="zh-CN"/>
        </w:rPr>
        <w:t xml:space="preserve"> (</w:t>
      </w:r>
      <w:proofErr w:type="spellStart"/>
      <w:r w:rsidRPr="00F51B55">
        <w:rPr>
          <w:rFonts w:eastAsiaTheme="minorEastAsia"/>
          <w:lang w:eastAsia="zh-CN"/>
        </w:rPr>
        <w:t>Fluxim</w:t>
      </w:r>
      <w:proofErr w:type="spellEnd"/>
      <w:r w:rsidRPr="00F51B55">
        <w:rPr>
          <w:rFonts w:eastAsiaTheme="minorEastAsia"/>
          <w:lang w:eastAsia="zh-CN"/>
        </w:rPr>
        <w:t xml:space="preserve"> AG). For delay-time CELIV, a light pulse (100 </w:t>
      </w:r>
      <w:proofErr w:type="spellStart"/>
      <w:r w:rsidRPr="00F51B55">
        <w:rPr>
          <w:rFonts w:eastAsiaTheme="minorEastAsia"/>
          <w:lang w:eastAsia="zh-CN"/>
        </w:rPr>
        <w:t>μs</w:t>
      </w:r>
      <w:proofErr w:type="spellEnd"/>
      <w:r w:rsidRPr="00F51B55">
        <w:rPr>
          <w:rFonts w:eastAsiaTheme="minorEastAsia"/>
          <w:lang w:eastAsia="zh-CN"/>
        </w:rPr>
        <w:t xml:space="preserve">) was applied prior to a voltage ramp of 1 V </w:t>
      </w:r>
      <w:proofErr w:type="spellStart"/>
      <w:r w:rsidRPr="00F51B55">
        <w:rPr>
          <w:rFonts w:eastAsiaTheme="minorEastAsia"/>
          <w:lang w:eastAsia="zh-CN"/>
        </w:rPr>
        <w:t>μs</w:t>
      </w:r>
      <w:proofErr w:type="spellEnd"/>
      <w:r w:rsidRPr="00F51B55">
        <w:rPr>
          <w:rFonts w:eastAsiaTheme="minorEastAsia"/>
          <w:vertAlign w:val="superscript"/>
          <w:lang w:eastAsia="zh-CN"/>
        </w:rPr>
        <w:t xml:space="preserve">–1 </w:t>
      </w:r>
      <w:r w:rsidRPr="00F51B55">
        <w:rPr>
          <w:rFonts w:eastAsiaTheme="minorEastAsia"/>
          <w:lang w:eastAsia="zh-CN"/>
        </w:rPr>
        <w:t>and the sweep ramp rate was 50 V/</w:t>
      </w:r>
      <w:proofErr w:type="spellStart"/>
      <w:r w:rsidRPr="00F51B55">
        <w:rPr>
          <w:rFonts w:eastAsiaTheme="minorEastAsia"/>
          <w:lang w:eastAsia="zh-CN"/>
        </w:rPr>
        <w:t>ms.</w:t>
      </w:r>
      <w:proofErr w:type="spellEnd"/>
      <w:r w:rsidRPr="00F51B55">
        <w:rPr>
          <w:rFonts w:eastAsiaTheme="minorEastAsia"/>
          <w:lang w:eastAsia="zh-CN"/>
        </w:rPr>
        <w:t xml:space="preserve"> Transient absorption spectroscopy was conducted with an Ultrafast Systems Helios femtosecond transient absorption spectrometer. 1030 nm laser pulses were generated by a Light Conversion femtosecond laser </w:t>
      </w:r>
      <w:proofErr w:type="gramStart"/>
      <w:r w:rsidRPr="00F51B55">
        <w:rPr>
          <w:rFonts w:eastAsiaTheme="minorEastAsia"/>
          <w:lang w:eastAsia="zh-CN"/>
        </w:rPr>
        <w:t>amplifier, and</w:t>
      </w:r>
      <w:proofErr w:type="gramEnd"/>
      <w:r w:rsidRPr="00F51B55">
        <w:rPr>
          <w:rFonts w:eastAsiaTheme="minorEastAsia"/>
          <w:lang w:eastAsia="zh-CN"/>
        </w:rPr>
        <w:t xml:space="preserve"> then split into two beams to generate the pump and probe pulses. For probe, the pulses were focused onto a sapphire and a YAG crystal to generate the visible (500-910 nm) and infrared (1100-1600 nm) continuum, respectively.</w:t>
      </w:r>
    </w:p>
    <w:p w14:paraId="0F4DBA63" w14:textId="07140E92" w:rsidR="00F51B55" w:rsidRDefault="00F51B55" w:rsidP="00C00221">
      <w:pPr>
        <w:pStyle w:val="ExperimentalText"/>
        <w:jc w:val="both"/>
        <w:rPr>
          <w:rFonts w:eastAsiaTheme="minorEastAsia"/>
          <w:lang w:val="de-DE" w:eastAsia="zh-CN"/>
        </w:rPr>
      </w:pPr>
      <w:r w:rsidRPr="00F51B55">
        <w:rPr>
          <w:rFonts w:eastAsiaTheme="minorEastAsia" w:hint="eastAsia"/>
          <w:i/>
          <w:iCs/>
          <w:lang w:eastAsia="zh-CN"/>
        </w:rPr>
        <w:lastRenderedPageBreak/>
        <w:t>C</w:t>
      </w:r>
      <w:r w:rsidRPr="00F51B55">
        <w:rPr>
          <w:rFonts w:eastAsiaTheme="minorEastAsia"/>
          <w:i/>
          <w:iCs/>
          <w:lang w:eastAsia="zh-CN"/>
        </w:rPr>
        <w:t xml:space="preserve">haracterization of Thermal Transition: </w:t>
      </w:r>
      <w:bookmarkStart w:id="23" w:name="_Hlk150763315"/>
      <w:r w:rsidRPr="00F51B55">
        <w:rPr>
          <w:rFonts w:eastAsiaTheme="minorEastAsia" w:hint="eastAsia"/>
          <w:lang w:val="de-DE" w:eastAsia="zh-CN"/>
        </w:rPr>
        <w:t>D</w:t>
      </w:r>
      <w:r w:rsidRPr="00F51B55">
        <w:rPr>
          <w:rFonts w:eastAsiaTheme="minorEastAsia"/>
          <w:lang w:val="de-DE" w:eastAsia="zh-CN"/>
        </w:rPr>
        <w:t>SC thermograms were examined by Mettler-Toledo-DSC3 analyzer at a heating rate of 10 K min</w:t>
      </w:r>
      <w:r w:rsidRPr="00F51B55">
        <w:rPr>
          <w:rFonts w:eastAsiaTheme="minorEastAsia"/>
          <w:vertAlign w:val="superscript"/>
          <w:lang w:val="de-DE" w:eastAsia="zh-CN"/>
        </w:rPr>
        <w:t>–1</w:t>
      </w:r>
      <w:r w:rsidRPr="00F51B55">
        <w:rPr>
          <w:rFonts w:eastAsiaTheme="minorEastAsia"/>
          <w:lang w:val="de-DE" w:eastAsia="zh-CN"/>
        </w:rPr>
        <w:t>. Glass-transition temperature (</w:t>
      </w:r>
      <w:r w:rsidRPr="00DF1E9B">
        <w:rPr>
          <w:rFonts w:eastAsiaTheme="minorEastAsia"/>
          <w:i/>
          <w:iCs/>
          <w:lang w:val="de-DE" w:eastAsia="zh-CN"/>
        </w:rPr>
        <w:t>T</w:t>
      </w:r>
      <w:r w:rsidRPr="00F51B55">
        <w:rPr>
          <w:rFonts w:eastAsiaTheme="minorEastAsia"/>
          <w:vertAlign w:val="subscript"/>
          <w:lang w:val="de-DE" w:eastAsia="zh-CN"/>
        </w:rPr>
        <w:t>g</w:t>
      </w:r>
      <w:r w:rsidRPr="00F51B55">
        <w:rPr>
          <w:rFonts w:eastAsiaTheme="minorEastAsia"/>
          <w:lang w:val="de-DE" w:eastAsia="zh-CN"/>
        </w:rPr>
        <w:t xml:space="preserve">) of film samples was obtained by extracting the deviation metric (DM) from the temperature-dependent absorption spectra. The DM can be calculated by the equation described as </w:t>
      </w:r>
      <m:oMath>
        <m:sSub>
          <m:sSubPr>
            <m:ctrlPr>
              <w:rPr>
                <w:rFonts w:ascii="Cambria Math" w:eastAsiaTheme="minorEastAsia" w:hAnsi="Cambria Math"/>
                <w:lang w:val="de-DE" w:eastAsia="zh-CN"/>
              </w:rPr>
            </m:ctrlPr>
          </m:sSubPr>
          <m:e>
            <m:r>
              <m:rPr>
                <m:nor/>
              </m:rPr>
              <w:rPr>
                <w:rFonts w:eastAsiaTheme="minorEastAsia"/>
                <w:lang w:val="de-DE" w:eastAsia="zh-CN"/>
              </w:rPr>
              <m:t>DM</m:t>
            </m:r>
          </m:e>
          <m:sub>
            <m:r>
              <m:rPr>
                <m:nor/>
              </m:rPr>
              <w:rPr>
                <w:rFonts w:eastAsiaTheme="minorEastAsia"/>
                <w:lang w:val="de-DE" w:eastAsia="zh-CN"/>
              </w:rPr>
              <m:t>T</m:t>
            </m:r>
          </m:sub>
        </m:sSub>
        <m:r>
          <m:rPr>
            <m:nor/>
          </m:rPr>
          <w:rPr>
            <w:rFonts w:eastAsiaTheme="minorEastAsia"/>
            <w:lang w:val="de-DE" w:eastAsia="zh-CN"/>
          </w:rPr>
          <m:t>=</m:t>
        </m:r>
        <m:nary>
          <m:naryPr>
            <m:chr m:val="∑"/>
            <m:limLoc m:val="subSup"/>
            <m:ctrlPr>
              <w:rPr>
                <w:rFonts w:ascii="Cambria Math" w:eastAsiaTheme="minorEastAsia" w:hAnsi="Cambria Math"/>
                <w:lang w:val="de-DE" w:eastAsia="zh-CN"/>
              </w:rPr>
            </m:ctrlPr>
          </m:naryPr>
          <m:sub>
            <m:sSub>
              <m:sSubPr>
                <m:ctrlPr>
                  <w:rPr>
                    <w:rFonts w:ascii="Cambria Math" w:eastAsiaTheme="minorEastAsia" w:hAnsi="Cambria Math"/>
                    <w:lang w:val="de-DE" w:eastAsia="zh-CN"/>
                  </w:rPr>
                </m:ctrlPr>
              </m:sSubPr>
              <m:e>
                <m:r>
                  <m:rPr>
                    <m:nor/>
                  </m:rPr>
                  <w:rPr>
                    <w:rFonts w:eastAsiaTheme="minorEastAsia"/>
                    <w:lang w:val="de-DE" w:eastAsia="zh-CN"/>
                  </w:rPr>
                  <m:t>λ</m:t>
                </m:r>
              </m:e>
              <m:sub>
                <m:r>
                  <m:rPr>
                    <m:nor/>
                  </m:rPr>
                  <w:rPr>
                    <w:rFonts w:eastAsiaTheme="minorEastAsia"/>
                    <w:lang w:val="de-DE" w:eastAsia="zh-CN"/>
                  </w:rPr>
                  <m:t>min</m:t>
                </m:r>
              </m:sub>
            </m:sSub>
          </m:sub>
          <m:sup>
            <m:sSub>
              <m:sSubPr>
                <m:ctrlPr>
                  <w:rPr>
                    <w:rFonts w:ascii="Cambria Math" w:eastAsiaTheme="minorEastAsia" w:hAnsi="Cambria Math"/>
                    <w:lang w:val="de-DE" w:eastAsia="zh-CN"/>
                  </w:rPr>
                </m:ctrlPr>
              </m:sSubPr>
              <m:e>
                <m:r>
                  <m:rPr>
                    <m:nor/>
                  </m:rPr>
                  <w:rPr>
                    <w:rFonts w:eastAsiaTheme="minorEastAsia"/>
                    <w:lang w:val="de-DE" w:eastAsia="zh-CN"/>
                  </w:rPr>
                  <m:t>λ</m:t>
                </m:r>
              </m:e>
              <m:sub>
                <m:r>
                  <m:rPr>
                    <m:nor/>
                  </m:rPr>
                  <w:rPr>
                    <w:rFonts w:eastAsiaTheme="minorEastAsia"/>
                    <w:lang w:val="de-DE" w:eastAsia="zh-CN"/>
                  </w:rPr>
                  <m:t>max</m:t>
                </m:r>
              </m:sub>
            </m:sSub>
          </m:sup>
          <m:e>
            <m:sSup>
              <m:sSupPr>
                <m:ctrlPr>
                  <w:rPr>
                    <w:rFonts w:ascii="Cambria Math" w:eastAsiaTheme="minorEastAsia" w:hAnsi="Cambria Math"/>
                    <w:lang w:val="de-DE" w:eastAsia="zh-CN"/>
                  </w:rPr>
                </m:ctrlPr>
              </m:sSupPr>
              <m:e>
                <m:r>
                  <m:rPr>
                    <m:nor/>
                  </m:rPr>
                  <w:rPr>
                    <w:rFonts w:eastAsiaTheme="minorEastAsia"/>
                    <w:lang w:val="de-DE" w:eastAsia="zh-CN"/>
                  </w:rPr>
                  <m:t>(</m:t>
                </m:r>
                <m:sSub>
                  <m:sSubPr>
                    <m:ctrlPr>
                      <w:rPr>
                        <w:rFonts w:ascii="Cambria Math" w:eastAsiaTheme="minorEastAsia" w:hAnsi="Cambria Math"/>
                        <w:lang w:val="de-DE" w:eastAsia="zh-CN"/>
                      </w:rPr>
                    </m:ctrlPr>
                  </m:sSubPr>
                  <m:e>
                    <m:r>
                      <m:rPr>
                        <m:nor/>
                      </m:rPr>
                      <w:rPr>
                        <w:rFonts w:eastAsiaTheme="minorEastAsia"/>
                        <w:lang w:val="de-DE" w:eastAsia="zh-CN"/>
                      </w:rPr>
                      <m:t>I</m:t>
                    </m:r>
                  </m:e>
                  <m:sub>
                    <m:r>
                      <m:rPr>
                        <m:nor/>
                      </m:rPr>
                      <w:rPr>
                        <w:rFonts w:eastAsiaTheme="minorEastAsia"/>
                        <w:lang w:val="de-DE" w:eastAsia="zh-CN"/>
                      </w:rPr>
                      <m:t>RT</m:t>
                    </m:r>
                  </m:sub>
                </m:sSub>
                <m:r>
                  <m:rPr>
                    <m:nor/>
                  </m:rPr>
                  <w:rPr>
                    <w:rFonts w:eastAsiaTheme="minorEastAsia"/>
                    <w:lang w:val="de-DE" w:eastAsia="zh-CN"/>
                  </w:rPr>
                  <m:t>(λ)-</m:t>
                </m:r>
                <m:sSub>
                  <m:sSubPr>
                    <m:ctrlPr>
                      <w:rPr>
                        <w:rFonts w:ascii="Cambria Math" w:eastAsiaTheme="minorEastAsia" w:hAnsi="Cambria Math"/>
                        <w:lang w:val="de-DE" w:eastAsia="zh-CN"/>
                      </w:rPr>
                    </m:ctrlPr>
                  </m:sSubPr>
                  <m:e>
                    <m:r>
                      <m:rPr>
                        <m:nor/>
                      </m:rPr>
                      <w:rPr>
                        <w:rFonts w:eastAsiaTheme="minorEastAsia"/>
                        <w:lang w:val="de-DE" w:eastAsia="zh-CN"/>
                      </w:rPr>
                      <m:t>I</m:t>
                    </m:r>
                  </m:e>
                  <m:sub>
                    <m:r>
                      <m:rPr>
                        <m:nor/>
                      </m:rPr>
                      <w:rPr>
                        <w:rFonts w:eastAsiaTheme="minorEastAsia"/>
                        <w:lang w:val="de-DE" w:eastAsia="zh-CN"/>
                      </w:rPr>
                      <m:t>T</m:t>
                    </m:r>
                  </m:sub>
                </m:sSub>
                <m:r>
                  <m:rPr>
                    <m:nor/>
                  </m:rPr>
                  <w:rPr>
                    <w:rFonts w:eastAsiaTheme="minorEastAsia"/>
                    <w:lang w:val="de-DE" w:eastAsia="zh-CN"/>
                  </w:rPr>
                  <m:t>(λ))</m:t>
                </m:r>
              </m:e>
              <m:sup>
                <m:r>
                  <m:rPr>
                    <m:nor/>
                  </m:rPr>
                  <w:rPr>
                    <w:rFonts w:eastAsiaTheme="minorEastAsia"/>
                    <w:lang w:val="de-DE" w:eastAsia="zh-CN"/>
                  </w:rPr>
                  <m:t>2</m:t>
                </m:r>
              </m:sup>
            </m:sSup>
          </m:e>
        </m:nary>
      </m:oMath>
      <w:r w:rsidRPr="00F51B55">
        <w:rPr>
          <w:rFonts w:eastAsiaTheme="minorEastAsia"/>
          <w:lang w:val="de-DE" w:eastAsia="zh-CN"/>
        </w:rPr>
        <w:t>, where I</w:t>
      </w:r>
      <w:r w:rsidRPr="00F51B55">
        <w:rPr>
          <w:rFonts w:eastAsiaTheme="minorEastAsia"/>
          <w:vertAlign w:val="subscript"/>
          <w:lang w:val="de-DE" w:eastAsia="zh-CN"/>
        </w:rPr>
        <w:t>RT</w:t>
      </w:r>
      <w:r w:rsidRPr="00F51B55">
        <w:rPr>
          <w:rFonts w:eastAsiaTheme="minorEastAsia"/>
          <w:lang w:val="de-DE" w:eastAsia="zh-CN"/>
        </w:rPr>
        <w:t>(λ) and I</w:t>
      </w:r>
      <w:r w:rsidRPr="00F51B55">
        <w:rPr>
          <w:rFonts w:eastAsiaTheme="minorEastAsia"/>
          <w:vertAlign w:val="subscript"/>
          <w:lang w:val="de-DE" w:eastAsia="zh-CN"/>
        </w:rPr>
        <w:t>T</w:t>
      </w:r>
      <w:r w:rsidRPr="00F51B55">
        <w:rPr>
          <w:rFonts w:eastAsiaTheme="minorEastAsia"/>
          <w:lang w:val="de-DE" w:eastAsia="zh-CN"/>
        </w:rPr>
        <w:t>(λ) represent the absorption intensity of as-cast and annealed acceptor films, respectively.</w:t>
      </w:r>
      <w:bookmarkEnd w:id="23"/>
    </w:p>
    <w:p w14:paraId="4CA115D7" w14:textId="7934A954" w:rsidR="002D16A0" w:rsidRPr="0023656E" w:rsidRDefault="00300441" w:rsidP="00C00221">
      <w:pPr>
        <w:pStyle w:val="ExperimentalText"/>
        <w:jc w:val="both"/>
        <w:rPr>
          <w:rFonts w:eastAsiaTheme="minorEastAsia"/>
          <w:lang w:eastAsia="zh-CN"/>
        </w:rPr>
      </w:pPr>
      <w:r w:rsidRPr="00F51B55">
        <w:rPr>
          <w:rFonts w:eastAsiaTheme="minorEastAsia"/>
          <w:i/>
          <w:iCs/>
          <w:lang w:eastAsia="zh-CN"/>
        </w:rPr>
        <w:t>Morphology</w:t>
      </w:r>
      <w:r w:rsidRPr="00F51B55">
        <w:rPr>
          <w:rFonts w:eastAsiaTheme="minorEastAsia" w:hint="eastAsia"/>
          <w:i/>
          <w:iCs/>
          <w:lang w:eastAsia="zh-CN"/>
        </w:rPr>
        <w:t xml:space="preserve"> </w:t>
      </w:r>
      <w:r w:rsidR="00F51B55" w:rsidRPr="00F51B55">
        <w:rPr>
          <w:rFonts w:eastAsiaTheme="minorEastAsia" w:hint="eastAsia"/>
          <w:i/>
          <w:iCs/>
          <w:lang w:eastAsia="zh-CN"/>
        </w:rPr>
        <w:t>C</w:t>
      </w:r>
      <w:r w:rsidR="00F51B55" w:rsidRPr="00F51B55">
        <w:rPr>
          <w:rFonts w:eastAsiaTheme="minorEastAsia"/>
          <w:i/>
          <w:iCs/>
          <w:lang w:eastAsia="zh-CN"/>
        </w:rPr>
        <w:t>haracterization</w:t>
      </w:r>
      <w:r w:rsidR="00F51B55">
        <w:rPr>
          <w:rFonts w:eastAsiaTheme="minorEastAsia"/>
          <w:lang w:eastAsia="zh-CN"/>
        </w:rPr>
        <w:t xml:space="preserve">: </w:t>
      </w:r>
      <w:bookmarkStart w:id="24" w:name="_Hlk150763358"/>
      <w:r w:rsidR="00F51B55" w:rsidRPr="00F51B55">
        <w:rPr>
          <w:rFonts w:eastAsiaTheme="minorEastAsia"/>
          <w:lang w:val="de-DE" w:eastAsia="zh-CN"/>
        </w:rPr>
        <w:t>The film-depth-dependent light absorption spectra (FLAS) were obtained from Beer–Lambert's law in combination with oxygen plasma etching. During etching, the oxygen plasma pressure was kept below 20 Pa to guarantee surface-selective etching without subsurface damage.</w:t>
      </w:r>
      <w:r w:rsidR="00F51B55" w:rsidRPr="00F51B55">
        <w:rPr>
          <w:rFonts w:eastAsiaTheme="minorEastAsia"/>
          <w:lang w:val="de-DE" w:eastAsia="zh-CN"/>
        </w:rPr>
        <w:fldChar w:fldCharType="begin"/>
      </w:r>
      <w:r w:rsidR="00DA5BD5">
        <w:rPr>
          <w:rFonts w:eastAsiaTheme="minorEastAsia"/>
          <w:lang w:val="de-DE" w:eastAsia="zh-CN"/>
        </w:rPr>
        <w:instrText xml:space="preserve"> ADDIN ZOTERO_ITEM CSL_CITATION {"citationID":"ivGGE1Q0","properties":{"formattedCitation":"\\super [62]\\nosupersub{}","plainCitation":"[62]","noteIndex":0},"citationItems":[{"id":1482,"uris":["http://zotero.org/users/10832941/items/SNG4CSNR"],"itemData":{"id":1482,"type":"article-journal","container-title":"Advanced Electronic Materials","ISSN":"2199160X","issue":"12","journalAbbreviation":"Adv. Electron. Mater.","language":"en","page":"1600359","source":"DOI.org (Crossref)","title":"Film-Depth-Dependent Light Absorption and Charge Transport for Polymer Electronics: A Case Study on Semiconductor/Insulator Blends by Plasma Etching","title-short":"Film-Depth-Dependent Light Absorption and Charge Transport for Polymer Electronics","volume":"2","author":[{"family":"Bu","given":"Laju"},{"family":"Gao","given":"Shuang"},{"family":"Wang","given":"Weichen"},{"family":"Zhou","given":"Ling"},{"family":"Feng","given":"Shi"},{"family":"Chen","given":"Xin"},{"family":"Yu","given":"Demei"},{"family":"Li","given":"Shengtao"},{"family":"Lu","given":"Guanghao"}],"issued":{"date-parts":[["2016",12]]}}}],"schema":"https://github.com/citation-style-language/schema/raw/master/csl-citation.json"} </w:instrText>
      </w:r>
      <w:r w:rsidR="00F51B55" w:rsidRPr="00F51B55">
        <w:rPr>
          <w:rFonts w:eastAsiaTheme="minorEastAsia"/>
          <w:lang w:val="de-DE" w:eastAsia="zh-CN"/>
        </w:rPr>
        <w:fldChar w:fldCharType="separate"/>
      </w:r>
      <w:r w:rsidR="00DA5BD5" w:rsidRPr="00DA5BD5">
        <w:rPr>
          <w:vertAlign w:val="superscript"/>
        </w:rPr>
        <w:t>[62]</w:t>
      </w:r>
      <w:r w:rsidR="00F51B55" w:rsidRPr="00F51B55">
        <w:rPr>
          <w:rFonts w:eastAsiaTheme="minorEastAsia"/>
          <w:lang w:eastAsia="zh-CN"/>
        </w:rPr>
        <w:fldChar w:fldCharType="end"/>
      </w:r>
      <w:r w:rsidR="00F51B55" w:rsidRPr="00F51B55">
        <w:rPr>
          <w:rFonts w:eastAsiaTheme="minorEastAsia"/>
          <w:lang w:val="de-DE" w:eastAsia="zh-CN"/>
        </w:rPr>
        <w:t xml:space="preserve"> The XPS characterization was conducted in a Thermo Fisher ESCALAB XI+ X-Ray Photoelectron Spectrometer. </w:t>
      </w:r>
      <w:r w:rsidR="00F51B55" w:rsidRPr="00F51B55">
        <w:rPr>
          <w:rFonts w:eastAsiaTheme="minorEastAsia" w:hint="eastAsia"/>
          <w:lang w:val="de-DE" w:eastAsia="zh-CN"/>
        </w:rPr>
        <w:t>T</w:t>
      </w:r>
      <w:r w:rsidR="00F51B55" w:rsidRPr="00F51B55">
        <w:rPr>
          <w:rFonts w:eastAsiaTheme="minorEastAsia"/>
          <w:lang w:val="de-DE" w:eastAsia="zh-CN"/>
        </w:rPr>
        <w:t>he Grazing Incidence Wide-Angle X-ray Scattering (GIWAXS) measurements were performed at beamline 7.3.3[1] at the Advanced Light Source. Samples were prepared on Si substra</w:t>
      </w:r>
      <w:r w:rsidR="00F51B55" w:rsidRPr="00A17C97">
        <w:rPr>
          <w:rFonts w:eastAsiaTheme="minorEastAsia"/>
          <w:lang w:val="de-DE" w:eastAsia="zh-CN"/>
        </w:rPr>
        <w:t xml:space="preserve">tes based on the same processing method in device fabrication. The 10 keV X-ray beam was incident at a grazing angle of 0.11°-0.15°, selected to maximize the scattering intensity from the samples. </w:t>
      </w:r>
      <w:bookmarkStart w:id="25" w:name="_Hlk157544731"/>
      <w:r w:rsidR="004130BE" w:rsidRPr="00A17C97">
        <w:rPr>
          <w:rFonts w:eastAsiaTheme="minorEastAsia"/>
          <w:lang w:val="de-DE" w:eastAsia="zh-CN"/>
        </w:rPr>
        <w:t>The CCL for π-π stacking was calculated using the equation that CCL = 2πK/</w:t>
      </w:r>
      <w:r w:rsidR="004130BE" w:rsidRPr="00A17C97">
        <w:rPr>
          <w:rFonts w:eastAsiaTheme="minorEastAsia"/>
          <w:i/>
          <w:iCs/>
          <w:lang w:val="de-DE" w:eastAsia="zh-CN"/>
        </w:rPr>
        <w:t>W</w:t>
      </w:r>
      <w:r w:rsidR="004130BE" w:rsidRPr="00A17C97">
        <w:rPr>
          <w:rFonts w:eastAsiaTheme="minorEastAsia"/>
          <w:lang w:val="de-DE" w:eastAsia="zh-CN"/>
        </w:rPr>
        <w:t xml:space="preserve">, where π is the circular constant, K is a constant of 0.9 and </w:t>
      </w:r>
      <w:r w:rsidR="004130BE" w:rsidRPr="00A17C97">
        <w:rPr>
          <w:rFonts w:eastAsiaTheme="minorEastAsia"/>
          <w:i/>
          <w:iCs/>
          <w:lang w:val="de-DE" w:eastAsia="zh-CN"/>
        </w:rPr>
        <w:t>W</w:t>
      </w:r>
      <w:r w:rsidR="004130BE" w:rsidRPr="00A17C97">
        <w:rPr>
          <w:rFonts w:eastAsiaTheme="minorEastAsia"/>
          <w:lang w:val="de-DE" w:eastAsia="zh-CN"/>
        </w:rPr>
        <w:t xml:space="preserve"> is the full width at half maximum of the peak at q = 1.70 Å</w:t>
      </w:r>
      <w:r w:rsidR="004130BE" w:rsidRPr="00A17C97">
        <w:rPr>
          <w:rFonts w:eastAsiaTheme="minorEastAsia"/>
          <w:vertAlign w:val="superscript"/>
          <w:lang w:val="de-DE" w:eastAsia="zh-CN"/>
        </w:rPr>
        <w:t>-1</w:t>
      </w:r>
      <w:r w:rsidR="004130BE" w:rsidRPr="00A17C97">
        <w:rPr>
          <w:rFonts w:eastAsiaTheme="minorEastAsia"/>
          <w:lang w:val="de-DE" w:eastAsia="zh-CN"/>
        </w:rPr>
        <w:t xml:space="preserve"> in the out-of-plane direction. </w:t>
      </w:r>
      <w:bookmarkEnd w:id="25"/>
      <w:r w:rsidR="00F51B55" w:rsidRPr="00A17C97">
        <w:rPr>
          <w:rFonts w:eastAsiaTheme="minorEastAsia"/>
          <w:lang w:val="de-DE" w:eastAsia="zh-CN"/>
        </w:rPr>
        <w:t>The scattered x-rays were detected using a Dectris Pilatus 2M photon counting detector. The grazing incidence small angle X-ray scattering (</w:t>
      </w:r>
      <w:r w:rsidR="00F51B55" w:rsidRPr="00F51B55">
        <w:rPr>
          <w:rFonts w:eastAsiaTheme="minorEastAsia"/>
          <w:lang w:val="de-DE" w:eastAsia="zh-CN"/>
        </w:rPr>
        <w:t>GISAXS) measurement was carried out with a Xeuss 2.0 SAXS laboratory beamline using a Cu X-ray source (8.05 keV, 1.54 Å) and a Pilatus3R 300K detector. The incident angle was 0.15°. The samples for GISAXS measurement were directly deposited on the silicon substrates under the same condition as the optimized devices.</w:t>
      </w:r>
      <w:r w:rsidR="00F51B55" w:rsidRPr="00F51B55">
        <w:rPr>
          <w:rFonts w:eastAsiaTheme="minorEastAsia" w:hint="eastAsia"/>
          <w:lang w:val="de-DE" w:eastAsia="zh-CN"/>
        </w:rPr>
        <w:t xml:space="preserve"> </w:t>
      </w:r>
      <w:bookmarkEnd w:id="22"/>
      <w:bookmarkEnd w:id="24"/>
    </w:p>
    <w:p w14:paraId="3F8EF3C0" w14:textId="77777777" w:rsidR="00131D58" w:rsidRDefault="00131D58" w:rsidP="008C6D5F">
      <w:pPr>
        <w:pStyle w:val="MainText"/>
        <w:spacing w:line="360" w:lineRule="auto"/>
      </w:pPr>
    </w:p>
    <w:p w14:paraId="6A29D49B" w14:textId="4C208FF6" w:rsidR="00131D58" w:rsidRPr="00A35E4A" w:rsidRDefault="00131D58" w:rsidP="008C6D5F">
      <w:pPr>
        <w:pStyle w:val="Acknowledgements"/>
        <w:spacing w:line="360" w:lineRule="auto"/>
        <w:rPr>
          <w:i/>
        </w:rPr>
      </w:pPr>
      <w:r w:rsidRPr="005167E5">
        <w:rPr>
          <w:b/>
        </w:rPr>
        <w:t>Supporting Information</w:t>
      </w:r>
      <w:r>
        <w:rPr>
          <w:i/>
        </w:rPr>
        <w:t xml:space="preserve"> </w:t>
      </w:r>
    </w:p>
    <w:p w14:paraId="61CE1F90" w14:textId="77777777" w:rsidR="00131D58" w:rsidRDefault="00131D58" w:rsidP="008C6D5F">
      <w:pPr>
        <w:pStyle w:val="Acknowledgements"/>
        <w:spacing w:line="360" w:lineRule="auto"/>
      </w:pPr>
      <w:r w:rsidRPr="00A35E4A">
        <w:t xml:space="preserve">Supporting Information is available from </w:t>
      </w:r>
      <w:r>
        <w:t xml:space="preserve">the </w:t>
      </w:r>
      <w:r w:rsidRPr="00A35E4A">
        <w:t>Wiley</w:t>
      </w:r>
      <w:r>
        <w:t xml:space="preserve"> Online Library or from the author</w:t>
      </w:r>
      <w:r w:rsidRPr="00A35E4A">
        <w:t>.</w:t>
      </w:r>
    </w:p>
    <w:p w14:paraId="3B9DCEAD" w14:textId="77777777" w:rsidR="00004A23" w:rsidRDefault="00004A23" w:rsidP="008C6D5F">
      <w:pPr>
        <w:pStyle w:val="MainText"/>
        <w:spacing w:line="360" w:lineRule="auto"/>
      </w:pPr>
    </w:p>
    <w:p w14:paraId="300E83E3" w14:textId="77777777" w:rsidR="002D16A0" w:rsidRDefault="002D16A0" w:rsidP="008C6D5F">
      <w:pPr>
        <w:pStyle w:val="Head1"/>
      </w:pPr>
      <w:r>
        <w:t>Acknowledgements</w:t>
      </w:r>
    </w:p>
    <w:p w14:paraId="411A3BF3" w14:textId="1C01552A" w:rsidR="00F51B55" w:rsidRPr="00F51B55" w:rsidRDefault="00F51B55" w:rsidP="00F51B55">
      <w:pPr>
        <w:pStyle w:val="MainText"/>
        <w:jc w:val="both"/>
      </w:pPr>
      <w:bookmarkStart w:id="26" w:name="_Hlk150763557"/>
      <w:r w:rsidRPr="00F51B55">
        <w:rPr>
          <w:rFonts w:hint="eastAsia"/>
        </w:rPr>
        <w:t>A.K.Y.J. thanks the sponsorship of the Lee Shau-Kee Chair Professor (Materials Science), and the support from the APRC Grants (9380086, 9610508</w:t>
      </w:r>
      <w:r w:rsidRPr="00F51B55">
        <w:t>, 9610419, 9610492</w:t>
      </w:r>
      <w:r w:rsidRPr="00F51B55">
        <w:rPr>
          <w:rFonts w:hint="eastAsia"/>
        </w:rPr>
        <w:t>) of the City University of Hong Kong, the TCFS Grant (GHP/018/20SZ) and MRP Grant (MRP/040/21X) from the Innovation and Technology Commission of Hong Kong, the Green Tech Fund (202020164) from the Environment and Ecology Bureau of Hong Kong, the GRF grants (11307621, 11316422) from the Research Grants Council of Hong Kong, Shenzhen Science and Technology Program (SGDX20201103095412040), Guangdong Major Project of Basic and Applied Basic Research (2019B030302007)</w:t>
      </w:r>
      <w:r w:rsidRPr="00F51B55">
        <w:t>. T</w:t>
      </w:r>
      <w:r w:rsidRPr="00F51B55">
        <w:rPr>
          <w:rFonts w:hint="eastAsia"/>
        </w:rPr>
        <w:t>h</w:t>
      </w:r>
      <w:r w:rsidRPr="00F51B55">
        <w:t xml:space="preserve">e authors thank </w:t>
      </w:r>
      <w:r w:rsidR="00EB5051">
        <w:t>Prof</w:t>
      </w:r>
      <w:r w:rsidRPr="00F51B55">
        <w:t xml:space="preserve">. Hin-Lap Yip for </w:t>
      </w:r>
      <w:r w:rsidR="00EB5051">
        <w:t>providing the instrumental setup for</w:t>
      </w:r>
      <w:r w:rsidRPr="00F51B55">
        <w:t xml:space="preserve"> stability </w:t>
      </w:r>
      <w:r w:rsidR="00EB5051">
        <w:t>tracking</w:t>
      </w:r>
      <w:r w:rsidRPr="00F51B55">
        <w:t xml:space="preserve">. X-ray data was acquired at beamlines 7.3.3 and 11.0.1.2 at the Advanced Light Source, which is supported by the Director, Office of Science, Office of Basic Energy Sciences, of the U.S. Department of Energy under Contract No. DE-AC02-05CH11231. The authors thank Dr. Eric Schaible and Dr. </w:t>
      </w:r>
      <w:proofErr w:type="spellStart"/>
      <w:r w:rsidRPr="00F51B55">
        <w:t>Chenhui</w:t>
      </w:r>
      <w:proofErr w:type="spellEnd"/>
      <w:r w:rsidRPr="00F51B55">
        <w:t xml:space="preserve"> Zhu at beamline 7.3.3, and Dr. Cheng Wang at beamline 11.0.1.2 for assistance with data acquisition. </w:t>
      </w:r>
      <w:bookmarkEnd w:id="26"/>
    </w:p>
    <w:p w14:paraId="37E6686B" w14:textId="267AB7C4" w:rsidR="007B7A09" w:rsidRPr="00F51B55" w:rsidRDefault="007B7A09" w:rsidP="008C6D5F">
      <w:pPr>
        <w:pStyle w:val="MainText"/>
        <w:spacing w:line="360" w:lineRule="auto"/>
        <w:rPr>
          <w:lang w:val="de-DE"/>
        </w:rPr>
      </w:pPr>
    </w:p>
    <w:p w14:paraId="1D409941" w14:textId="77777777" w:rsidR="00C56CD4" w:rsidRDefault="00C56CD4" w:rsidP="008C6D5F">
      <w:pPr>
        <w:pStyle w:val="Acknowledgements"/>
        <w:spacing w:line="360" w:lineRule="auto"/>
        <w:rPr>
          <w:b/>
        </w:rPr>
      </w:pPr>
    </w:p>
    <w:p w14:paraId="524417EC" w14:textId="77777777" w:rsidR="00004A23" w:rsidRPr="00EF4114" w:rsidRDefault="00004A23" w:rsidP="008C6D5F">
      <w:pPr>
        <w:pStyle w:val="dates"/>
        <w:spacing w:line="360" w:lineRule="auto"/>
      </w:pPr>
      <w:r w:rsidRPr="00EF4114">
        <w:t>Received: ((will be filled in by the editorial staff))</w:t>
      </w:r>
      <w:r w:rsidRPr="00EF4114">
        <w:br/>
        <w:t>Revised: ((will be filled in by the editorial staff))</w:t>
      </w:r>
      <w:r w:rsidRPr="00EF4114">
        <w:br/>
        <w:t>Published online: ((will be filled in by the editorial staff))</w:t>
      </w:r>
    </w:p>
    <w:p w14:paraId="19569340" w14:textId="77777777" w:rsidR="00004A23" w:rsidRDefault="00004A23" w:rsidP="008C6D5F">
      <w:pPr>
        <w:pStyle w:val="MainText"/>
        <w:spacing w:line="360" w:lineRule="auto"/>
      </w:pPr>
    </w:p>
    <w:p w14:paraId="295BC1E9" w14:textId="77777777" w:rsidR="00FE4D5F" w:rsidRPr="00135998" w:rsidRDefault="00FE4D5F" w:rsidP="008C6D5F">
      <w:pPr>
        <w:pStyle w:val="MainText"/>
        <w:spacing w:line="360" w:lineRule="auto"/>
        <w:rPr>
          <w:b/>
          <w:bCs/>
        </w:rPr>
      </w:pPr>
      <w:r w:rsidRPr="00135998">
        <w:rPr>
          <w:b/>
          <w:bCs/>
        </w:rPr>
        <w:t>References</w:t>
      </w:r>
    </w:p>
    <w:p w14:paraId="46DC3FFA" w14:textId="77777777" w:rsidR="00DA5BD5" w:rsidRDefault="00F51B55" w:rsidP="00DA5BD5">
      <w:pPr>
        <w:pStyle w:val="ae"/>
      </w:pPr>
      <w:r>
        <w:rPr>
          <w:lang w:val="en-US"/>
        </w:rPr>
        <w:fldChar w:fldCharType="begin"/>
      </w:r>
      <w:r w:rsidR="00647012">
        <w:rPr>
          <w:lang w:val="en-US"/>
        </w:rPr>
        <w:instrText xml:space="preserve"> ADDIN ZOTERO_BIBL {"uncited":[],"omitted":[],"custom":[]} CSL_BIBLIOGRAPHY </w:instrText>
      </w:r>
      <w:r>
        <w:rPr>
          <w:lang w:val="en-US"/>
        </w:rPr>
        <w:fldChar w:fldCharType="separate"/>
      </w:r>
      <w:r w:rsidR="00DA5BD5">
        <w:t>[1]</w:t>
      </w:r>
      <w:r w:rsidR="00DA5BD5">
        <w:tab/>
        <w:t xml:space="preserve">J. Wang, Y. Wang, P. Bi, Z. Chen, J. Qiao, J. Li, W. Wang, Z. Zheng, S. Zhang, X. Hao, J. Hou, </w:t>
      </w:r>
      <w:r w:rsidR="00DA5BD5">
        <w:rPr>
          <w:i/>
          <w:iCs/>
        </w:rPr>
        <w:t>Adv. Mater.</w:t>
      </w:r>
      <w:r w:rsidR="00DA5BD5">
        <w:t xml:space="preserve"> </w:t>
      </w:r>
      <w:r w:rsidR="00DA5BD5">
        <w:rPr>
          <w:b/>
          <w:bCs/>
        </w:rPr>
        <w:t>2023</w:t>
      </w:r>
      <w:r w:rsidR="00DA5BD5">
        <w:t>, 2301583.</w:t>
      </w:r>
    </w:p>
    <w:p w14:paraId="0A8F27F9" w14:textId="77777777" w:rsidR="00DA5BD5" w:rsidRDefault="00DA5BD5" w:rsidP="00DA5BD5">
      <w:pPr>
        <w:pStyle w:val="ae"/>
      </w:pPr>
      <w:r>
        <w:t>[2]</w:t>
      </w:r>
      <w:r>
        <w:tab/>
        <w:t xml:space="preserve">J. Fu, P. W. K. Fong, H. Liu, C.-S. Huang, X. Lu, S. Lu, M. Abdelsamie, T. Kodalle, C. M. Sutter-Fella, Y. Yang, G. Li, </w:t>
      </w:r>
      <w:r>
        <w:rPr>
          <w:i/>
          <w:iCs/>
        </w:rPr>
        <w:t>Nat. Commun.</w:t>
      </w:r>
      <w:r>
        <w:t xml:space="preserve"> </w:t>
      </w:r>
      <w:r>
        <w:rPr>
          <w:b/>
          <w:bCs/>
        </w:rPr>
        <w:t>2023</w:t>
      </w:r>
      <w:r>
        <w:t xml:space="preserve">, </w:t>
      </w:r>
      <w:r>
        <w:rPr>
          <w:i/>
          <w:iCs/>
        </w:rPr>
        <w:t>14</w:t>
      </w:r>
      <w:r>
        <w:t>, 1760.</w:t>
      </w:r>
    </w:p>
    <w:p w14:paraId="30FD403E" w14:textId="77777777" w:rsidR="00DA5BD5" w:rsidRDefault="00DA5BD5" w:rsidP="00DA5BD5">
      <w:pPr>
        <w:pStyle w:val="ae"/>
      </w:pPr>
      <w:r>
        <w:t>[3]</w:t>
      </w:r>
      <w:r>
        <w:tab/>
        <w:t xml:space="preserve">W. Gao, F. Qi, Z. Peng, F. R. Lin, K. Jiang, C. Zhong, W. Kaminsky, Z. Guan, C. Lee, T. J. Marks, H. Ade, A. K. ‐Y. Jen, </w:t>
      </w:r>
      <w:r>
        <w:rPr>
          <w:i/>
          <w:iCs/>
        </w:rPr>
        <w:t>Adv. Mater.</w:t>
      </w:r>
      <w:r>
        <w:t xml:space="preserve"> </w:t>
      </w:r>
      <w:r>
        <w:rPr>
          <w:b/>
          <w:bCs/>
        </w:rPr>
        <w:t>2022</w:t>
      </w:r>
      <w:r>
        <w:t xml:space="preserve">, </w:t>
      </w:r>
      <w:r>
        <w:rPr>
          <w:i/>
          <w:iCs/>
        </w:rPr>
        <w:t>34</w:t>
      </w:r>
      <w:r>
        <w:t>, 2202089.</w:t>
      </w:r>
    </w:p>
    <w:p w14:paraId="7E965A9E" w14:textId="77777777" w:rsidR="00DA5BD5" w:rsidRDefault="00DA5BD5" w:rsidP="00DA5BD5">
      <w:pPr>
        <w:pStyle w:val="ae"/>
      </w:pPr>
      <w:r>
        <w:t>[4]</w:t>
      </w:r>
      <w:r>
        <w:tab/>
        <w:t xml:space="preserve">K. Jiang, J. Zhang, C. Zhong, F. R. Lin, F. Qi, Q. Li, Z. Peng, W. Kaminsky, S.-H. Jang, J. Yu, X. Deng, H. Hu, D. Shen, F. Gao, H. Ade, M. Xiao, C. Zhang, A. K.-Y. Jen, </w:t>
      </w:r>
      <w:r>
        <w:rPr>
          <w:i/>
          <w:iCs/>
        </w:rPr>
        <w:t>Nat. Energy</w:t>
      </w:r>
      <w:r>
        <w:t xml:space="preserve"> </w:t>
      </w:r>
      <w:r>
        <w:rPr>
          <w:b/>
          <w:bCs/>
        </w:rPr>
        <w:t>2022</w:t>
      </w:r>
      <w:r>
        <w:t xml:space="preserve">, </w:t>
      </w:r>
      <w:r>
        <w:rPr>
          <w:i/>
          <w:iCs/>
        </w:rPr>
        <w:t>7</w:t>
      </w:r>
      <w:r>
        <w:t>, 1076.</w:t>
      </w:r>
    </w:p>
    <w:p w14:paraId="691F6644" w14:textId="77777777" w:rsidR="00DA5BD5" w:rsidRDefault="00DA5BD5" w:rsidP="00DA5BD5">
      <w:pPr>
        <w:pStyle w:val="ae"/>
      </w:pPr>
      <w:r>
        <w:lastRenderedPageBreak/>
        <w:t>[5]</w:t>
      </w:r>
      <w:r>
        <w:tab/>
        <w:t xml:space="preserve">Q. Fan, R. Ma, J. Yang, J. Gao, H. Bai, W. Su, Z. Liang, Y. Wu, L. Tang, Y. Li, Q. Wu, K. Wang, L. Yan, R. Zhang, F. Gao, G. Li, W. Ma, </w:t>
      </w:r>
      <w:r>
        <w:rPr>
          <w:i/>
          <w:iCs/>
        </w:rPr>
        <w:t>Angew Chem. Int. Ed.</w:t>
      </w:r>
      <w:r>
        <w:t xml:space="preserve"> </w:t>
      </w:r>
      <w:r>
        <w:rPr>
          <w:b/>
          <w:bCs/>
        </w:rPr>
        <w:t>2023</w:t>
      </w:r>
      <w:r>
        <w:t xml:space="preserve">, </w:t>
      </w:r>
      <w:r>
        <w:rPr>
          <w:i/>
          <w:iCs/>
        </w:rPr>
        <w:t>62</w:t>
      </w:r>
      <w:r>
        <w:t>, e202308307.</w:t>
      </w:r>
    </w:p>
    <w:p w14:paraId="74A33D1B" w14:textId="77777777" w:rsidR="00DA5BD5" w:rsidRDefault="00DA5BD5" w:rsidP="00DA5BD5">
      <w:pPr>
        <w:pStyle w:val="ae"/>
      </w:pPr>
      <w:r>
        <w:t>[6]</w:t>
      </w:r>
      <w:r>
        <w:tab/>
        <w:t xml:space="preserve">C. J. Brabec, S. Gowrisanker, J. J. M. Halls, D. Laird, S. Jia, S. P. Williams, </w:t>
      </w:r>
      <w:r>
        <w:rPr>
          <w:i/>
          <w:iCs/>
        </w:rPr>
        <w:t>Adv. Mater.</w:t>
      </w:r>
      <w:r>
        <w:t xml:space="preserve"> </w:t>
      </w:r>
      <w:r>
        <w:rPr>
          <w:b/>
          <w:bCs/>
        </w:rPr>
        <w:t>2010</w:t>
      </w:r>
      <w:r>
        <w:t xml:space="preserve">, </w:t>
      </w:r>
      <w:r>
        <w:rPr>
          <w:i/>
          <w:iCs/>
        </w:rPr>
        <w:t>22</w:t>
      </w:r>
      <w:r>
        <w:t>, 3839.</w:t>
      </w:r>
    </w:p>
    <w:p w14:paraId="356C1F0F" w14:textId="77777777" w:rsidR="00DA5BD5" w:rsidRDefault="00DA5BD5" w:rsidP="00DA5BD5">
      <w:pPr>
        <w:pStyle w:val="ae"/>
      </w:pPr>
      <w:r>
        <w:t>[7]</w:t>
      </w:r>
      <w:r>
        <w:tab/>
        <w:t xml:space="preserve">C. H. Peters, I. T. Sachs-Quintana, W. R. Mateker, T. Heumueller, J. Rivnay, R. Noriega, Z. M. Beiley, E. T. Hoke, A. Salleo, M. D. McGehee, </w:t>
      </w:r>
      <w:r>
        <w:rPr>
          <w:i/>
          <w:iCs/>
        </w:rPr>
        <w:t>Adv. Mater.</w:t>
      </w:r>
      <w:r>
        <w:t xml:space="preserve"> </w:t>
      </w:r>
      <w:r>
        <w:rPr>
          <w:b/>
          <w:bCs/>
        </w:rPr>
        <w:t>2012</w:t>
      </w:r>
      <w:r>
        <w:t xml:space="preserve">, </w:t>
      </w:r>
      <w:r>
        <w:rPr>
          <w:i/>
          <w:iCs/>
        </w:rPr>
        <w:t>24</w:t>
      </w:r>
      <w:r>
        <w:t>, 663.</w:t>
      </w:r>
    </w:p>
    <w:p w14:paraId="0FF04BCF" w14:textId="77777777" w:rsidR="00DA5BD5" w:rsidRDefault="00DA5BD5" w:rsidP="00DA5BD5">
      <w:pPr>
        <w:pStyle w:val="ae"/>
      </w:pPr>
      <w:r>
        <w:t>[8]</w:t>
      </w:r>
      <w:r>
        <w:tab/>
        <w:t xml:space="preserve">C. H. Peters, I. T. Sachs-Quintana, J. P. Kastrop, S. Beaupré, M. Leclerc, M. D. McGehee, </w:t>
      </w:r>
      <w:r>
        <w:rPr>
          <w:i/>
          <w:iCs/>
        </w:rPr>
        <w:t>Adv. Energy Mater.</w:t>
      </w:r>
      <w:r>
        <w:t xml:space="preserve"> </w:t>
      </w:r>
      <w:r>
        <w:rPr>
          <w:b/>
          <w:bCs/>
        </w:rPr>
        <w:t>2011</w:t>
      </w:r>
      <w:r>
        <w:t xml:space="preserve">, </w:t>
      </w:r>
      <w:r>
        <w:rPr>
          <w:i/>
          <w:iCs/>
        </w:rPr>
        <w:t>1</w:t>
      </w:r>
      <w:r>
        <w:t>, 491.</w:t>
      </w:r>
    </w:p>
    <w:p w14:paraId="1098F102" w14:textId="77777777" w:rsidR="00DA5BD5" w:rsidRDefault="00DA5BD5" w:rsidP="00DA5BD5">
      <w:pPr>
        <w:pStyle w:val="ae"/>
      </w:pPr>
      <w:r>
        <w:t>[9]</w:t>
      </w:r>
      <w:r>
        <w:tab/>
        <w:t xml:space="preserve">M. Jørgensen, K. Norrman, S. A. Gevorgyan, T. Tromholt, B. Andreasen, F. C. Krebs, </w:t>
      </w:r>
      <w:r>
        <w:rPr>
          <w:i/>
          <w:iCs/>
        </w:rPr>
        <w:t>Adv. Mater.</w:t>
      </w:r>
      <w:r>
        <w:t xml:space="preserve"> </w:t>
      </w:r>
      <w:r>
        <w:rPr>
          <w:b/>
          <w:bCs/>
        </w:rPr>
        <w:t>2012</w:t>
      </w:r>
      <w:r>
        <w:t xml:space="preserve">, </w:t>
      </w:r>
      <w:r>
        <w:rPr>
          <w:i/>
          <w:iCs/>
        </w:rPr>
        <w:t>24</w:t>
      </w:r>
      <w:r>
        <w:t>, 580.</w:t>
      </w:r>
    </w:p>
    <w:p w14:paraId="5662A507" w14:textId="77777777" w:rsidR="00DA5BD5" w:rsidRDefault="00DA5BD5" w:rsidP="00DA5BD5">
      <w:pPr>
        <w:pStyle w:val="ae"/>
      </w:pPr>
      <w:r>
        <w:t>[10]</w:t>
      </w:r>
      <w:r>
        <w:tab/>
        <w:t xml:space="preserve">E. T. Hoke, I. T. Sachs-Quintana, M. T. Lloyd, I. Kauvar, W. R. Mateker, A. M. Nardes, C. H. Peters, N. Kopidakis, M. D. McGehee, </w:t>
      </w:r>
      <w:r>
        <w:rPr>
          <w:i/>
          <w:iCs/>
        </w:rPr>
        <w:t>Adv. Energy Mater.</w:t>
      </w:r>
      <w:r>
        <w:t xml:space="preserve"> </w:t>
      </w:r>
      <w:r>
        <w:rPr>
          <w:b/>
          <w:bCs/>
        </w:rPr>
        <w:t>2012</w:t>
      </w:r>
      <w:r>
        <w:t xml:space="preserve">, </w:t>
      </w:r>
      <w:r>
        <w:rPr>
          <w:i/>
          <w:iCs/>
        </w:rPr>
        <w:t>2</w:t>
      </w:r>
      <w:r>
        <w:t>, 1351.</w:t>
      </w:r>
    </w:p>
    <w:p w14:paraId="2161EC70" w14:textId="77777777" w:rsidR="00DA5BD5" w:rsidRDefault="00DA5BD5" w:rsidP="00DA5BD5">
      <w:pPr>
        <w:pStyle w:val="ae"/>
      </w:pPr>
      <w:r>
        <w:t>[11]</w:t>
      </w:r>
      <w:r>
        <w:tab/>
        <w:t xml:space="preserve">X. Tong, N. Wang, M. Slootsky, J. Yu, S. R. Forrest, </w:t>
      </w:r>
      <w:r>
        <w:rPr>
          <w:i/>
          <w:iCs/>
        </w:rPr>
        <w:t>Sol. Energy Mater. Sol. Cells</w:t>
      </w:r>
      <w:r>
        <w:t xml:space="preserve"> </w:t>
      </w:r>
      <w:r>
        <w:rPr>
          <w:b/>
          <w:bCs/>
        </w:rPr>
        <w:t>2013</w:t>
      </w:r>
      <w:r>
        <w:t xml:space="preserve">, </w:t>
      </w:r>
      <w:r>
        <w:rPr>
          <w:i/>
          <w:iCs/>
        </w:rPr>
        <w:t>118</w:t>
      </w:r>
      <w:r>
        <w:t>, 116.</w:t>
      </w:r>
    </w:p>
    <w:p w14:paraId="44B857EF" w14:textId="77777777" w:rsidR="00DA5BD5" w:rsidRDefault="00DA5BD5" w:rsidP="00DA5BD5">
      <w:pPr>
        <w:pStyle w:val="ae"/>
      </w:pPr>
      <w:r>
        <w:t>[12]</w:t>
      </w:r>
      <w:r>
        <w:tab/>
        <w:t xml:space="preserve">T. Heumueller, W. R. Mateker, I. T. Sachs-Quintana, K. Vandewal, J. A. Bartelt, T. M. Burke, T. Ameri, C. J. Brabec, M. D. McGehee, </w:t>
      </w:r>
      <w:r>
        <w:rPr>
          <w:i/>
          <w:iCs/>
        </w:rPr>
        <w:t>Energy Environ. Sci.</w:t>
      </w:r>
      <w:r>
        <w:t xml:space="preserve"> </w:t>
      </w:r>
      <w:r>
        <w:rPr>
          <w:b/>
          <w:bCs/>
        </w:rPr>
        <w:t>2014</w:t>
      </w:r>
      <w:r>
        <w:t xml:space="preserve">, </w:t>
      </w:r>
      <w:r>
        <w:rPr>
          <w:i/>
          <w:iCs/>
        </w:rPr>
        <w:t>7</w:t>
      </w:r>
      <w:r>
        <w:t>, 2974.</w:t>
      </w:r>
    </w:p>
    <w:p w14:paraId="6F123E18" w14:textId="77777777" w:rsidR="00DA5BD5" w:rsidRDefault="00DA5BD5" w:rsidP="00DA5BD5">
      <w:pPr>
        <w:pStyle w:val="ae"/>
      </w:pPr>
      <w:r>
        <w:t>[13]</w:t>
      </w:r>
      <w:r>
        <w:tab/>
        <w:t xml:space="preserve">Q. Burlingame, X. Huang, X. Liu, C. Jeong, C. Coburn, S. R. Forrest, </w:t>
      </w:r>
      <w:r>
        <w:rPr>
          <w:i/>
          <w:iCs/>
        </w:rPr>
        <w:t>Nature</w:t>
      </w:r>
      <w:r>
        <w:t xml:space="preserve"> </w:t>
      </w:r>
      <w:r>
        <w:rPr>
          <w:b/>
          <w:bCs/>
        </w:rPr>
        <w:t>2019</w:t>
      </w:r>
      <w:r>
        <w:t xml:space="preserve">, </w:t>
      </w:r>
      <w:r>
        <w:rPr>
          <w:i/>
          <w:iCs/>
        </w:rPr>
        <w:t>573</w:t>
      </w:r>
      <w:r>
        <w:t>, 394.</w:t>
      </w:r>
    </w:p>
    <w:p w14:paraId="29E5097E" w14:textId="77777777" w:rsidR="00DA5BD5" w:rsidRDefault="00DA5BD5" w:rsidP="00DA5BD5">
      <w:pPr>
        <w:pStyle w:val="ae"/>
      </w:pPr>
      <w:r>
        <w:t>[14]</w:t>
      </w:r>
      <w:r>
        <w:tab/>
        <w:t xml:space="preserve">E. M. Speller, A. J. Clarke, J. Luke, H. K. H. Lee, J. R. Durrant, N. Li, T. Wang, H. C. Wong, J.-S. Kim, W. C. Tsoi, Z. Li, </w:t>
      </w:r>
      <w:r>
        <w:rPr>
          <w:i/>
          <w:iCs/>
        </w:rPr>
        <w:t>J. Mater. Chem. A</w:t>
      </w:r>
      <w:r>
        <w:t xml:space="preserve"> </w:t>
      </w:r>
      <w:r>
        <w:rPr>
          <w:b/>
          <w:bCs/>
        </w:rPr>
        <w:t>2019</w:t>
      </w:r>
      <w:r>
        <w:t xml:space="preserve">, </w:t>
      </w:r>
      <w:r>
        <w:rPr>
          <w:i/>
          <w:iCs/>
        </w:rPr>
        <w:t>7</w:t>
      </w:r>
      <w:r>
        <w:t>, 23361.</w:t>
      </w:r>
    </w:p>
    <w:p w14:paraId="52A9FA78" w14:textId="77777777" w:rsidR="00DA5BD5" w:rsidRDefault="00DA5BD5" w:rsidP="00DA5BD5">
      <w:pPr>
        <w:pStyle w:val="ae"/>
      </w:pPr>
      <w:r>
        <w:t>[15]</w:t>
      </w:r>
      <w:r>
        <w:tab/>
        <w:t xml:space="preserve">C. Zhang, T. Heumueller, S. Leon, W. Gruber, K. Burlafinger, X. Tang, J. D. Perea, I. Wabra, A. Hirsch, T. Unruh, N. Li, C. J. Brabec, </w:t>
      </w:r>
      <w:r>
        <w:rPr>
          <w:i/>
          <w:iCs/>
        </w:rPr>
        <w:t>Energy Environ. Sci.</w:t>
      </w:r>
      <w:r>
        <w:t xml:space="preserve"> </w:t>
      </w:r>
      <w:r>
        <w:rPr>
          <w:b/>
          <w:bCs/>
        </w:rPr>
        <w:t>2019</w:t>
      </w:r>
      <w:r>
        <w:t xml:space="preserve">, </w:t>
      </w:r>
      <w:r>
        <w:rPr>
          <w:i/>
          <w:iCs/>
        </w:rPr>
        <w:t>12</w:t>
      </w:r>
      <w:r>
        <w:t>, 1078.</w:t>
      </w:r>
    </w:p>
    <w:p w14:paraId="5DFAA34F" w14:textId="77777777" w:rsidR="00DA5BD5" w:rsidRDefault="00DA5BD5" w:rsidP="00DA5BD5">
      <w:pPr>
        <w:pStyle w:val="ae"/>
      </w:pPr>
      <w:r>
        <w:t>[16]</w:t>
      </w:r>
      <w:r>
        <w:tab/>
        <w:t xml:space="preserve">G. Yu, J. Gao, J. C. Hummelen, F. Wudl, A. J. Heeger, </w:t>
      </w:r>
      <w:r>
        <w:rPr>
          <w:i/>
          <w:iCs/>
        </w:rPr>
        <w:t>Science</w:t>
      </w:r>
      <w:r>
        <w:t xml:space="preserve"> </w:t>
      </w:r>
      <w:r>
        <w:rPr>
          <w:b/>
          <w:bCs/>
        </w:rPr>
        <w:t>1995</w:t>
      </w:r>
      <w:r>
        <w:t xml:space="preserve">, </w:t>
      </w:r>
      <w:r>
        <w:rPr>
          <w:i/>
          <w:iCs/>
        </w:rPr>
        <w:t>270</w:t>
      </w:r>
      <w:r>
        <w:t>, 1789.</w:t>
      </w:r>
    </w:p>
    <w:p w14:paraId="7358061B" w14:textId="77777777" w:rsidR="00DA5BD5" w:rsidRDefault="00DA5BD5" w:rsidP="00DA5BD5">
      <w:pPr>
        <w:pStyle w:val="ae"/>
      </w:pPr>
      <w:r>
        <w:t>[17]</w:t>
      </w:r>
      <w:r>
        <w:tab/>
        <w:t xml:space="preserve">M. Ghasemi, N. Balar, Z. Peng, H. Hu, Y. Qin, T. Kim, J. J. Rech, M. Bidwell, W. Mask, I. McCulloch, W. You, A. Amassian, C. Risko, B. T. O’Connor, H. Ade, </w:t>
      </w:r>
      <w:r>
        <w:rPr>
          <w:i/>
          <w:iCs/>
        </w:rPr>
        <w:t>Nat. Mater.</w:t>
      </w:r>
      <w:r>
        <w:t xml:space="preserve"> </w:t>
      </w:r>
      <w:r>
        <w:rPr>
          <w:b/>
          <w:bCs/>
        </w:rPr>
        <w:t>2021</w:t>
      </w:r>
      <w:r>
        <w:t xml:space="preserve">, </w:t>
      </w:r>
      <w:r>
        <w:rPr>
          <w:i/>
          <w:iCs/>
        </w:rPr>
        <w:t>20</w:t>
      </w:r>
      <w:r>
        <w:t>, 525.</w:t>
      </w:r>
    </w:p>
    <w:p w14:paraId="12EF360B" w14:textId="77777777" w:rsidR="00DA5BD5" w:rsidRDefault="00DA5BD5" w:rsidP="00DA5BD5">
      <w:pPr>
        <w:pStyle w:val="ae"/>
      </w:pPr>
      <w:r>
        <w:t>[18]</w:t>
      </w:r>
      <w:r>
        <w:tab/>
        <w:t xml:space="preserve">L. Ye, H. Hu, M. Ghasemi, T. Wang, B. A. Collins, J.-H. Kim, K. Jiang, J. H. Carpenter, H. Li, Z. Li, T. McAfee, J. Zhao, X. Chen, J. L. Y. Lai, T. Ma, J.-L. Bredas, H. Yan, H. Ade, </w:t>
      </w:r>
      <w:r>
        <w:rPr>
          <w:i/>
          <w:iCs/>
        </w:rPr>
        <w:t>Nat. Mater.</w:t>
      </w:r>
      <w:r>
        <w:t xml:space="preserve"> </w:t>
      </w:r>
      <w:r>
        <w:rPr>
          <w:b/>
          <w:bCs/>
        </w:rPr>
        <w:t>2018</w:t>
      </w:r>
      <w:r>
        <w:t xml:space="preserve">, </w:t>
      </w:r>
      <w:r>
        <w:rPr>
          <w:i/>
          <w:iCs/>
        </w:rPr>
        <w:t>17</w:t>
      </w:r>
      <w:r>
        <w:t>, 253.</w:t>
      </w:r>
    </w:p>
    <w:p w14:paraId="7DF8FDC3" w14:textId="77777777" w:rsidR="00DA5BD5" w:rsidRDefault="00DA5BD5" w:rsidP="00DA5BD5">
      <w:pPr>
        <w:pStyle w:val="ae"/>
      </w:pPr>
      <w:r>
        <w:t>[19]</w:t>
      </w:r>
      <w:r>
        <w:tab/>
        <w:t xml:space="preserve">Y. Li, K.-K. Liu, F. R. Lin, A. K.-Y. Jen, </w:t>
      </w:r>
      <w:r>
        <w:rPr>
          <w:i/>
          <w:iCs/>
        </w:rPr>
        <w:t>Solar RRL</w:t>
      </w:r>
      <w:r>
        <w:t xml:space="preserve"> </w:t>
      </w:r>
      <w:r>
        <w:rPr>
          <w:b/>
          <w:bCs/>
        </w:rPr>
        <w:t>2023</w:t>
      </w:r>
      <w:r>
        <w:t>, 2300531.</w:t>
      </w:r>
    </w:p>
    <w:p w14:paraId="542C23C4" w14:textId="77777777" w:rsidR="00DA5BD5" w:rsidRDefault="00DA5BD5" w:rsidP="00DA5BD5">
      <w:pPr>
        <w:pStyle w:val="ae"/>
      </w:pPr>
      <w:r>
        <w:t>[20]</w:t>
      </w:r>
      <w:r>
        <w:tab/>
        <w:t xml:space="preserve">Y. Liang, D. Zhang, Z. Wu, T. Jia, L. Lüer, H. Tang, L. Hong, J. Zhang, K. Zhang, C. J. Brabec, N. Li, F. Huang, </w:t>
      </w:r>
      <w:r>
        <w:rPr>
          <w:i/>
          <w:iCs/>
        </w:rPr>
        <w:t>Nat. Energy</w:t>
      </w:r>
      <w:r>
        <w:t xml:space="preserve"> </w:t>
      </w:r>
      <w:r>
        <w:rPr>
          <w:b/>
          <w:bCs/>
        </w:rPr>
        <w:t>2022</w:t>
      </w:r>
      <w:r>
        <w:t xml:space="preserve">, </w:t>
      </w:r>
      <w:r>
        <w:rPr>
          <w:i/>
          <w:iCs/>
        </w:rPr>
        <w:t>7</w:t>
      </w:r>
      <w:r>
        <w:t>, 1180.</w:t>
      </w:r>
    </w:p>
    <w:p w14:paraId="3C64EED8" w14:textId="77777777" w:rsidR="00DA5BD5" w:rsidRDefault="00DA5BD5" w:rsidP="00DA5BD5">
      <w:pPr>
        <w:pStyle w:val="ae"/>
      </w:pPr>
      <w:r>
        <w:t>[21]</w:t>
      </w:r>
      <w:r>
        <w:tab/>
        <w:t xml:space="preserve">X. Cheng, M. Li, Z. Liang, M. Gao, L. Ye, Y. Geng, </w:t>
      </w:r>
      <w:r>
        <w:rPr>
          <w:i/>
          <w:iCs/>
        </w:rPr>
        <w:t>ACS Appl. Energy Mater.</w:t>
      </w:r>
      <w:r>
        <w:t xml:space="preserve"> </w:t>
      </w:r>
      <w:r>
        <w:rPr>
          <w:b/>
          <w:bCs/>
        </w:rPr>
        <w:t>2021</w:t>
      </w:r>
      <w:r>
        <w:t xml:space="preserve">, </w:t>
      </w:r>
      <w:r>
        <w:rPr>
          <w:i/>
          <w:iCs/>
        </w:rPr>
        <w:t>4</w:t>
      </w:r>
      <w:r>
        <w:t>, 8442.</w:t>
      </w:r>
    </w:p>
    <w:p w14:paraId="072BA9BE" w14:textId="77777777" w:rsidR="00DA5BD5" w:rsidRDefault="00DA5BD5" w:rsidP="00DA5BD5">
      <w:pPr>
        <w:pStyle w:val="ae"/>
      </w:pPr>
      <w:r>
        <w:t>[22]</w:t>
      </w:r>
      <w:r>
        <w:tab/>
        <w:t xml:space="preserve">C. J. Brabec, A. Distler, X. Du, H. Egelhaaf, J. Hauch, T. Heumueller, N. Li, </w:t>
      </w:r>
      <w:r>
        <w:rPr>
          <w:i/>
          <w:iCs/>
        </w:rPr>
        <w:t>Adv. Energy Mater.</w:t>
      </w:r>
      <w:r>
        <w:t xml:space="preserve"> </w:t>
      </w:r>
      <w:r>
        <w:rPr>
          <w:b/>
          <w:bCs/>
        </w:rPr>
        <w:t>2020</w:t>
      </w:r>
      <w:r>
        <w:t xml:space="preserve">, </w:t>
      </w:r>
      <w:r>
        <w:rPr>
          <w:i/>
          <w:iCs/>
        </w:rPr>
        <w:t>10</w:t>
      </w:r>
      <w:r>
        <w:t>, 2001864.</w:t>
      </w:r>
    </w:p>
    <w:p w14:paraId="311B8643" w14:textId="77777777" w:rsidR="00DA5BD5" w:rsidRDefault="00DA5BD5" w:rsidP="00DA5BD5">
      <w:pPr>
        <w:pStyle w:val="ae"/>
      </w:pPr>
      <w:r>
        <w:t>[23]</w:t>
      </w:r>
      <w:r>
        <w:tab/>
        <w:t xml:space="preserve">H. Wang, C. Cao, H. Chen, H. Lai, C. Ke, Y. Zhu, H. Li, F. He, </w:t>
      </w:r>
      <w:r>
        <w:rPr>
          <w:i/>
          <w:iCs/>
        </w:rPr>
        <w:t>Angew. Chem. Int. Ed.</w:t>
      </w:r>
      <w:r>
        <w:t xml:space="preserve"> </w:t>
      </w:r>
      <w:r>
        <w:rPr>
          <w:b/>
          <w:bCs/>
        </w:rPr>
        <w:t>2022</w:t>
      </w:r>
      <w:r>
        <w:t xml:space="preserve">, </w:t>
      </w:r>
      <w:r>
        <w:rPr>
          <w:i/>
          <w:iCs/>
        </w:rPr>
        <w:t>134</w:t>
      </w:r>
      <w:r>
        <w:t>, 202201844.</w:t>
      </w:r>
    </w:p>
    <w:p w14:paraId="07FA8093" w14:textId="77777777" w:rsidR="00DA5BD5" w:rsidRDefault="00DA5BD5" w:rsidP="00DA5BD5">
      <w:pPr>
        <w:pStyle w:val="ae"/>
      </w:pPr>
      <w:r>
        <w:t>[24]</w:t>
      </w:r>
      <w:r>
        <w:tab/>
        <w:t xml:space="preserve">F. Qi, Y. Li, R. Zhang, F. R. Lin, K. Liu, Q. Fan, A. K.-Y. Jen, </w:t>
      </w:r>
      <w:r>
        <w:rPr>
          <w:i/>
          <w:iCs/>
        </w:rPr>
        <w:t>Angew. Chem. Int. Ed.</w:t>
      </w:r>
      <w:r>
        <w:t xml:space="preserve"> </w:t>
      </w:r>
      <w:r>
        <w:rPr>
          <w:b/>
          <w:bCs/>
        </w:rPr>
        <w:t>2023</w:t>
      </w:r>
      <w:r>
        <w:t xml:space="preserve">, </w:t>
      </w:r>
      <w:r>
        <w:rPr>
          <w:i/>
          <w:iCs/>
        </w:rPr>
        <w:t>62</w:t>
      </w:r>
      <w:r>
        <w:t>, e202303066.</w:t>
      </w:r>
    </w:p>
    <w:p w14:paraId="30233EC7" w14:textId="77777777" w:rsidR="00DA5BD5" w:rsidRDefault="00DA5BD5" w:rsidP="00DA5BD5">
      <w:pPr>
        <w:pStyle w:val="ae"/>
      </w:pPr>
      <w:r>
        <w:t>[25]</w:t>
      </w:r>
      <w:r>
        <w:tab/>
        <w:t xml:space="preserve">J.-H. Deng, J. Luo, Y.-L. Mao, S. Lai, Y.-N. Gong, D.-C. Zhong, T.-B. Lu, </w:t>
      </w:r>
      <w:r>
        <w:rPr>
          <w:i/>
          <w:iCs/>
        </w:rPr>
        <w:t>Sci. Adv.</w:t>
      </w:r>
      <w:r>
        <w:t xml:space="preserve"> </w:t>
      </w:r>
      <w:r>
        <w:rPr>
          <w:b/>
          <w:bCs/>
        </w:rPr>
        <w:t>2020</w:t>
      </w:r>
      <w:r>
        <w:t xml:space="preserve">, </w:t>
      </w:r>
      <w:r>
        <w:rPr>
          <w:i/>
          <w:iCs/>
        </w:rPr>
        <w:t>6</w:t>
      </w:r>
      <w:r>
        <w:t>, eaax9976.</w:t>
      </w:r>
    </w:p>
    <w:p w14:paraId="532C14AF" w14:textId="77777777" w:rsidR="00DA5BD5" w:rsidRDefault="00DA5BD5" w:rsidP="00DA5BD5">
      <w:pPr>
        <w:pStyle w:val="ae"/>
      </w:pPr>
      <w:r>
        <w:t>[26]</w:t>
      </w:r>
      <w:r>
        <w:tab/>
        <w:t xml:space="preserve">A. D. De Zerio, C. Müller, </w:t>
      </w:r>
      <w:r>
        <w:rPr>
          <w:i/>
          <w:iCs/>
        </w:rPr>
        <w:t>Adv. Energy Mater.</w:t>
      </w:r>
      <w:r>
        <w:t xml:space="preserve"> </w:t>
      </w:r>
      <w:r>
        <w:rPr>
          <w:b/>
          <w:bCs/>
        </w:rPr>
        <w:t>2018</w:t>
      </w:r>
      <w:r>
        <w:t xml:space="preserve">, </w:t>
      </w:r>
      <w:r>
        <w:rPr>
          <w:i/>
          <w:iCs/>
        </w:rPr>
        <w:t>8</w:t>
      </w:r>
      <w:r>
        <w:t>, 1702741.</w:t>
      </w:r>
    </w:p>
    <w:p w14:paraId="5D2266D9" w14:textId="77777777" w:rsidR="00DA5BD5" w:rsidRDefault="00DA5BD5" w:rsidP="00DA5BD5">
      <w:pPr>
        <w:pStyle w:val="ae"/>
      </w:pPr>
      <w:r>
        <w:t>[27]</w:t>
      </w:r>
      <w:r>
        <w:tab/>
        <w:t xml:space="preserve">L. Zhu, M. Zhang, J. Xu, C. Li, J. Yan, G. Zhou, W. Zhong, T. Hao, J. Song, X. Xue, Z. Zhou, R. Zeng, H. Zhu, C.-C. Chen, R. C. I. MacKenzie, Y. Zou, J. Nelson, Y. Zhang, Y. Sun, F. Liu, </w:t>
      </w:r>
      <w:r>
        <w:rPr>
          <w:i/>
          <w:iCs/>
        </w:rPr>
        <w:t>Nat. Mater.</w:t>
      </w:r>
      <w:r>
        <w:t xml:space="preserve"> </w:t>
      </w:r>
      <w:r>
        <w:rPr>
          <w:b/>
          <w:bCs/>
        </w:rPr>
        <w:t>2022</w:t>
      </w:r>
      <w:r>
        <w:t xml:space="preserve">, </w:t>
      </w:r>
      <w:r>
        <w:rPr>
          <w:i/>
          <w:iCs/>
        </w:rPr>
        <w:t>21</w:t>
      </w:r>
      <w:r>
        <w:t>, 656.</w:t>
      </w:r>
    </w:p>
    <w:p w14:paraId="0BD0748B" w14:textId="77777777" w:rsidR="00DA5BD5" w:rsidRDefault="00DA5BD5" w:rsidP="00DA5BD5">
      <w:pPr>
        <w:pStyle w:val="ae"/>
      </w:pPr>
      <w:r>
        <w:t>[28]</w:t>
      </w:r>
      <w:r>
        <w:tab/>
        <w:t xml:space="preserve">R. Sun, J. Guo, Q. Wu, Z. Zhang, W. Yang, J. Guo, M. Shi, Y. Zhang, S. Kahmann, L. Ye, X. Jiao, M. A. Loi, Q. Shen, H. Ade, W. Tang, C. J. Brabec, J. Min, </w:t>
      </w:r>
      <w:r>
        <w:rPr>
          <w:i/>
          <w:iCs/>
        </w:rPr>
        <w:t>Energy Environ. Sci.</w:t>
      </w:r>
      <w:r>
        <w:t xml:space="preserve"> </w:t>
      </w:r>
      <w:r>
        <w:rPr>
          <w:b/>
          <w:bCs/>
        </w:rPr>
        <w:t>2019</w:t>
      </w:r>
      <w:r>
        <w:t xml:space="preserve">, </w:t>
      </w:r>
      <w:r>
        <w:rPr>
          <w:i/>
          <w:iCs/>
        </w:rPr>
        <w:t>12</w:t>
      </w:r>
      <w:r>
        <w:t>, 3118.</w:t>
      </w:r>
    </w:p>
    <w:p w14:paraId="5713A693" w14:textId="77777777" w:rsidR="00DA5BD5" w:rsidRDefault="00DA5BD5" w:rsidP="00DA5BD5">
      <w:pPr>
        <w:pStyle w:val="ae"/>
      </w:pPr>
      <w:r>
        <w:lastRenderedPageBreak/>
        <w:t>[29]</w:t>
      </w:r>
      <w:r>
        <w:tab/>
        <w:t xml:space="preserve">H. Fu, Z. Peng, Q. Fan, F. R. Lin, F. Qi, Y. Ran, Z. Wu, B. Fan, K. Jiang, H. Y. Woo, G. Lu, H. Ade, A. K. ‐Y. Jen, </w:t>
      </w:r>
      <w:r>
        <w:rPr>
          <w:i/>
          <w:iCs/>
        </w:rPr>
        <w:t>Adv. Mater.</w:t>
      </w:r>
      <w:r>
        <w:t xml:space="preserve"> </w:t>
      </w:r>
      <w:r>
        <w:rPr>
          <w:b/>
          <w:bCs/>
        </w:rPr>
        <w:t>2022</w:t>
      </w:r>
      <w:r>
        <w:t xml:space="preserve">, </w:t>
      </w:r>
      <w:r>
        <w:rPr>
          <w:i/>
          <w:iCs/>
        </w:rPr>
        <w:t>34</w:t>
      </w:r>
      <w:r>
        <w:t>, 2202608.</w:t>
      </w:r>
    </w:p>
    <w:p w14:paraId="27EA4A71" w14:textId="77777777" w:rsidR="00DA5BD5" w:rsidRDefault="00DA5BD5" w:rsidP="00DA5BD5">
      <w:pPr>
        <w:pStyle w:val="ae"/>
      </w:pPr>
      <w:r>
        <w:t>[30]</w:t>
      </w:r>
      <w:r>
        <w:tab/>
        <w:t xml:space="preserve">A. Mahmood, A. Tang, X. Wang, E. Zhou, </w:t>
      </w:r>
      <w:r>
        <w:rPr>
          <w:i/>
          <w:iCs/>
        </w:rPr>
        <w:t>Phys. Chem. Chem. Phys.</w:t>
      </w:r>
      <w:r>
        <w:t xml:space="preserve"> </w:t>
      </w:r>
      <w:r>
        <w:rPr>
          <w:b/>
          <w:bCs/>
        </w:rPr>
        <w:t>2019</w:t>
      </w:r>
      <w:r>
        <w:t xml:space="preserve">, </w:t>
      </w:r>
      <w:r>
        <w:rPr>
          <w:i/>
          <w:iCs/>
        </w:rPr>
        <w:t>21</w:t>
      </w:r>
      <w:r>
        <w:t>, 2128.</w:t>
      </w:r>
    </w:p>
    <w:p w14:paraId="6236A040" w14:textId="77777777" w:rsidR="00DA5BD5" w:rsidRDefault="00DA5BD5" w:rsidP="00DA5BD5">
      <w:pPr>
        <w:pStyle w:val="ae"/>
      </w:pPr>
      <w:r>
        <w:t>[31]</w:t>
      </w:r>
      <w:r>
        <w:tab/>
        <w:t xml:space="preserve">F. Lin, K. Jiang, W. Kaminsky, Z. Zhu, A. K.-Y. Jen, </w:t>
      </w:r>
      <w:r>
        <w:rPr>
          <w:i/>
          <w:iCs/>
        </w:rPr>
        <w:t>J. Am. Chem. Soc.</w:t>
      </w:r>
      <w:r>
        <w:t xml:space="preserve"> </w:t>
      </w:r>
      <w:r>
        <w:rPr>
          <w:b/>
          <w:bCs/>
        </w:rPr>
        <w:t>2020</w:t>
      </w:r>
      <w:r>
        <w:t xml:space="preserve">, </w:t>
      </w:r>
      <w:r>
        <w:rPr>
          <w:i/>
          <w:iCs/>
        </w:rPr>
        <w:t>142</w:t>
      </w:r>
      <w:r>
        <w:t>, 15246.</w:t>
      </w:r>
    </w:p>
    <w:p w14:paraId="64AE90DD" w14:textId="77777777" w:rsidR="00DA5BD5" w:rsidRDefault="00DA5BD5" w:rsidP="00DA5BD5">
      <w:pPr>
        <w:pStyle w:val="ae"/>
      </w:pPr>
      <w:r>
        <w:t>[32]</w:t>
      </w:r>
      <w:r>
        <w:tab/>
        <w:t xml:space="preserve">Z. Ma, H. Fu, D. Meng, W. Jiang, Y. Sun, Z. Wang, </w:t>
      </w:r>
      <w:r>
        <w:rPr>
          <w:i/>
          <w:iCs/>
        </w:rPr>
        <w:t>Chem. Asian J.</w:t>
      </w:r>
      <w:r>
        <w:t xml:space="preserve"> </w:t>
      </w:r>
      <w:r>
        <w:rPr>
          <w:b/>
          <w:bCs/>
        </w:rPr>
        <w:t>2018</w:t>
      </w:r>
      <w:r>
        <w:t xml:space="preserve">, </w:t>
      </w:r>
      <w:r>
        <w:rPr>
          <w:i/>
          <w:iCs/>
        </w:rPr>
        <w:t>13</w:t>
      </w:r>
      <w:r>
        <w:t>, 918.</w:t>
      </w:r>
    </w:p>
    <w:p w14:paraId="17F8516B" w14:textId="77777777" w:rsidR="00DA5BD5" w:rsidRDefault="00DA5BD5" w:rsidP="00DA5BD5">
      <w:pPr>
        <w:pStyle w:val="ae"/>
      </w:pPr>
      <w:r>
        <w:t>[33]</w:t>
      </w:r>
      <w:r>
        <w:tab/>
        <w:t xml:space="preserve">Y. Cui, H. Yao, J. Zhang, K. Xian, T. Zhang, L. Hong, Y. Wang, Y. Xu, K. Ma, C. An, C. He, Z. Wei, F. Gao, J. Hou, </w:t>
      </w:r>
      <w:r>
        <w:rPr>
          <w:i/>
          <w:iCs/>
        </w:rPr>
        <w:t>Adv. Mater.</w:t>
      </w:r>
      <w:r>
        <w:t xml:space="preserve"> </w:t>
      </w:r>
      <w:r>
        <w:rPr>
          <w:b/>
          <w:bCs/>
        </w:rPr>
        <w:t>2020</w:t>
      </w:r>
      <w:r>
        <w:t xml:space="preserve">, </w:t>
      </w:r>
      <w:r>
        <w:rPr>
          <w:i/>
          <w:iCs/>
        </w:rPr>
        <w:t>32</w:t>
      </w:r>
      <w:r>
        <w:t>, 1908205.</w:t>
      </w:r>
    </w:p>
    <w:p w14:paraId="2C583543" w14:textId="77777777" w:rsidR="00DA5BD5" w:rsidRDefault="00DA5BD5" w:rsidP="00DA5BD5">
      <w:pPr>
        <w:pStyle w:val="ae"/>
      </w:pPr>
      <w:r>
        <w:t>[34]</w:t>
      </w:r>
      <w:r>
        <w:tab/>
        <w:t xml:space="preserve">L. Zuo, S. B. Jo, Y. Li, Y. Meng, R. J. Stoddard, Y. Liu, F. Lin, X. Shi, F. Liu, H. W. Hillhouse, D. S. Ginger, H. Chen, A. K.-Y. Jen, </w:t>
      </w:r>
      <w:r>
        <w:rPr>
          <w:i/>
          <w:iCs/>
        </w:rPr>
        <w:t>Nat. Nanotechnol.</w:t>
      </w:r>
      <w:r>
        <w:t xml:space="preserve"> </w:t>
      </w:r>
      <w:r>
        <w:rPr>
          <w:b/>
          <w:bCs/>
        </w:rPr>
        <w:t>2022</w:t>
      </w:r>
      <w:r>
        <w:t xml:space="preserve">, </w:t>
      </w:r>
      <w:r>
        <w:rPr>
          <w:i/>
          <w:iCs/>
        </w:rPr>
        <w:t>17</w:t>
      </w:r>
      <w:r>
        <w:t>, 53.</w:t>
      </w:r>
    </w:p>
    <w:p w14:paraId="4F001871" w14:textId="77777777" w:rsidR="00DA5BD5" w:rsidRDefault="00DA5BD5" w:rsidP="00DA5BD5">
      <w:pPr>
        <w:pStyle w:val="ae"/>
      </w:pPr>
      <w:r>
        <w:t>[35]</w:t>
      </w:r>
      <w:r>
        <w:tab/>
        <w:t xml:space="preserve">J. H. Gibbs, E. A. DiMarzio, </w:t>
      </w:r>
      <w:r>
        <w:rPr>
          <w:i/>
          <w:iCs/>
        </w:rPr>
        <w:t>J. Chem. Phys.</w:t>
      </w:r>
      <w:r>
        <w:t xml:space="preserve"> </w:t>
      </w:r>
      <w:r>
        <w:rPr>
          <w:b/>
          <w:bCs/>
        </w:rPr>
        <w:t>1958</w:t>
      </w:r>
      <w:r>
        <w:t xml:space="preserve">, </w:t>
      </w:r>
      <w:r>
        <w:rPr>
          <w:i/>
          <w:iCs/>
        </w:rPr>
        <w:t>28</w:t>
      </w:r>
      <w:r>
        <w:t>, 373.</w:t>
      </w:r>
    </w:p>
    <w:p w14:paraId="51B67D5E" w14:textId="77777777" w:rsidR="00DA5BD5" w:rsidRDefault="00DA5BD5" w:rsidP="00DA5BD5">
      <w:pPr>
        <w:pStyle w:val="ae"/>
      </w:pPr>
      <w:r>
        <w:t>[36]</w:t>
      </w:r>
      <w:r>
        <w:tab/>
        <w:t xml:space="preserve">C. Buckley, </w:t>
      </w:r>
      <w:r>
        <w:rPr>
          <w:i/>
          <w:iCs/>
        </w:rPr>
        <w:t>Polymer</w:t>
      </w:r>
      <w:r>
        <w:t xml:space="preserve"> </w:t>
      </w:r>
      <w:r>
        <w:rPr>
          <w:b/>
          <w:bCs/>
        </w:rPr>
        <w:t>1995</w:t>
      </w:r>
      <w:r>
        <w:t xml:space="preserve">, </w:t>
      </w:r>
      <w:r>
        <w:rPr>
          <w:i/>
          <w:iCs/>
        </w:rPr>
        <w:t>36</w:t>
      </w:r>
      <w:r>
        <w:t>, 3301.</w:t>
      </w:r>
    </w:p>
    <w:p w14:paraId="60F46294" w14:textId="77777777" w:rsidR="00DA5BD5" w:rsidRDefault="00DA5BD5" w:rsidP="00DA5BD5">
      <w:pPr>
        <w:pStyle w:val="ae"/>
      </w:pPr>
      <w:r>
        <w:t>[37]</w:t>
      </w:r>
      <w:r>
        <w:tab/>
        <w:t xml:space="preserve">S. E. Root, M. A. Alkhadra, D. Rodriquez, A. D. Printz, D. J. Lipomi, </w:t>
      </w:r>
      <w:r>
        <w:rPr>
          <w:i/>
          <w:iCs/>
        </w:rPr>
        <w:t>Chem. Mater.</w:t>
      </w:r>
      <w:r>
        <w:t xml:space="preserve"> </w:t>
      </w:r>
      <w:r>
        <w:rPr>
          <w:b/>
          <w:bCs/>
        </w:rPr>
        <w:t>2017</w:t>
      </w:r>
      <w:r>
        <w:t xml:space="preserve">, </w:t>
      </w:r>
      <w:r>
        <w:rPr>
          <w:i/>
          <w:iCs/>
        </w:rPr>
        <w:t>29</w:t>
      </w:r>
      <w:r>
        <w:t>, 2646.</w:t>
      </w:r>
    </w:p>
    <w:p w14:paraId="1A76A308" w14:textId="77777777" w:rsidR="00DA5BD5" w:rsidRDefault="00DA5BD5" w:rsidP="00DA5BD5">
      <w:pPr>
        <w:pStyle w:val="ae"/>
      </w:pPr>
      <w:r>
        <w:t>[38]</w:t>
      </w:r>
      <w:r>
        <w:tab/>
        <w:t xml:space="preserve">F. C. Spano, </w:t>
      </w:r>
      <w:r>
        <w:rPr>
          <w:i/>
          <w:iCs/>
        </w:rPr>
        <w:t>Acc. Chem. Res.</w:t>
      </w:r>
      <w:r>
        <w:t xml:space="preserve"> </w:t>
      </w:r>
      <w:r>
        <w:rPr>
          <w:b/>
          <w:bCs/>
        </w:rPr>
        <w:t>2010</w:t>
      </w:r>
      <w:r>
        <w:t xml:space="preserve">, </w:t>
      </w:r>
      <w:r>
        <w:rPr>
          <w:i/>
          <w:iCs/>
        </w:rPr>
        <w:t>43</w:t>
      </w:r>
      <w:r>
        <w:t>, 429.</w:t>
      </w:r>
    </w:p>
    <w:p w14:paraId="54592686" w14:textId="77777777" w:rsidR="00DA5BD5" w:rsidRDefault="00DA5BD5" w:rsidP="00DA5BD5">
      <w:pPr>
        <w:pStyle w:val="ae"/>
      </w:pPr>
      <w:r>
        <w:t>[39]</w:t>
      </w:r>
      <w:r>
        <w:tab/>
        <w:t xml:space="preserve">D. Li, X. Zhang, D. Liu, T. Wang, </w:t>
      </w:r>
      <w:r>
        <w:rPr>
          <w:i/>
          <w:iCs/>
        </w:rPr>
        <w:t>J. Mater. Chem. A</w:t>
      </w:r>
      <w:r>
        <w:t xml:space="preserve"> </w:t>
      </w:r>
      <w:r>
        <w:rPr>
          <w:b/>
          <w:bCs/>
        </w:rPr>
        <w:t>2020</w:t>
      </w:r>
      <w:r>
        <w:t xml:space="preserve">, </w:t>
      </w:r>
      <w:r>
        <w:rPr>
          <w:i/>
          <w:iCs/>
        </w:rPr>
        <w:t>8</w:t>
      </w:r>
      <w:r>
        <w:t>, 15607.</w:t>
      </w:r>
    </w:p>
    <w:p w14:paraId="7B27BA7E" w14:textId="77777777" w:rsidR="00DA5BD5" w:rsidRDefault="00DA5BD5" w:rsidP="00DA5BD5">
      <w:pPr>
        <w:pStyle w:val="ae"/>
      </w:pPr>
      <w:r>
        <w:t>[40]</w:t>
      </w:r>
      <w:r>
        <w:tab/>
        <w:t xml:space="preserve">T. Ozawa, </w:t>
      </w:r>
      <w:r>
        <w:rPr>
          <w:i/>
          <w:iCs/>
        </w:rPr>
        <w:t>Polymer</w:t>
      </w:r>
      <w:r>
        <w:t xml:space="preserve"> </w:t>
      </w:r>
      <w:r>
        <w:rPr>
          <w:b/>
          <w:bCs/>
        </w:rPr>
        <w:t>1971</w:t>
      </w:r>
      <w:r>
        <w:t xml:space="preserve">, </w:t>
      </w:r>
      <w:r>
        <w:rPr>
          <w:i/>
          <w:iCs/>
        </w:rPr>
        <w:t>12</w:t>
      </w:r>
      <w:r>
        <w:t>, 150.</w:t>
      </w:r>
    </w:p>
    <w:p w14:paraId="3E2A6F7B" w14:textId="77777777" w:rsidR="00DA5BD5" w:rsidRDefault="00DA5BD5" w:rsidP="00DA5BD5">
      <w:pPr>
        <w:pStyle w:val="ae"/>
      </w:pPr>
      <w:r>
        <w:t>[41]</w:t>
      </w:r>
      <w:r>
        <w:tab/>
        <w:t xml:space="preserve">H. Hu, M. Ghasemi, Z. Peng, J. Zhang, J. J. Rech, W. You, H. Yan, H. Ade, </w:t>
      </w:r>
      <w:r>
        <w:rPr>
          <w:i/>
          <w:iCs/>
        </w:rPr>
        <w:t>Adv. Mater.</w:t>
      </w:r>
      <w:r>
        <w:t xml:space="preserve"> </w:t>
      </w:r>
      <w:r>
        <w:rPr>
          <w:b/>
          <w:bCs/>
        </w:rPr>
        <w:t>2020</w:t>
      </w:r>
      <w:r>
        <w:t xml:space="preserve">, </w:t>
      </w:r>
      <w:r>
        <w:rPr>
          <w:i/>
          <w:iCs/>
        </w:rPr>
        <w:t>32</w:t>
      </w:r>
      <w:r>
        <w:t>, 2005348.</w:t>
      </w:r>
    </w:p>
    <w:p w14:paraId="7D039753" w14:textId="77777777" w:rsidR="00DA5BD5" w:rsidRDefault="00DA5BD5" w:rsidP="00DA5BD5">
      <w:pPr>
        <w:pStyle w:val="ae"/>
      </w:pPr>
      <w:r>
        <w:t>[42]</w:t>
      </w:r>
      <w:r>
        <w:tab/>
        <w:t xml:space="preserve">T. Wöhrle, I. Wurzbach, J. Kirres, A. Kostidou, N. Kapernaum, J. Litterscheidt, J. C. Haenle, P. Staffeld, A. Baro, F. Giesselmann, S. Laschat, </w:t>
      </w:r>
      <w:r>
        <w:rPr>
          <w:i/>
          <w:iCs/>
        </w:rPr>
        <w:t>Chem. Rev.</w:t>
      </w:r>
      <w:r>
        <w:t xml:space="preserve"> </w:t>
      </w:r>
      <w:r>
        <w:rPr>
          <w:b/>
          <w:bCs/>
        </w:rPr>
        <w:t>2016</w:t>
      </w:r>
      <w:r>
        <w:t xml:space="preserve">, </w:t>
      </w:r>
      <w:r>
        <w:rPr>
          <w:i/>
          <w:iCs/>
        </w:rPr>
        <w:t>116</w:t>
      </w:r>
      <w:r>
        <w:t>, 1139.</w:t>
      </w:r>
    </w:p>
    <w:p w14:paraId="0DD13C99" w14:textId="77777777" w:rsidR="00DA5BD5" w:rsidRDefault="00DA5BD5" w:rsidP="00DA5BD5">
      <w:pPr>
        <w:pStyle w:val="ae"/>
      </w:pPr>
      <w:r>
        <w:t>[43]</w:t>
      </w:r>
      <w:r>
        <w:tab/>
        <w:t xml:space="preserve">M. R. Wilson, </w:t>
      </w:r>
      <w:r>
        <w:rPr>
          <w:i/>
          <w:iCs/>
        </w:rPr>
        <w:t>J. Chem. Phys.</w:t>
      </w:r>
      <w:r>
        <w:t xml:space="preserve"> </w:t>
      </w:r>
      <w:r>
        <w:rPr>
          <w:b/>
          <w:bCs/>
        </w:rPr>
        <w:t>1997</w:t>
      </w:r>
      <w:r>
        <w:t xml:space="preserve">, </w:t>
      </w:r>
      <w:r>
        <w:rPr>
          <w:i/>
          <w:iCs/>
        </w:rPr>
        <w:t>107</w:t>
      </w:r>
      <w:r>
        <w:t>, 8654.</w:t>
      </w:r>
    </w:p>
    <w:p w14:paraId="2F0E6D5C" w14:textId="77777777" w:rsidR="00DA5BD5" w:rsidRDefault="00DA5BD5" w:rsidP="00DA5BD5">
      <w:pPr>
        <w:pStyle w:val="ae"/>
      </w:pPr>
      <w:r>
        <w:t>[44]</w:t>
      </w:r>
      <w:r>
        <w:tab/>
        <w:t xml:space="preserve">H. Li, M. A. Huneault, </w:t>
      </w:r>
      <w:r>
        <w:rPr>
          <w:i/>
          <w:iCs/>
        </w:rPr>
        <w:t>Polymer</w:t>
      </w:r>
      <w:r>
        <w:t xml:space="preserve"> </w:t>
      </w:r>
      <w:r>
        <w:rPr>
          <w:b/>
          <w:bCs/>
        </w:rPr>
        <w:t>2007</w:t>
      </w:r>
      <w:r>
        <w:t xml:space="preserve">, </w:t>
      </w:r>
      <w:r>
        <w:rPr>
          <w:i/>
          <w:iCs/>
        </w:rPr>
        <w:t>48</w:t>
      </w:r>
      <w:r>
        <w:t>, 6855.</w:t>
      </w:r>
    </w:p>
    <w:p w14:paraId="5786299A" w14:textId="77777777" w:rsidR="00DA5BD5" w:rsidRDefault="00DA5BD5" w:rsidP="00DA5BD5">
      <w:pPr>
        <w:pStyle w:val="ae"/>
      </w:pPr>
      <w:r>
        <w:t>[45]</w:t>
      </w:r>
      <w:r>
        <w:tab/>
        <w:t xml:space="preserve">S. H. K. Paleti, S. Hultmark, J. Han, Y. Wen, H. Xu, S. Chen, E. Järsvall, I. Jalan, D. R. Villalva, A. Sharma, Jafar. I. Khan, E. Moons, R. Li, L. Yu, J. Gorenflot, F. Laquai, C. Müller, D. Baran, </w:t>
      </w:r>
      <w:r>
        <w:rPr>
          <w:i/>
          <w:iCs/>
        </w:rPr>
        <w:t>Nat. Commun.</w:t>
      </w:r>
      <w:r>
        <w:t xml:space="preserve"> </w:t>
      </w:r>
      <w:r>
        <w:rPr>
          <w:b/>
          <w:bCs/>
        </w:rPr>
        <w:t>2023</w:t>
      </w:r>
      <w:r>
        <w:t xml:space="preserve">, </w:t>
      </w:r>
      <w:r>
        <w:rPr>
          <w:i/>
          <w:iCs/>
        </w:rPr>
        <w:t>14</w:t>
      </w:r>
      <w:r>
        <w:t>, 4608.</w:t>
      </w:r>
    </w:p>
    <w:p w14:paraId="50F6E837" w14:textId="77777777" w:rsidR="00DA5BD5" w:rsidRDefault="00DA5BD5" w:rsidP="00DA5BD5">
      <w:pPr>
        <w:pStyle w:val="ae"/>
      </w:pPr>
      <w:r>
        <w:t>[46]</w:t>
      </w:r>
      <w:r>
        <w:tab/>
        <w:t xml:space="preserve">V. C. S. Reynoso, K. Yukimitu, T. Nagami, C. L. Carvalho, J. C. S. Moraes, E. B. Araújo, </w:t>
      </w:r>
      <w:r>
        <w:rPr>
          <w:i/>
          <w:iCs/>
        </w:rPr>
        <w:t>J. Phys. Chem. Solids.</w:t>
      </w:r>
      <w:r>
        <w:t xml:space="preserve"> </w:t>
      </w:r>
      <w:r>
        <w:rPr>
          <w:b/>
          <w:bCs/>
        </w:rPr>
        <w:t>2003</w:t>
      </w:r>
      <w:r>
        <w:t xml:space="preserve">, </w:t>
      </w:r>
      <w:r>
        <w:rPr>
          <w:i/>
          <w:iCs/>
        </w:rPr>
        <w:t>64</w:t>
      </w:r>
      <w:r>
        <w:t>, 27.</w:t>
      </w:r>
    </w:p>
    <w:p w14:paraId="2B3755B5" w14:textId="77777777" w:rsidR="00DA5BD5" w:rsidRDefault="00DA5BD5" w:rsidP="00DA5BD5">
      <w:pPr>
        <w:pStyle w:val="ae"/>
      </w:pPr>
      <w:r>
        <w:t>[47]</w:t>
      </w:r>
      <w:r>
        <w:tab/>
        <w:t xml:space="preserve">C. Han, J. Wang, S. Zhang, L. Chen, F. Bi, J. Wang, C. Yang, P. Wang, Y. Li, X. Bao, </w:t>
      </w:r>
      <w:r>
        <w:rPr>
          <w:i/>
          <w:iCs/>
        </w:rPr>
        <w:t>Adv. Mater.</w:t>
      </w:r>
      <w:r>
        <w:t xml:space="preserve"> </w:t>
      </w:r>
      <w:r>
        <w:rPr>
          <w:b/>
          <w:bCs/>
        </w:rPr>
        <w:t>2022</w:t>
      </w:r>
      <w:r>
        <w:t>, 2208986.</w:t>
      </w:r>
    </w:p>
    <w:p w14:paraId="04DFBE6D" w14:textId="77777777" w:rsidR="00DA5BD5" w:rsidRDefault="00DA5BD5" w:rsidP="00DA5BD5">
      <w:pPr>
        <w:pStyle w:val="ae"/>
      </w:pPr>
      <w:r>
        <w:t>[48]</w:t>
      </w:r>
      <w:r>
        <w:tab/>
        <w:t xml:space="preserve">F. Schauer, </w:t>
      </w:r>
      <w:r>
        <w:rPr>
          <w:i/>
          <w:iCs/>
        </w:rPr>
        <w:t>Sol. Energy Mater Sol. Cells.</w:t>
      </w:r>
      <w:r>
        <w:t xml:space="preserve"> </w:t>
      </w:r>
      <w:r>
        <w:rPr>
          <w:b/>
          <w:bCs/>
        </w:rPr>
        <w:t>2005</w:t>
      </w:r>
      <w:r>
        <w:t xml:space="preserve">, </w:t>
      </w:r>
      <w:r>
        <w:rPr>
          <w:i/>
          <w:iCs/>
        </w:rPr>
        <w:t>87</w:t>
      </w:r>
      <w:r>
        <w:t>, 235.</w:t>
      </w:r>
    </w:p>
    <w:p w14:paraId="1698FB85" w14:textId="77777777" w:rsidR="00DA5BD5" w:rsidRDefault="00DA5BD5" w:rsidP="00DA5BD5">
      <w:pPr>
        <w:pStyle w:val="ae"/>
      </w:pPr>
      <w:r>
        <w:t>[49]</w:t>
      </w:r>
      <w:r>
        <w:tab/>
        <w:t xml:space="preserve">X. Zhang, C. Li, J. Xu, R. Wang, J. Song, H. Zhang, Y. Li, Y.-N. Jing, S. Li, G. Wu, J. Zhou, X. Li, Y. Zhang, X. Li, J. Zhang, C. Zhang, H. Zhou, Y. Sun, Y. Zhang, </w:t>
      </w:r>
      <w:r>
        <w:rPr>
          <w:i/>
          <w:iCs/>
        </w:rPr>
        <w:t>Joule</w:t>
      </w:r>
      <w:r>
        <w:t xml:space="preserve"> </w:t>
      </w:r>
      <w:r>
        <w:rPr>
          <w:b/>
          <w:bCs/>
        </w:rPr>
        <w:t>2022</w:t>
      </w:r>
      <w:r>
        <w:t xml:space="preserve">, </w:t>
      </w:r>
      <w:r>
        <w:rPr>
          <w:i/>
          <w:iCs/>
        </w:rPr>
        <w:t>6</w:t>
      </w:r>
      <w:r>
        <w:t>, 444.</w:t>
      </w:r>
    </w:p>
    <w:p w14:paraId="05F5DF55" w14:textId="77777777" w:rsidR="00DA5BD5" w:rsidRDefault="00DA5BD5" w:rsidP="00DA5BD5">
      <w:pPr>
        <w:pStyle w:val="ae"/>
      </w:pPr>
      <w:r>
        <w:t>[50]</w:t>
      </w:r>
      <w:r>
        <w:tab/>
        <w:t xml:space="preserve">B. Fan, W. Gao, X. Wu, X. Xia, Y. Wu, F. R. Lin, Q. Fan, X. Lu, W. J. Li, W. Ma, A. K.-Y. Jen, </w:t>
      </w:r>
      <w:r>
        <w:rPr>
          <w:i/>
          <w:iCs/>
        </w:rPr>
        <w:t>Nat. Commun.</w:t>
      </w:r>
      <w:r>
        <w:t xml:space="preserve"> </w:t>
      </w:r>
      <w:r>
        <w:rPr>
          <w:b/>
          <w:bCs/>
        </w:rPr>
        <w:t>2022</w:t>
      </w:r>
      <w:r>
        <w:t xml:space="preserve">, </w:t>
      </w:r>
      <w:r>
        <w:rPr>
          <w:i/>
          <w:iCs/>
        </w:rPr>
        <w:t>13</w:t>
      </w:r>
      <w:r>
        <w:t>, 5946.</w:t>
      </w:r>
    </w:p>
    <w:p w14:paraId="44857454" w14:textId="77777777" w:rsidR="00DA5BD5" w:rsidRDefault="00DA5BD5" w:rsidP="00DA5BD5">
      <w:pPr>
        <w:pStyle w:val="ae"/>
      </w:pPr>
      <w:r>
        <w:t>[51]</w:t>
      </w:r>
      <w:r>
        <w:tab/>
        <w:t xml:space="preserve">X. Du, T. Heumueller, W. Gruber, A. Classen, T. Unruh, N. Li, C. J. Brabec, </w:t>
      </w:r>
      <w:r>
        <w:rPr>
          <w:i/>
          <w:iCs/>
        </w:rPr>
        <w:t>Joule</w:t>
      </w:r>
      <w:r>
        <w:t xml:space="preserve"> </w:t>
      </w:r>
      <w:r>
        <w:rPr>
          <w:b/>
          <w:bCs/>
        </w:rPr>
        <w:t>2019</w:t>
      </w:r>
      <w:r>
        <w:t xml:space="preserve">, </w:t>
      </w:r>
      <w:r>
        <w:rPr>
          <w:i/>
          <w:iCs/>
        </w:rPr>
        <w:t>3</w:t>
      </w:r>
      <w:r>
        <w:t>, 215.</w:t>
      </w:r>
    </w:p>
    <w:p w14:paraId="4ECC9A0C" w14:textId="77777777" w:rsidR="00DA5BD5" w:rsidRDefault="00DA5BD5" w:rsidP="00DA5BD5">
      <w:pPr>
        <w:pStyle w:val="ae"/>
      </w:pPr>
      <w:r>
        <w:t>[52]</w:t>
      </w:r>
      <w:r>
        <w:tab/>
        <w:t xml:space="preserve">A. Baumann, J. Lorrmann, D. Rauh, C. Deibel, V. Dyakonov, </w:t>
      </w:r>
      <w:r>
        <w:rPr>
          <w:i/>
          <w:iCs/>
        </w:rPr>
        <w:t>Adv. Mater.</w:t>
      </w:r>
      <w:r>
        <w:t xml:space="preserve"> </w:t>
      </w:r>
      <w:r>
        <w:rPr>
          <w:b/>
          <w:bCs/>
        </w:rPr>
        <w:t>2012</w:t>
      </w:r>
      <w:r>
        <w:t xml:space="preserve">, </w:t>
      </w:r>
      <w:r>
        <w:rPr>
          <w:i/>
          <w:iCs/>
        </w:rPr>
        <w:t>24</w:t>
      </w:r>
      <w:r>
        <w:t>, 4381.</w:t>
      </w:r>
    </w:p>
    <w:p w14:paraId="1A3EAEE8" w14:textId="77777777" w:rsidR="00DA5BD5" w:rsidRDefault="00DA5BD5" w:rsidP="00DA5BD5">
      <w:pPr>
        <w:pStyle w:val="ae"/>
      </w:pPr>
      <w:r>
        <w:t>[53]</w:t>
      </w:r>
      <w:r>
        <w:tab/>
        <w:t xml:space="preserve">M. Stephen, K. Genevičius, G. Juška, K. Arlauskas, R. C. Hiorns, </w:t>
      </w:r>
      <w:r>
        <w:rPr>
          <w:i/>
          <w:iCs/>
        </w:rPr>
        <w:t>Polym. Int.</w:t>
      </w:r>
      <w:r>
        <w:t xml:space="preserve"> </w:t>
      </w:r>
      <w:r>
        <w:rPr>
          <w:b/>
          <w:bCs/>
        </w:rPr>
        <w:t>2017</w:t>
      </w:r>
      <w:r>
        <w:t xml:space="preserve">, </w:t>
      </w:r>
      <w:r>
        <w:rPr>
          <w:i/>
          <w:iCs/>
        </w:rPr>
        <w:t>66</w:t>
      </w:r>
      <w:r>
        <w:t>, 13.</w:t>
      </w:r>
    </w:p>
    <w:p w14:paraId="71C8A703" w14:textId="77777777" w:rsidR="00DA5BD5" w:rsidRDefault="00DA5BD5" w:rsidP="00DA5BD5">
      <w:pPr>
        <w:pStyle w:val="ae"/>
      </w:pPr>
      <w:r>
        <w:t>[54]</w:t>
      </w:r>
      <w:r>
        <w:tab/>
        <w:t xml:space="preserve">J. Tang, C. Liao, Y. Duan, X. Xu, M. Deng, L. Yu, R. Li, Q. Peng, </w:t>
      </w:r>
      <w:r>
        <w:rPr>
          <w:i/>
          <w:iCs/>
        </w:rPr>
        <w:t>Angew Chem. Int. Ed.</w:t>
      </w:r>
      <w:r>
        <w:t xml:space="preserve"> </w:t>
      </w:r>
      <w:r>
        <w:rPr>
          <w:b/>
          <w:bCs/>
        </w:rPr>
        <w:t>2022</w:t>
      </w:r>
      <w:r>
        <w:t xml:space="preserve">, </w:t>
      </w:r>
      <w:r>
        <w:rPr>
          <w:i/>
          <w:iCs/>
        </w:rPr>
        <w:t>61</w:t>
      </w:r>
      <w:r>
        <w:t>, e202213252.</w:t>
      </w:r>
    </w:p>
    <w:p w14:paraId="39BC08CA" w14:textId="77777777" w:rsidR="00DA5BD5" w:rsidRDefault="00DA5BD5" w:rsidP="00DA5BD5">
      <w:pPr>
        <w:pStyle w:val="ae"/>
      </w:pPr>
      <w:r>
        <w:t>[55]</w:t>
      </w:r>
      <w:r>
        <w:tab/>
        <w:t xml:space="preserve">L. Bu, M. Hu, W. Lu, Z. Wang, G. Lu, </w:t>
      </w:r>
      <w:r>
        <w:rPr>
          <w:i/>
          <w:iCs/>
        </w:rPr>
        <w:t>Adv. Mater.</w:t>
      </w:r>
      <w:r>
        <w:t xml:space="preserve"> </w:t>
      </w:r>
      <w:r>
        <w:rPr>
          <w:b/>
          <w:bCs/>
        </w:rPr>
        <w:t>2018</w:t>
      </w:r>
      <w:r>
        <w:t xml:space="preserve">, </w:t>
      </w:r>
      <w:r>
        <w:rPr>
          <w:i/>
          <w:iCs/>
        </w:rPr>
        <w:t>30</w:t>
      </w:r>
      <w:r>
        <w:t>, 1704695.</w:t>
      </w:r>
    </w:p>
    <w:p w14:paraId="7DA9FA08" w14:textId="77777777" w:rsidR="00DA5BD5" w:rsidRPr="00A17C97" w:rsidRDefault="00DA5BD5" w:rsidP="00DA5BD5">
      <w:pPr>
        <w:pStyle w:val="ae"/>
      </w:pPr>
      <w:r>
        <w:t>[56]</w:t>
      </w:r>
      <w:r>
        <w:tab/>
        <w:t>Z</w:t>
      </w:r>
      <w:r w:rsidRPr="00A17C97">
        <w:t xml:space="preserve">. Wang, Y. Hu, T. Xiao, Y. Zhu, X. Chen, L. Bu, Y. Zhang, Z. Wei, B. B. Xu, G. Lu, </w:t>
      </w:r>
      <w:r w:rsidRPr="00A17C97">
        <w:rPr>
          <w:i/>
          <w:iCs/>
        </w:rPr>
        <w:t>Adv. Optical Mater.</w:t>
      </w:r>
      <w:r w:rsidRPr="00A17C97">
        <w:t xml:space="preserve"> </w:t>
      </w:r>
      <w:r w:rsidRPr="00A17C97">
        <w:rPr>
          <w:b/>
          <w:bCs/>
        </w:rPr>
        <w:t>2019</w:t>
      </w:r>
      <w:r w:rsidRPr="00A17C97">
        <w:t xml:space="preserve">, </w:t>
      </w:r>
      <w:r w:rsidRPr="00A17C97">
        <w:rPr>
          <w:i/>
          <w:iCs/>
        </w:rPr>
        <w:t>7</w:t>
      </w:r>
      <w:r w:rsidRPr="00A17C97">
        <w:t>, 1900152.</w:t>
      </w:r>
    </w:p>
    <w:p w14:paraId="7CE9FE23" w14:textId="77777777" w:rsidR="00DA5BD5" w:rsidRPr="00A17C97" w:rsidRDefault="00DA5BD5" w:rsidP="00DA5BD5">
      <w:pPr>
        <w:pStyle w:val="ae"/>
      </w:pPr>
      <w:r w:rsidRPr="00A17C97">
        <w:t>[57]</w:t>
      </w:r>
      <w:r w:rsidRPr="00A17C97">
        <w:tab/>
        <w:t xml:space="preserve">Y. Li, B. Huang, X. Zhang, J. Ding, Y. Zhang, L. Xiao, B. Wang, Q. Cheng, G. Huang, H. Zhang, Y. Yang, X. Qi, Q. Zheng, Y. Zhang, X. Qiu, M. Liang, H. Zhou, </w:t>
      </w:r>
      <w:r w:rsidRPr="00A17C97">
        <w:rPr>
          <w:i/>
          <w:iCs/>
        </w:rPr>
        <w:t>Nat. Commun.</w:t>
      </w:r>
      <w:r w:rsidRPr="00A17C97">
        <w:t xml:space="preserve"> </w:t>
      </w:r>
      <w:r w:rsidRPr="00A17C97">
        <w:rPr>
          <w:b/>
          <w:bCs/>
        </w:rPr>
        <w:t>2023</w:t>
      </w:r>
      <w:r w:rsidRPr="00A17C97">
        <w:t xml:space="preserve">, </w:t>
      </w:r>
      <w:r w:rsidRPr="00A17C97">
        <w:rPr>
          <w:i/>
          <w:iCs/>
        </w:rPr>
        <w:t>14</w:t>
      </w:r>
      <w:r w:rsidRPr="00A17C97">
        <w:t>, 1241.</w:t>
      </w:r>
    </w:p>
    <w:p w14:paraId="37C78106" w14:textId="77777777" w:rsidR="00DA5BD5" w:rsidRPr="00A17C97" w:rsidRDefault="00DA5BD5" w:rsidP="00DA5BD5">
      <w:pPr>
        <w:pStyle w:val="ae"/>
      </w:pPr>
      <w:r w:rsidRPr="00A17C97">
        <w:lastRenderedPageBreak/>
        <w:t>[58]</w:t>
      </w:r>
      <w:r w:rsidRPr="00A17C97">
        <w:tab/>
        <w:t xml:space="preserve">J. Qin, Z. Chen, P. Bi, Y. Yang, J. Zhang, Z. Huang, Z. Wei, C. An, H. Yao, X. Hao, T. Zhang, Y. Cui, L. Hong, C. Liu, Y. Zu, C. He, J. Hou, </w:t>
      </w:r>
      <w:r w:rsidRPr="00A17C97">
        <w:rPr>
          <w:i/>
          <w:iCs/>
        </w:rPr>
        <w:t>Energy Environ. Sci.</w:t>
      </w:r>
      <w:r w:rsidRPr="00A17C97">
        <w:t xml:space="preserve"> </w:t>
      </w:r>
      <w:r w:rsidRPr="00A17C97">
        <w:rPr>
          <w:b/>
          <w:bCs/>
        </w:rPr>
        <w:t>2021</w:t>
      </w:r>
      <w:r w:rsidRPr="00A17C97">
        <w:t xml:space="preserve">, </w:t>
      </w:r>
      <w:r w:rsidRPr="00A17C97">
        <w:rPr>
          <w:i/>
          <w:iCs/>
        </w:rPr>
        <w:t>14</w:t>
      </w:r>
      <w:r w:rsidRPr="00A17C97">
        <w:t>, 5903.</w:t>
      </w:r>
    </w:p>
    <w:p w14:paraId="7BAD83D7" w14:textId="77777777" w:rsidR="00DA5BD5" w:rsidRDefault="00DA5BD5" w:rsidP="00DA5BD5">
      <w:pPr>
        <w:pStyle w:val="ae"/>
      </w:pPr>
      <w:r w:rsidRPr="00A17C97">
        <w:t>[59]</w:t>
      </w:r>
      <w:r w:rsidRPr="00A17C97">
        <w:tab/>
        <w:t>Y. Li, J. Ding, C. Liang, X. Zhang, J. Zhang, D. S. Jakob, B. Wang, X. Li, H. Zhang, L. Li, Y. Yang, G. Zhang, X. Zhang, W. Du, X. Liu, Y. Zhang, Y. Zhang, X. Xu, X. Qiu, H. Zhou,</w:t>
      </w:r>
      <w:r>
        <w:t xml:space="preserve"> </w:t>
      </w:r>
      <w:r>
        <w:rPr>
          <w:i/>
          <w:iCs/>
        </w:rPr>
        <w:t>Joule</w:t>
      </w:r>
      <w:r>
        <w:t xml:space="preserve"> </w:t>
      </w:r>
      <w:r>
        <w:rPr>
          <w:b/>
          <w:bCs/>
        </w:rPr>
        <w:t>2021</w:t>
      </w:r>
      <w:r>
        <w:t xml:space="preserve">, </w:t>
      </w:r>
      <w:r>
        <w:rPr>
          <w:i/>
          <w:iCs/>
        </w:rPr>
        <w:t>5</w:t>
      </w:r>
      <w:r>
        <w:t>, 3154.</w:t>
      </w:r>
    </w:p>
    <w:p w14:paraId="4AA7C5F1" w14:textId="77777777" w:rsidR="00DA5BD5" w:rsidRDefault="00DA5BD5" w:rsidP="00DA5BD5">
      <w:pPr>
        <w:pStyle w:val="ae"/>
      </w:pPr>
      <w:r>
        <w:t>[60]</w:t>
      </w:r>
      <w:r>
        <w:tab/>
        <w:t xml:space="preserve">Q. Liu, Y. Jiang, K. Jin, J. Qin, J. Xu, W. Li, J. Xiong, J. Liu, Z. Xiao, K. Sun, S. Yang, X. Zhang, L. Ding, </w:t>
      </w:r>
      <w:r>
        <w:rPr>
          <w:i/>
          <w:iCs/>
        </w:rPr>
        <w:t>Sci. Bull.</w:t>
      </w:r>
      <w:r>
        <w:t xml:space="preserve"> </w:t>
      </w:r>
      <w:r>
        <w:rPr>
          <w:b/>
          <w:bCs/>
        </w:rPr>
        <w:t>2020</w:t>
      </w:r>
      <w:r>
        <w:t xml:space="preserve">, </w:t>
      </w:r>
      <w:r>
        <w:rPr>
          <w:i/>
          <w:iCs/>
        </w:rPr>
        <w:t>65</w:t>
      </w:r>
      <w:r>
        <w:t>, 272.</w:t>
      </w:r>
    </w:p>
    <w:p w14:paraId="21618BB0" w14:textId="77777777" w:rsidR="00DA5BD5" w:rsidRDefault="00DA5BD5" w:rsidP="00DA5BD5">
      <w:pPr>
        <w:pStyle w:val="ae"/>
      </w:pPr>
      <w:r>
        <w:t>[61]</w:t>
      </w:r>
      <w:r>
        <w:tab/>
        <w:t xml:space="preserve">X. Zhao, Y. Zhao, Q. Ge, K. Butrouna, Y. Diao, K. R. Graham, J. Mei, </w:t>
      </w:r>
      <w:r>
        <w:rPr>
          <w:i/>
          <w:iCs/>
        </w:rPr>
        <w:t>Macromolecules</w:t>
      </w:r>
      <w:r>
        <w:t xml:space="preserve"> </w:t>
      </w:r>
      <w:r>
        <w:rPr>
          <w:b/>
          <w:bCs/>
        </w:rPr>
        <w:t>2016</w:t>
      </w:r>
      <w:r>
        <w:t xml:space="preserve">, </w:t>
      </w:r>
      <w:r>
        <w:rPr>
          <w:i/>
          <w:iCs/>
        </w:rPr>
        <w:t>49</w:t>
      </w:r>
      <w:r>
        <w:t>, 2601.</w:t>
      </w:r>
    </w:p>
    <w:p w14:paraId="3638B050" w14:textId="77777777" w:rsidR="00DA5BD5" w:rsidRDefault="00DA5BD5" w:rsidP="00DA5BD5">
      <w:pPr>
        <w:pStyle w:val="ae"/>
      </w:pPr>
      <w:r>
        <w:t>[62]</w:t>
      </w:r>
      <w:r>
        <w:tab/>
        <w:t xml:space="preserve">L. Bu, S. Gao, W. Wang, L. Zhou, S. Feng, X. Chen, D. Yu, S. Li, G. Lu, </w:t>
      </w:r>
      <w:r>
        <w:rPr>
          <w:i/>
          <w:iCs/>
        </w:rPr>
        <w:t>Adv. Electron. Mater.</w:t>
      </w:r>
      <w:r>
        <w:t xml:space="preserve"> </w:t>
      </w:r>
      <w:r>
        <w:rPr>
          <w:b/>
          <w:bCs/>
        </w:rPr>
        <w:t>2016</w:t>
      </w:r>
      <w:r>
        <w:t xml:space="preserve">, </w:t>
      </w:r>
      <w:r>
        <w:rPr>
          <w:i/>
          <w:iCs/>
        </w:rPr>
        <w:t>2</w:t>
      </w:r>
      <w:r>
        <w:t>, 1600359.</w:t>
      </w:r>
    </w:p>
    <w:p w14:paraId="08227349" w14:textId="5B2CCE79" w:rsidR="00F51B55" w:rsidRDefault="00F51B55" w:rsidP="00DE3BB0">
      <w:pPr>
        <w:pStyle w:val="Literature"/>
        <w:spacing w:line="360" w:lineRule="auto"/>
        <w:rPr>
          <w:lang w:val="en-US"/>
        </w:rPr>
      </w:pPr>
      <w:r>
        <w:rPr>
          <w:lang w:val="en-US"/>
        </w:rPr>
        <w:fldChar w:fldCharType="end"/>
      </w:r>
    </w:p>
    <w:p w14:paraId="3CB7A26D" w14:textId="4F9C2B72" w:rsidR="00404548" w:rsidRDefault="00404548" w:rsidP="00DE3BB0">
      <w:pPr>
        <w:pStyle w:val="Literature"/>
        <w:spacing w:line="360" w:lineRule="auto"/>
        <w:rPr>
          <w:lang w:val="en-US"/>
        </w:rPr>
      </w:pPr>
    </w:p>
    <w:p w14:paraId="353BA03D" w14:textId="77777777" w:rsidR="002D3D6D" w:rsidRDefault="002D3D6D" w:rsidP="00DE3BB0">
      <w:pPr>
        <w:pStyle w:val="Literature"/>
        <w:spacing w:line="360" w:lineRule="auto"/>
        <w:rPr>
          <w:lang w:val="en-US"/>
        </w:rPr>
      </w:pPr>
    </w:p>
    <w:p w14:paraId="15681BB7" w14:textId="55FBECC8" w:rsidR="00404548" w:rsidRDefault="00404548" w:rsidP="008C6D5F">
      <w:pPr>
        <w:pStyle w:val="Literature"/>
        <w:spacing w:line="360" w:lineRule="auto"/>
        <w:rPr>
          <w:lang w:val="en-US"/>
        </w:rPr>
        <w:sectPr w:rsidR="00404548" w:rsidSect="00460E6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pPr>
    </w:p>
    <w:p w14:paraId="483E2BFD" w14:textId="6F767948" w:rsidR="00C56CD4" w:rsidRPr="00522E88" w:rsidRDefault="00004A23" w:rsidP="008C6D5F">
      <w:pPr>
        <w:spacing w:line="360" w:lineRule="auto"/>
        <w:rPr>
          <w:lang w:val="en-US"/>
        </w:rPr>
      </w:pPr>
      <w:r>
        <w:rPr>
          <w:lang w:val="en-US"/>
        </w:rPr>
        <w:br w:type="page"/>
      </w:r>
    </w:p>
    <w:p w14:paraId="142A5ABC" w14:textId="59F6E32F" w:rsidR="00C56CD4" w:rsidRPr="0053616C" w:rsidRDefault="0053616C" w:rsidP="00A439FA">
      <w:pPr>
        <w:pStyle w:val="Tableofcontents"/>
        <w:rPr>
          <w:lang w:eastAsia="zh-CN"/>
        </w:rPr>
      </w:pPr>
      <w:r>
        <w:rPr>
          <w:lang w:eastAsia="zh-CN"/>
        </w:rPr>
        <w:lastRenderedPageBreak/>
        <w:t xml:space="preserve">A reliable dimer supramolecular stabilizer strategy is developed to eliminate the “burn-in” loss of organic solar cells. More mechanism study reveals that the </w:t>
      </w:r>
      <w:r w:rsidR="007303E8">
        <w:rPr>
          <w:lang w:eastAsia="zh-CN"/>
        </w:rPr>
        <w:t xml:space="preserve">restricted molecular diffusion, robust morphology and low-level trap state density are keys to address the “burn-in” loss, resulting in a long </w:t>
      </w:r>
      <w:r w:rsidR="007303E8" w:rsidRPr="007303E8">
        <w:rPr>
          <w:i/>
          <w:iCs/>
          <w:lang w:eastAsia="zh-CN"/>
        </w:rPr>
        <w:t>T</w:t>
      </w:r>
      <w:r w:rsidR="007303E8" w:rsidRPr="007303E8">
        <w:rPr>
          <w:vertAlign w:val="subscript"/>
          <w:lang w:eastAsia="zh-CN"/>
        </w:rPr>
        <w:t>98</w:t>
      </w:r>
      <w:r w:rsidR="007303E8">
        <w:rPr>
          <w:lang w:eastAsia="zh-CN"/>
        </w:rPr>
        <w:t xml:space="preserve"> lifetime over 600 hours under the </w:t>
      </w:r>
      <w:proofErr w:type="spellStart"/>
      <w:r w:rsidR="007303E8">
        <w:rPr>
          <w:lang w:eastAsia="zh-CN"/>
        </w:rPr>
        <w:t>maximun</w:t>
      </w:r>
      <w:proofErr w:type="spellEnd"/>
      <w:r w:rsidR="007303E8">
        <w:rPr>
          <w:lang w:eastAsia="zh-CN"/>
        </w:rPr>
        <w:t xml:space="preserve">-power-point tracking accompanied by a PCE over 19%. </w:t>
      </w:r>
    </w:p>
    <w:p w14:paraId="0C1E5DF0" w14:textId="77777777" w:rsidR="0053616C" w:rsidRPr="007303E8" w:rsidRDefault="0053616C" w:rsidP="00A439FA">
      <w:pPr>
        <w:pStyle w:val="Tableofcontents"/>
      </w:pPr>
    </w:p>
    <w:p w14:paraId="5B81A3A7" w14:textId="0B3781F1" w:rsidR="007B7A09" w:rsidRPr="00BA61E8" w:rsidRDefault="0023656E" w:rsidP="00A439FA">
      <w:pPr>
        <w:pStyle w:val="Tableofcontents"/>
      </w:pPr>
      <w:r w:rsidRPr="00BA61E8">
        <w:t>Y</w:t>
      </w:r>
      <w:r w:rsidR="00D54A5C">
        <w:t>.</w:t>
      </w:r>
      <w:r w:rsidRPr="00BA61E8">
        <w:t xml:space="preserve"> Li, F</w:t>
      </w:r>
      <w:r w:rsidR="00D54A5C">
        <w:t>.</w:t>
      </w:r>
      <w:r w:rsidRPr="00BA61E8">
        <w:t xml:space="preserve"> Qi, B</w:t>
      </w:r>
      <w:r w:rsidR="00D54A5C">
        <w:t>.</w:t>
      </w:r>
      <w:r w:rsidRPr="00BA61E8">
        <w:t xml:space="preserve"> Fan, </w:t>
      </w:r>
      <w:r w:rsidR="00D54A5C">
        <w:t>K.</w:t>
      </w:r>
      <w:r w:rsidRPr="00BA61E8">
        <w:t>-K</w:t>
      </w:r>
      <w:r w:rsidR="00D54A5C">
        <w:t>.</w:t>
      </w:r>
      <w:r w:rsidRPr="00BA61E8">
        <w:t xml:space="preserve"> Liu, J</w:t>
      </w:r>
      <w:r w:rsidR="00D54A5C">
        <w:t>.</w:t>
      </w:r>
      <w:r w:rsidRPr="00BA61E8">
        <w:t xml:space="preserve"> Yu, Y</w:t>
      </w:r>
      <w:r w:rsidR="00D54A5C">
        <w:t>.</w:t>
      </w:r>
      <w:r w:rsidRPr="00BA61E8">
        <w:t xml:space="preserve"> Fu, X</w:t>
      </w:r>
      <w:r w:rsidR="00D54A5C">
        <w:t>.</w:t>
      </w:r>
      <w:r w:rsidRPr="00BA61E8">
        <w:t xml:space="preserve"> Liu, Z</w:t>
      </w:r>
      <w:r w:rsidR="00D54A5C">
        <w:t>.</w:t>
      </w:r>
      <w:r w:rsidRPr="00BA61E8">
        <w:t xml:space="preserve"> Wang, S</w:t>
      </w:r>
      <w:r w:rsidR="00D54A5C">
        <w:t>.</w:t>
      </w:r>
      <w:r w:rsidRPr="00BA61E8">
        <w:t xml:space="preserve"> Zhang, G</w:t>
      </w:r>
      <w:r w:rsidR="00D54A5C">
        <w:t>.</w:t>
      </w:r>
      <w:r w:rsidRPr="00BA61E8">
        <w:t xml:space="preserve"> Lu, X</w:t>
      </w:r>
      <w:r w:rsidR="00D54A5C">
        <w:t>.</w:t>
      </w:r>
      <w:r w:rsidRPr="00BA61E8">
        <w:t xml:space="preserve"> Lu, Q</w:t>
      </w:r>
      <w:r w:rsidR="00D54A5C">
        <w:t>.</w:t>
      </w:r>
      <w:r w:rsidRPr="00BA61E8">
        <w:t xml:space="preserve"> Fan, P</w:t>
      </w:r>
      <w:r w:rsidR="00D54A5C">
        <w:t>.</w:t>
      </w:r>
      <w:r w:rsidRPr="00BA61E8">
        <w:t xml:space="preserve"> C. Y. Chow, W</w:t>
      </w:r>
      <w:r w:rsidR="00D54A5C">
        <w:t>.</w:t>
      </w:r>
      <w:r w:rsidRPr="00BA61E8">
        <w:t xml:space="preserve"> Ma, F</w:t>
      </w:r>
      <w:r w:rsidR="00D54A5C">
        <w:t>.</w:t>
      </w:r>
      <w:r w:rsidRPr="00BA61E8">
        <w:t xml:space="preserve"> R. Lin, A</w:t>
      </w:r>
      <w:r w:rsidR="00D54A5C">
        <w:t>.</w:t>
      </w:r>
      <w:r w:rsidRPr="00BA61E8">
        <w:t xml:space="preserve"> K.-Y. Jen*</w:t>
      </w:r>
      <w:r w:rsidR="007B7A09" w:rsidRPr="00BA61E8">
        <w:t xml:space="preserve"> </w:t>
      </w:r>
    </w:p>
    <w:p w14:paraId="177028F8" w14:textId="77777777" w:rsidR="002D16A0" w:rsidRPr="0015563E" w:rsidRDefault="002D16A0" w:rsidP="00A439FA">
      <w:pPr>
        <w:pStyle w:val="Tableofcontents"/>
      </w:pPr>
    </w:p>
    <w:p w14:paraId="5A615373" w14:textId="014E2772" w:rsidR="0023656E" w:rsidRPr="00BA61E8" w:rsidRDefault="0023656E" w:rsidP="00A439FA">
      <w:pPr>
        <w:pStyle w:val="Tableofcontents"/>
      </w:pPr>
      <w:r w:rsidRPr="00BA61E8">
        <w:t>Eliminating the Burn-in Loss of Efficiency in Organic Solar Cells by Applying Dimer Acceptors as Supramolecular Stabilizers</w:t>
      </w:r>
    </w:p>
    <w:p w14:paraId="70465C77" w14:textId="77777777" w:rsidR="00004A23" w:rsidRPr="00EF4114" w:rsidRDefault="00004A23" w:rsidP="00A439FA">
      <w:pPr>
        <w:pStyle w:val="Tableofcontents"/>
      </w:pPr>
    </w:p>
    <w:p w14:paraId="56564062" w14:textId="478FEDE6" w:rsidR="003E113B" w:rsidRPr="00135998" w:rsidRDefault="00004A23" w:rsidP="00A439FA">
      <w:pPr>
        <w:pStyle w:val="Tableofcontents"/>
        <w:rPr>
          <w:b/>
          <w:bCs/>
        </w:rPr>
      </w:pPr>
      <w:proofErr w:type="spellStart"/>
      <w:r w:rsidRPr="00135998">
        <w:rPr>
          <w:b/>
          <w:bCs/>
        </w:rPr>
        <w:t>ToC</w:t>
      </w:r>
      <w:proofErr w:type="spellEnd"/>
      <w:r w:rsidRPr="00135998">
        <w:rPr>
          <w:b/>
          <w:bCs/>
        </w:rPr>
        <w:t xml:space="preserve"> figure </w:t>
      </w:r>
    </w:p>
    <w:p w14:paraId="479F45B1" w14:textId="79AE92C2" w:rsidR="004A7D3E" w:rsidRPr="0059526F" w:rsidRDefault="00D54A5C" w:rsidP="00A439FA">
      <w:pPr>
        <w:pStyle w:val="Tableofcontents"/>
      </w:pPr>
      <w:r>
        <w:rPr>
          <w:noProof/>
        </w:rPr>
        <w:drawing>
          <wp:inline distT="0" distB="0" distL="0" distR="0" wp14:anchorId="420E9509" wp14:editId="1FD2CF03">
            <wp:extent cx="1799127" cy="1800000"/>
            <wp:effectExtent l="0" t="0" r="0" b="0"/>
            <wp:docPr id="123713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06" r="5754"/>
                    <a:stretch/>
                  </pic:blipFill>
                  <pic:spPr bwMode="auto">
                    <a:xfrm>
                      <a:off x="0" y="0"/>
                      <a:ext cx="1799127" cy="180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4A7D3E" w:rsidRPr="0059526F" w:rsidSect="00460E63">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82F69" w14:textId="77777777" w:rsidR="0087678D" w:rsidRDefault="0087678D">
      <w:r>
        <w:separator/>
      </w:r>
    </w:p>
  </w:endnote>
  <w:endnote w:type="continuationSeparator" w:id="0">
    <w:p w14:paraId="3BC1B504" w14:textId="77777777" w:rsidR="0087678D" w:rsidRDefault="0087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DBBE" w14:textId="77777777" w:rsidR="00803E01" w:rsidRDefault="00803E0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65E4" w14:textId="77777777" w:rsidR="00803E01" w:rsidRDefault="00803E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A1A7E" w14:textId="77777777" w:rsidR="0087678D" w:rsidRDefault="0087678D">
      <w:r>
        <w:separator/>
      </w:r>
    </w:p>
  </w:footnote>
  <w:footnote w:type="continuationSeparator" w:id="0">
    <w:p w14:paraId="62E1185B" w14:textId="77777777" w:rsidR="0087678D" w:rsidRDefault="00876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3767" w14:textId="77777777" w:rsidR="00803E01" w:rsidRDefault="00803E0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23C9C986" w:rsidR="00562E2B" w:rsidRPr="009B44CC" w:rsidRDefault="00562E2B" w:rsidP="009B44CC">
    <w:pPr>
      <w:pStyle w:val="a5"/>
      <w:tabs>
        <w:tab w:val="left" w:pos="5003"/>
      </w:tabs>
      <w:jc w:val="right"/>
      <w:rPr>
        <w:lang w:val="en-US"/>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58DF" w14:textId="77777777" w:rsidR="00803E01" w:rsidRDefault="00803E0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3F8E"/>
    <w:multiLevelType w:val="hybridMultilevel"/>
    <w:tmpl w:val="43A2EF80"/>
    <w:lvl w:ilvl="0" w:tplc="36104B5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69C2CA5"/>
    <w:multiLevelType w:val="hybridMultilevel"/>
    <w:tmpl w:val="0C1A9668"/>
    <w:lvl w:ilvl="0" w:tplc="13DAFC7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FD47A29"/>
    <w:multiLevelType w:val="hybridMultilevel"/>
    <w:tmpl w:val="4392B764"/>
    <w:lvl w:ilvl="0" w:tplc="C194BEF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D057F24"/>
    <w:multiLevelType w:val="hybridMultilevel"/>
    <w:tmpl w:val="5E44AE0E"/>
    <w:lvl w:ilvl="0" w:tplc="FD5C5DE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46A77EB"/>
    <w:multiLevelType w:val="hybridMultilevel"/>
    <w:tmpl w:val="0F266126"/>
    <w:lvl w:ilvl="0" w:tplc="21F2A846">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3B472DA"/>
    <w:multiLevelType w:val="hybridMultilevel"/>
    <w:tmpl w:val="2FFEA618"/>
    <w:lvl w:ilvl="0" w:tplc="62B2A6F2">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4CD143B"/>
    <w:multiLevelType w:val="hybridMultilevel"/>
    <w:tmpl w:val="0F243EAC"/>
    <w:lvl w:ilvl="0" w:tplc="735C178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8DD5436"/>
    <w:multiLevelType w:val="hybridMultilevel"/>
    <w:tmpl w:val="08F64640"/>
    <w:lvl w:ilvl="0" w:tplc="3DD68EA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67F2ADA"/>
    <w:multiLevelType w:val="hybridMultilevel"/>
    <w:tmpl w:val="A900113C"/>
    <w:lvl w:ilvl="0" w:tplc="1516360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32234205">
    <w:abstractNumId w:val="1"/>
  </w:num>
  <w:num w:numId="2" w16cid:durableId="1040402400">
    <w:abstractNumId w:val="5"/>
  </w:num>
  <w:num w:numId="3" w16cid:durableId="708576359">
    <w:abstractNumId w:val="4"/>
  </w:num>
  <w:num w:numId="4" w16cid:durableId="796215951">
    <w:abstractNumId w:val="8"/>
  </w:num>
  <w:num w:numId="5" w16cid:durableId="1508448696">
    <w:abstractNumId w:val="2"/>
  </w:num>
  <w:num w:numId="6" w16cid:durableId="1900483471">
    <w:abstractNumId w:val="3"/>
  </w:num>
  <w:num w:numId="7" w16cid:durableId="406728207">
    <w:abstractNumId w:val="7"/>
  </w:num>
  <w:num w:numId="8" w16cid:durableId="1554003982">
    <w:abstractNumId w:val="6"/>
  </w:num>
  <w:num w:numId="9" w16cid:durableId="1063874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0CD5"/>
    <w:rsid w:val="000314D2"/>
    <w:rsid w:val="0003318F"/>
    <w:rsid w:val="0004094E"/>
    <w:rsid w:val="00040B7B"/>
    <w:rsid w:val="00041C1B"/>
    <w:rsid w:val="000437F7"/>
    <w:rsid w:val="00043FDE"/>
    <w:rsid w:val="00050985"/>
    <w:rsid w:val="00054CEC"/>
    <w:rsid w:val="0005501E"/>
    <w:rsid w:val="00055883"/>
    <w:rsid w:val="0006044D"/>
    <w:rsid w:val="00060D37"/>
    <w:rsid w:val="00062324"/>
    <w:rsid w:val="00063C0E"/>
    <w:rsid w:val="0006534A"/>
    <w:rsid w:val="0007131F"/>
    <w:rsid w:val="00072775"/>
    <w:rsid w:val="00072EA7"/>
    <w:rsid w:val="00076EAD"/>
    <w:rsid w:val="0007763C"/>
    <w:rsid w:val="000822D8"/>
    <w:rsid w:val="0008287E"/>
    <w:rsid w:val="00083031"/>
    <w:rsid w:val="0008740B"/>
    <w:rsid w:val="00090156"/>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1408"/>
    <w:rsid w:val="000D2D4B"/>
    <w:rsid w:val="000D45F4"/>
    <w:rsid w:val="000D5AB4"/>
    <w:rsid w:val="000D66DB"/>
    <w:rsid w:val="000D7EBA"/>
    <w:rsid w:val="000E304F"/>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3ADA"/>
    <w:rsid w:val="00125564"/>
    <w:rsid w:val="00125573"/>
    <w:rsid w:val="0012642A"/>
    <w:rsid w:val="00126D17"/>
    <w:rsid w:val="001305BF"/>
    <w:rsid w:val="00131D58"/>
    <w:rsid w:val="00135998"/>
    <w:rsid w:val="001370B1"/>
    <w:rsid w:val="001377CA"/>
    <w:rsid w:val="00140B94"/>
    <w:rsid w:val="001450FB"/>
    <w:rsid w:val="0014658A"/>
    <w:rsid w:val="00147DB8"/>
    <w:rsid w:val="00151683"/>
    <w:rsid w:val="0015392F"/>
    <w:rsid w:val="0015563E"/>
    <w:rsid w:val="00155C63"/>
    <w:rsid w:val="00155F66"/>
    <w:rsid w:val="00161FF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4B28"/>
    <w:rsid w:val="001D561D"/>
    <w:rsid w:val="001E05AE"/>
    <w:rsid w:val="001E18CC"/>
    <w:rsid w:val="001E32CD"/>
    <w:rsid w:val="001E3D2D"/>
    <w:rsid w:val="001E4605"/>
    <w:rsid w:val="001E5F4E"/>
    <w:rsid w:val="001E7D02"/>
    <w:rsid w:val="001F2689"/>
    <w:rsid w:val="001F2AB7"/>
    <w:rsid w:val="001F3C9B"/>
    <w:rsid w:val="001F3D91"/>
    <w:rsid w:val="001F3E77"/>
    <w:rsid w:val="001F4BD1"/>
    <w:rsid w:val="001F5110"/>
    <w:rsid w:val="001F5702"/>
    <w:rsid w:val="001F65A2"/>
    <w:rsid w:val="002002FC"/>
    <w:rsid w:val="00201F71"/>
    <w:rsid w:val="00203934"/>
    <w:rsid w:val="0020446B"/>
    <w:rsid w:val="00204BA7"/>
    <w:rsid w:val="002072AB"/>
    <w:rsid w:val="00210140"/>
    <w:rsid w:val="00210835"/>
    <w:rsid w:val="00211942"/>
    <w:rsid w:val="00214D95"/>
    <w:rsid w:val="00215531"/>
    <w:rsid w:val="002162B2"/>
    <w:rsid w:val="00216F54"/>
    <w:rsid w:val="00220933"/>
    <w:rsid w:val="00220C72"/>
    <w:rsid w:val="0022540C"/>
    <w:rsid w:val="00226AA4"/>
    <w:rsid w:val="00233C8A"/>
    <w:rsid w:val="00236036"/>
    <w:rsid w:val="0023656E"/>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155F"/>
    <w:rsid w:val="0029203C"/>
    <w:rsid w:val="00294873"/>
    <w:rsid w:val="002A4A81"/>
    <w:rsid w:val="002A5479"/>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0BD3"/>
    <w:rsid w:val="002E1B8F"/>
    <w:rsid w:val="002E2DEF"/>
    <w:rsid w:val="002E4E3E"/>
    <w:rsid w:val="002E76B2"/>
    <w:rsid w:val="002E79A2"/>
    <w:rsid w:val="002F0B86"/>
    <w:rsid w:val="002F32D4"/>
    <w:rsid w:val="002F3919"/>
    <w:rsid w:val="002F4F4B"/>
    <w:rsid w:val="002F55FD"/>
    <w:rsid w:val="002F594C"/>
    <w:rsid w:val="00300441"/>
    <w:rsid w:val="00301984"/>
    <w:rsid w:val="00301B0B"/>
    <w:rsid w:val="00301E84"/>
    <w:rsid w:val="00302E7A"/>
    <w:rsid w:val="00303D1B"/>
    <w:rsid w:val="003046B7"/>
    <w:rsid w:val="00317A57"/>
    <w:rsid w:val="00320A99"/>
    <w:rsid w:val="0032144B"/>
    <w:rsid w:val="00321E38"/>
    <w:rsid w:val="00322D5B"/>
    <w:rsid w:val="003259D8"/>
    <w:rsid w:val="00325AC2"/>
    <w:rsid w:val="00326A1C"/>
    <w:rsid w:val="00327818"/>
    <w:rsid w:val="00327FDC"/>
    <w:rsid w:val="003360E3"/>
    <w:rsid w:val="003371D5"/>
    <w:rsid w:val="003376CD"/>
    <w:rsid w:val="003452C3"/>
    <w:rsid w:val="003501A7"/>
    <w:rsid w:val="0035048A"/>
    <w:rsid w:val="0036263B"/>
    <w:rsid w:val="00363B62"/>
    <w:rsid w:val="003645B0"/>
    <w:rsid w:val="00364B2C"/>
    <w:rsid w:val="003664F1"/>
    <w:rsid w:val="00367E3F"/>
    <w:rsid w:val="003754A0"/>
    <w:rsid w:val="00377EA5"/>
    <w:rsid w:val="00377F77"/>
    <w:rsid w:val="00383073"/>
    <w:rsid w:val="0038438F"/>
    <w:rsid w:val="00385072"/>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018"/>
    <w:rsid w:val="003B517D"/>
    <w:rsid w:val="003B60EC"/>
    <w:rsid w:val="003C00ED"/>
    <w:rsid w:val="003C1C0A"/>
    <w:rsid w:val="003C35DF"/>
    <w:rsid w:val="003C4A68"/>
    <w:rsid w:val="003C554F"/>
    <w:rsid w:val="003C61DD"/>
    <w:rsid w:val="003D63E7"/>
    <w:rsid w:val="003E05F1"/>
    <w:rsid w:val="003E113B"/>
    <w:rsid w:val="003E5092"/>
    <w:rsid w:val="003E715D"/>
    <w:rsid w:val="003F0319"/>
    <w:rsid w:val="003F103E"/>
    <w:rsid w:val="003F2E48"/>
    <w:rsid w:val="003F440C"/>
    <w:rsid w:val="003F525A"/>
    <w:rsid w:val="003F7BE6"/>
    <w:rsid w:val="004006A9"/>
    <w:rsid w:val="00402E5E"/>
    <w:rsid w:val="00404548"/>
    <w:rsid w:val="004052AE"/>
    <w:rsid w:val="004118A5"/>
    <w:rsid w:val="004130BE"/>
    <w:rsid w:val="00413672"/>
    <w:rsid w:val="00414041"/>
    <w:rsid w:val="00414465"/>
    <w:rsid w:val="00414729"/>
    <w:rsid w:val="00414C80"/>
    <w:rsid w:val="00414F4B"/>
    <w:rsid w:val="00415EF9"/>
    <w:rsid w:val="00416629"/>
    <w:rsid w:val="00417DA1"/>
    <w:rsid w:val="00423478"/>
    <w:rsid w:val="00424339"/>
    <w:rsid w:val="00425B76"/>
    <w:rsid w:val="004260A2"/>
    <w:rsid w:val="00426FC6"/>
    <w:rsid w:val="004273BC"/>
    <w:rsid w:val="00427C5F"/>
    <w:rsid w:val="00441EAC"/>
    <w:rsid w:val="004507E5"/>
    <w:rsid w:val="00451763"/>
    <w:rsid w:val="004519AD"/>
    <w:rsid w:val="0045459A"/>
    <w:rsid w:val="004545DB"/>
    <w:rsid w:val="00457524"/>
    <w:rsid w:val="0045786A"/>
    <w:rsid w:val="00460E63"/>
    <w:rsid w:val="00460F76"/>
    <w:rsid w:val="00462F12"/>
    <w:rsid w:val="00463050"/>
    <w:rsid w:val="0046340F"/>
    <w:rsid w:val="00466168"/>
    <w:rsid w:val="00466686"/>
    <w:rsid w:val="00466F8E"/>
    <w:rsid w:val="0046778B"/>
    <w:rsid w:val="004714D4"/>
    <w:rsid w:val="00475712"/>
    <w:rsid w:val="00480CCE"/>
    <w:rsid w:val="00482FAA"/>
    <w:rsid w:val="00487211"/>
    <w:rsid w:val="0049075F"/>
    <w:rsid w:val="00492DA8"/>
    <w:rsid w:val="004978BF"/>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756C"/>
    <w:rsid w:val="005001FA"/>
    <w:rsid w:val="005019AF"/>
    <w:rsid w:val="005025A5"/>
    <w:rsid w:val="0050488D"/>
    <w:rsid w:val="00504D12"/>
    <w:rsid w:val="0050527A"/>
    <w:rsid w:val="0050535A"/>
    <w:rsid w:val="005106F5"/>
    <w:rsid w:val="00511192"/>
    <w:rsid w:val="005118AD"/>
    <w:rsid w:val="00512353"/>
    <w:rsid w:val="005220C2"/>
    <w:rsid w:val="00522E88"/>
    <w:rsid w:val="00523369"/>
    <w:rsid w:val="0052398F"/>
    <w:rsid w:val="005268F5"/>
    <w:rsid w:val="00532960"/>
    <w:rsid w:val="0053616C"/>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355A"/>
    <w:rsid w:val="00564668"/>
    <w:rsid w:val="00566041"/>
    <w:rsid w:val="00570353"/>
    <w:rsid w:val="005715F5"/>
    <w:rsid w:val="0057171E"/>
    <w:rsid w:val="00571EEC"/>
    <w:rsid w:val="00572666"/>
    <w:rsid w:val="0057267E"/>
    <w:rsid w:val="005726BD"/>
    <w:rsid w:val="005736AB"/>
    <w:rsid w:val="00574A5A"/>
    <w:rsid w:val="005753B8"/>
    <w:rsid w:val="00583ED5"/>
    <w:rsid w:val="00586D0F"/>
    <w:rsid w:val="00587437"/>
    <w:rsid w:val="00591199"/>
    <w:rsid w:val="00592678"/>
    <w:rsid w:val="00594644"/>
    <w:rsid w:val="0059526F"/>
    <w:rsid w:val="00596F36"/>
    <w:rsid w:val="005971F2"/>
    <w:rsid w:val="005A1741"/>
    <w:rsid w:val="005A235F"/>
    <w:rsid w:val="005A751F"/>
    <w:rsid w:val="005A7719"/>
    <w:rsid w:val="005A77C2"/>
    <w:rsid w:val="005B291B"/>
    <w:rsid w:val="005B76C5"/>
    <w:rsid w:val="005B7AF0"/>
    <w:rsid w:val="005B7B8A"/>
    <w:rsid w:val="005C09C6"/>
    <w:rsid w:val="005C1408"/>
    <w:rsid w:val="005C458D"/>
    <w:rsid w:val="005C491E"/>
    <w:rsid w:val="005C5E0A"/>
    <w:rsid w:val="005C6ACF"/>
    <w:rsid w:val="005C6C0C"/>
    <w:rsid w:val="005D2276"/>
    <w:rsid w:val="005D25FD"/>
    <w:rsid w:val="005D2808"/>
    <w:rsid w:val="005D57FE"/>
    <w:rsid w:val="005E0858"/>
    <w:rsid w:val="005E2109"/>
    <w:rsid w:val="005E2794"/>
    <w:rsid w:val="005E3CBF"/>
    <w:rsid w:val="005E6F9D"/>
    <w:rsid w:val="005E7B5A"/>
    <w:rsid w:val="005F01FC"/>
    <w:rsid w:val="005F0C89"/>
    <w:rsid w:val="005F3701"/>
    <w:rsid w:val="005F41DF"/>
    <w:rsid w:val="005F4521"/>
    <w:rsid w:val="005F5478"/>
    <w:rsid w:val="006006FC"/>
    <w:rsid w:val="006045BA"/>
    <w:rsid w:val="0060577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47012"/>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375"/>
    <w:rsid w:val="00680453"/>
    <w:rsid w:val="00682526"/>
    <w:rsid w:val="00683555"/>
    <w:rsid w:val="00683C02"/>
    <w:rsid w:val="0068413E"/>
    <w:rsid w:val="00686F1D"/>
    <w:rsid w:val="00692F7A"/>
    <w:rsid w:val="00695E06"/>
    <w:rsid w:val="006960F3"/>
    <w:rsid w:val="00696315"/>
    <w:rsid w:val="006A0D51"/>
    <w:rsid w:val="006A1C05"/>
    <w:rsid w:val="006A225B"/>
    <w:rsid w:val="006A30D2"/>
    <w:rsid w:val="006A5A6A"/>
    <w:rsid w:val="006A5FE3"/>
    <w:rsid w:val="006A71C1"/>
    <w:rsid w:val="006B23B2"/>
    <w:rsid w:val="006B4845"/>
    <w:rsid w:val="006B635C"/>
    <w:rsid w:val="006C1256"/>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E774E"/>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3E8"/>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29FA"/>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255D"/>
    <w:rsid w:val="007B6D4D"/>
    <w:rsid w:val="007B6FAF"/>
    <w:rsid w:val="007B7A09"/>
    <w:rsid w:val="007C0F7A"/>
    <w:rsid w:val="007C7370"/>
    <w:rsid w:val="007D24A9"/>
    <w:rsid w:val="007D27FA"/>
    <w:rsid w:val="007D30B5"/>
    <w:rsid w:val="007D6218"/>
    <w:rsid w:val="007D6699"/>
    <w:rsid w:val="007D7E30"/>
    <w:rsid w:val="007E0A75"/>
    <w:rsid w:val="007E6419"/>
    <w:rsid w:val="007F6815"/>
    <w:rsid w:val="007F6BA8"/>
    <w:rsid w:val="00803E01"/>
    <w:rsid w:val="0080681B"/>
    <w:rsid w:val="0080738C"/>
    <w:rsid w:val="00810B77"/>
    <w:rsid w:val="008113DB"/>
    <w:rsid w:val="00817436"/>
    <w:rsid w:val="00820C6B"/>
    <w:rsid w:val="00822217"/>
    <w:rsid w:val="0082542D"/>
    <w:rsid w:val="00827834"/>
    <w:rsid w:val="00832835"/>
    <w:rsid w:val="00832BCB"/>
    <w:rsid w:val="00835110"/>
    <w:rsid w:val="008351FC"/>
    <w:rsid w:val="00841F50"/>
    <w:rsid w:val="00843A0E"/>
    <w:rsid w:val="00845DFE"/>
    <w:rsid w:val="00846E17"/>
    <w:rsid w:val="0085200A"/>
    <w:rsid w:val="00852676"/>
    <w:rsid w:val="00854283"/>
    <w:rsid w:val="008573E3"/>
    <w:rsid w:val="00861E81"/>
    <w:rsid w:val="008645FF"/>
    <w:rsid w:val="00866D42"/>
    <w:rsid w:val="0087030E"/>
    <w:rsid w:val="00870AAC"/>
    <w:rsid w:val="008734F7"/>
    <w:rsid w:val="00874E9F"/>
    <w:rsid w:val="0087678D"/>
    <w:rsid w:val="00877842"/>
    <w:rsid w:val="008806F8"/>
    <w:rsid w:val="008808E2"/>
    <w:rsid w:val="00881456"/>
    <w:rsid w:val="00881ACB"/>
    <w:rsid w:val="00885FC9"/>
    <w:rsid w:val="00886BD4"/>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0BC6"/>
    <w:rsid w:val="008B1031"/>
    <w:rsid w:val="008B2303"/>
    <w:rsid w:val="008B34A0"/>
    <w:rsid w:val="008B5740"/>
    <w:rsid w:val="008C0B84"/>
    <w:rsid w:val="008C41DA"/>
    <w:rsid w:val="008C553A"/>
    <w:rsid w:val="008C588E"/>
    <w:rsid w:val="008C6D5F"/>
    <w:rsid w:val="008C7226"/>
    <w:rsid w:val="008C7C5F"/>
    <w:rsid w:val="008D7B80"/>
    <w:rsid w:val="008E1441"/>
    <w:rsid w:val="008E243B"/>
    <w:rsid w:val="008E4184"/>
    <w:rsid w:val="008E549F"/>
    <w:rsid w:val="008E6301"/>
    <w:rsid w:val="008E7177"/>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45654"/>
    <w:rsid w:val="00950ED1"/>
    <w:rsid w:val="00952A7A"/>
    <w:rsid w:val="00953A02"/>
    <w:rsid w:val="0095444E"/>
    <w:rsid w:val="00955C67"/>
    <w:rsid w:val="00955F81"/>
    <w:rsid w:val="00957B65"/>
    <w:rsid w:val="00960AFF"/>
    <w:rsid w:val="00963F62"/>
    <w:rsid w:val="00965D9D"/>
    <w:rsid w:val="00965EFC"/>
    <w:rsid w:val="0097161B"/>
    <w:rsid w:val="009762D2"/>
    <w:rsid w:val="009762F1"/>
    <w:rsid w:val="0097692D"/>
    <w:rsid w:val="009776D2"/>
    <w:rsid w:val="00977EA8"/>
    <w:rsid w:val="009803A6"/>
    <w:rsid w:val="0098140D"/>
    <w:rsid w:val="00981CED"/>
    <w:rsid w:val="00987225"/>
    <w:rsid w:val="0098753F"/>
    <w:rsid w:val="00990870"/>
    <w:rsid w:val="00990DCF"/>
    <w:rsid w:val="009920F5"/>
    <w:rsid w:val="00992B56"/>
    <w:rsid w:val="00992CDA"/>
    <w:rsid w:val="00993342"/>
    <w:rsid w:val="00996CE4"/>
    <w:rsid w:val="009A0FB3"/>
    <w:rsid w:val="009A3F36"/>
    <w:rsid w:val="009A48D8"/>
    <w:rsid w:val="009A4FF2"/>
    <w:rsid w:val="009A6C59"/>
    <w:rsid w:val="009A7878"/>
    <w:rsid w:val="009B0888"/>
    <w:rsid w:val="009B33DF"/>
    <w:rsid w:val="009B4270"/>
    <w:rsid w:val="009B44CC"/>
    <w:rsid w:val="009B5651"/>
    <w:rsid w:val="009B62E4"/>
    <w:rsid w:val="009B706A"/>
    <w:rsid w:val="009C0A8C"/>
    <w:rsid w:val="009C4319"/>
    <w:rsid w:val="009C43B1"/>
    <w:rsid w:val="009D109E"/>
    <w:rsid w:val="009D1CD9"/>
    <w:rsid w:val="009D1F28"/>
    <w:rsid w:val="009D28E5"/>
    <w:rsid w:val="009D37F4"/>
    <w:rsid w:val="009D4830"/>
    <w:rsid w:val="009D520D"/>
    <w:rsid w:val="009D797A"/>
    <w:rsid w:val="009E026A"/>
    <w:rsid w:val="009E3B56"/>
    <w:rsid w:val="009E49B5"/>
    <w:rsid w:val="009E4CEC"/>
    <w:rsid w:val="009E551E"/>
    <w:rsid w:val="009E7066"/>
    <w:rsid w:val="009F1EF8"/>
    <w:rsid w:val="009F37DC"/>
    <w:rsid w:val="009F4604"/>
    <w:rsid w:val="009F4B78"/>
    <w:rsid w:val="009F606B"/>
    <w:rsid w:val="009F6E66"/>
    <w:rsid w:val="009F7888"/>
    <w:rsid w:val="00A02AC3"/>
    <w:rsid w:val="00A06840"/>
    <w:rsid w:val="00A06EAD"/>
    <w:rsid w:val="00A104C6"/>
    <w:rsid w:val="00A1293C"/>
    <w:rsid w:val="00A13BA5"/>
    <w:rsid w:val="00A14F9B"/>
    <w:rsid w:val="00A167F1"/>
    <w:rsid w:val="00A17C97"/>
    <w:rsid w:val="00A2085F"/>
    <w:rsid w:val="00A20EC0"/>
    <w:rsid w:val="00A2150B"/>
    <w:rsid w:val="00A215D9"/>
    <w:rsid w:val="00A2292C"/>
    <w:rsid w:val="00A23FC3"/>
    <w:rsid w:val="00A25F1B"/>
    <w:rsid w:val="00A3288D"/>
    <w:rsid w:val="00A329DC"/>
    <w:rsid w:val="00A41135"/>
    <w:rsid w:val="00A41FEB"/>
    <w:rsid w:val="00A42FBA"/>
    <w:rsid w:val="00A439FA"/>
    <w:rsid w:val="00A44DA6"/>
    <w:rsid w:val="00A50921"/>
    <w:rsid w:val="00A5160D"/>
    <w:rsid w:val="00A56CA4"/>
    <w:rsid w:val="00A65F04"/>
    <w:rsid w:val="00A65F2E"/>
    <w:rsid w:val="00A66BA2"/>
    <w:rsid w:val="00A7086D"/>
    <w:rsid w:val="00A71AD5"/>
    <w:rsid w:val="00A8073E"/>
    <w:rsid w:val="00A80883"/>
    <w:rsid w:val="00A80F80"/>
    <w:rsid w:val="00A81BED"/>
    <w:rsid w:val="00A81EF4"/>
    <w:rsid w:val="00A82FC6"/>
    <w:rsid w:val="00A85A0D"/>
    <w:rsid w:val="00A92270"/>
    <w:rsid w:val="00AA10AE"/>
    <w:rsid w:val="00AA329F"/>
    <w:rsid w:val="00AA43CB"/>
    <w:rsid w:val="00AA7B6A"/>
    <w:rsid w:val="00AB593E"/>
    <w:rsid w:val="00AB5D37"/>
    <w:rsid w:val="00AB683F"/>
    <w:rsid w:val="00AC37E3"/>
    <w:rsid w:val="00AC4A2E"/>
    <w:rsid w:val="00AD1885"/>
    <w:rsid w:val="00AD50BA"/>
    <w:rsid w:val="00AE02E7"/>
    <w:rsid w:val="00AE0F75"/>
    <w:rsid w:val="00AE319E"/>
    <w:rsid w:val="00AE3B2C"/>
    <w:rsid w:val="00AE3B4E"/>
    <w:rsid w:val="00AE40A1"/>
    <w:rsid w:val="00AE676F"/>
    <w:rsid w:val="00AE709C"/>
    <w:rsid w:val="00AE7DD9"/>
    <w:rsid w:val="00AF166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3095"/>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525D"/>
    <w:rsid w:val="00B762E0"/>
    <w:rsid w:val="00B82D1F"/>
    <w:rsid w:val="00B86188"/>
    <w:rsid w:val="00B86C54"/>
    <w:rsid w:val="00B874C4"/>
    <w:rsid w:val="00B97AA2"/>
    <w:rsid w:val="00B97B8E"/>
    <w:rsid w:val="00BA00A8"/>
    <w:rsid w:val="00BA0378"/>
    <w:rsid w:val="00BA37A4"/>
    <w:rsid w:val="00BA4FB0"/>
    <w:rsid w:val="00BA6138"/>
    <w:rsid w:val="00BA61E8"/>
    <w:rsid w:val="00BB1930"/>
    <w:rsid w:val="00BB3478"/>
    <w:rsid w:val="00BC2247"/>
    <w:rsid w:val="00BC5572"/>
    <w:rsid w:val="00BC6E73"/>
    <w:rsid w:val="00BD497C"/>
    <w:rsid w:val="00BD57EE"/>
    <w:rsid w:val="00BE4E8A"/>
    <w:rsid w:val="00BF2A79"/>
    <w:rsid w:val="00BF375F"/>
    <w:rsid w:val="00C00221"/>
    <w:rsid w:val="00C02372"/>
    <w:rsid w:val="00C044C3"/>
    <w:rsid w:val="00C0665D"/>
    <w:rsid w:val="00C10453"/>
    <w:rsid w:val="00C12038"/>
    <w:rsid w:val="00C12E60"/>
    <w:rsid w:val="00C13BCA"/>
    <w:rsid w:val="00C141B9"/>
    <w:rsid w:val="00C158CF"/>
    <w:rsid w:val="00C16518"/>
    <w:rsid w:val="00C1787D"/>
    <w:rsid w:val="00C20F14"/>
    <w:rsid w:val="00C22ABD"/>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A5A1C"/>
    <w:rsid w:val="00CA7936"/>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7549"/>
    <w:rsid w:val="00D24D97"/>
    <w:rsid w:val="00D275F5"/>
    <w:rsid w:val="00D3377E"/>
    <w:rsid w:val="00D34725"/>
    <w:rsid w:val="00D376F1"/>
    <w:rsid w:val="00D43CA8"/>
    <w:rsid w:val="00D4523D"/>
    <w:rsid w:val="00D4593F"/>
    <w:rsid w:val="00D45BD4"/>
    <w:rsid w:val="00D4775B"/>
    <w:rsid w:val="00D47AB8"/>
    <w:rsid w:val="00D54A5C"/>
    <w:rsid w:val="00D55D94"/>
    <w:rsid w:val="00D56566"/>
    <w:rsid w:val="00D647A4"/>
    <w:rsid w:val="00D6487A"/>
    <w:rsid w:val="00D648BB"/>
    <w:rsid w:val="00D64E04"/>
    <w:rsid w:val="00D65A5E"/>
    <w:rsid w:val="00D669D1"/>
    <w:rsid w:val="00D67293"/>
    <w:rsid w:val="00D67DB9"/>
    <w:rsid w:val="00D7049A"/>
    <w:rsid w:val="00D704F6"/>
    <w:rsid w:val="00D722B1"/>
    <w:rsid w:val="00D74A82"/>
    <w:rsid w:val="00D753F6"/>
    <w:rsid w:val="00D7643B"/>
    <w:rsid w:val="00D7737D"/>
    <w:rsid w:val="00D80897"/>
    <w:rsid w:val="00D81375"/>
    <w:rsid w:val="00D8540E"/>
    <w:rsid w:val="00D85C4D"/>
    <w:rsid w:val="00D8730B"/>
    <w:rsid w:val="00D9072A"/>
    <w:rsid w:val="00D94852"/>
    <w:rsid w:val="00DA039C"/>
    <w:rsid w:val="00DA10B4"/>
    <w:rsid w:val="00DA5BD5"/>
    <w:rsid w:val="00DA6EBE"/>
    <w:rsid w:val="00DB27CC"/>
    <w:rsid w:val="00DB2A54"/>
    <w:rsid w:val="00DB4EF9"/>
    <w:rsid w:val="00DB5F39"/>
    <w:rsid w:val="00DB7003"/>
    <w:rsid w:val="00DC29FE"/>
    <w:rsid w:val="00DC430C"/>
    <w:rsid w:val="00DC60FB"/>
    <w:rsid w:val="00DC7319"/>
    <w:rsid w:val="00DC742E"/>
    <w:rsid w:val="00DD38DC"/>
    <w:rsid w:val="00DD63FF"/>
    <w:rsid w:val="00DD75D0"/>
    <w:rsid w:val="00DE3744"/>
    <w:rsid w:val="00DE3BB0"/>
    <w:rsid w:val="00DF0955"/>
    <w:rsid w:val="00DF1BBF"/>
    <w:rsid w:val="00DF1E9B"/>
    <w:rsid w:val="00DF3145"/>
    <w:rsid w:val="00DF438B"/>
    <w:rsid w:val="00DF4B0E"/>
    <w:rsid w:val="00E01E4B"/>
    <w:rsid w:val="00E062B0"/>
    <w:rsid w:val="00E0711E"/>
    <w:rsid w:val="00E0770C"/>
    <w:rsid w:val="00E14DFA"/>
    <w:rsid w:val="00E17EA5"/>
    <w:rsid w:val="00E229DB"/>
    <w:rsid w:val="00E2571A"/>
    <w:rsid w:val="00E26EDC"/>
    <w:rsid w:val="00E2713C"/>
    <w:rsid w:val="00E300B2"/>
    <w:rsid w:val="00E30B42"/>
    <w:rsid w:val="00E342D7"/>
    <w:rsid w:val="00E34CED"/>
    <w:rsid w:val="00E34D1F"/>
    <w:rsid w:val="00E35C26"/>
    <w:rsid w:val="00E36A51"/>
    <w:rsid w:val="00E376BD"/>
    <w:rsid w:val="00E410EA"/>
    <w:rsid w:val="00E41D5C"/>
    <w:rsid w:val="00E437F7"/>
    <w:rsid w:val="00E439A2"/>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4E4"/>
    <w:rsid w:val="00E94506"/>
    <w:rsid w:val="00E95A7B"/>
    <w:rsid w:val="00E969E9"/>
    <w:rsid w:val="00EA01A0"/>
    <w:rsid w:val="00EA155A"/>
    <w:rsid w:val="00EA24D4"/>
    <w:rsid w:val="00EA2851"/>
    <w:rsid w:val="00EA3515"/>
    <w:rsid w:val="00EA55FE"/>
    <w:rsid w:val="00EA5715"/>
    <w:rsid w:val="00EB0B4F"/>
    <w:rsid w:val="00EB1B59"/>
    <w:rsid w:val="00EB4384"/>
    <w:rsid w:val="00EB5051"/>
    <w:rsid w:val="00EB6065"/>
    <w:rsid w:val="00EC0826"/>
    <w:rsid w:val="00EC4E99"/>
    <w:rsid w:val="00EC7E23"/>
    <w:rsid w:val="00ED3A21"/>
    <w:rsid w:val="00ED47D0"/>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470AE"/>
    <w:rsid w:val="00F515AF"/>
    <w:rsid w:val="00F51B55"/>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87CDB"/>
    <w:rsid w:val="00F92C2B"/>
    <w:rsid w:val="00F94241"/>
    <w:rsid w:val="00F945CD"/>
    <w:rsid w:val="00F95ECF"/>
    <w:rsid w:val="00F9792C"/>
    <w:rsid w:val="00F97AAA"/>
    <w:rsid w:val="00FA4AD8"/>
    <w:rsid w:val="00FB3597"/>
    <w:rsid w:val="00FB53CA"/>
    <w:rsid w:val="00FC3750"/>
    <w:rsid w:val="00FC487C"/>
    <w:rsid w:val="00FC51A5"/>
    <w:rsid w:val="00FC6663"/>
    <w:rsid w:val="00FD0B36"/>
    <w:rsid w:val="00FD168A"/>
    <w:rsid w:val="00FD3643"/>
    <w:rsid w:val="00FD553C"/>
    <w:rsid w:val="00FD6F5E"/>
    <w:rsid w:val="00FE087D"/>
    <w:rsid w:val="00FE133D"/>
    <w:rsid w:val="00FE2090"/>
    <w:rsid w:val="00FE359D"/>
    <w:rsid w:val="00FE47EA"/>
    <w:rsid w:val="00FE4D5F"/>
    <w:rsid w:val="00FE4E42"/>
    <w:rsid w:val="00FE7BC4"/>
    <w:rsid w:val="00FF0E38"/>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9C0A8C"/>
    <w:pPr>
      <w:spacing w:line="360" w:lineRule="auto"/>
      <w:ind w:firstLine="708"/>
      <w:jc w:val="both"/>
    </w:pPr>
    <w:rPr>
      <w:rFonts w:eastAsiaTheme="minorEastAsia"/>
      <w:b/>
      <w:bCs/>
      <w:lang w:val="en-US" w:eastAsia="zh-CN"/>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A439FA"/>
    <w:pPr>
      <w:spacing w:line="360" w:lineRule="auto"/>
    </w:pPr>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styleId="ae">
    <w:name w:val="Bibliography"/>
    <w:basedOn w:val="a"/>
    <w:next w:val="a"/>
    <w:uiPriority w:val="37"/>
    <w:unhideWhenUsed/>
    <w:rsid w:val="00F51B55"/>
    <w:pPr>
      <w:tabs>
        <w:tab w:val="left" w:pos="504"/>
      </w:tabs>
      <w:ind w:left="504" w:hanging="504"/>
    </w:pPr>
  </w:style>
  <w:style w:type="table" w:styleId="af">
    <w:name w:val="Table Grid"/>
    <w:basedOn w:val="a1"/>
    <w:uiPriority w:val="39"/>
    <w:rsid w:val="006C1256"/>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945654"/>
    <w:rPr>
      <w:color w:val="0563C1" w:themeColor="hyperlink"/>
      <w:u w:val="single"/>
    </w:rPr>
  </w:style>
  <w:style w:type="character" w:styleId="af1">
    <w:name w:val="Unresolved Mention"/>
    <w:basedOn w:val="a0"/>
    <w:uiPriority w:val="99"/>
    <w:semiHidden/>
    <w:unhideWhenUsed/>
    <w:rsid w:val="00945654"/>
    <w:rPr>
      <w:color w:val="605E5C"/>
      <w:shd w:val="clear" w:color="auto" w:fill="E1DFDD"/>
    </w:rPr>
  </w:style>
  <w:style w:type="paragraph" w:styleId="af2">
    <w:name w:val="Revision"/>
    <w:hidden/>
    <w:uiPriority w:val="99"/>
    <w:semiHidden/>
    <w:rsid w:val="00EB5051"/>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2724">
      <w:bodyDiv w:val="1"/>
      <w:marLeft w:val="0"/>
      <w:marRight w:val="0"/>
      <w:marTop w:val="0"/>
      <w:marBottom w:val="0"/>
      <w:divBdr>
        <w:top w:val="none" w:sz="0" w:space="0" w:color="auto"/>
        <w:left w:val="none" w:sz="0" w:space="0" w:color="auto"/>
        <w:bottom w:val="none" w:sz="0" w:space="0" w:color="auto"/>
        <w:right w:val="none" w:sz="0" w:space="0" w:color="auto"/>
      </w:divBdr>
    </w:div>
    <w:div w:id="114179453">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FACA95A2-837A-4A5B-9E48-A187F066D0B0}"/>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22640</Words>
  <Characters>121809</Characters>
  <Application>Microsoft Office Word</Application>
  <DocSecurity>0</DocSecurity>
  <Lines>2255</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2025-11-20T14:07:00Z</dcterms:created>
  <dcterms:modified xsi:type="dcterms:W3CDTF">2025-11-20T14:19:00Z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3" name="ZOTERO_PREF_1">
    <vt:lpwstr>&lt;data data-version="3" zotero-version="6.0.30"&gt;&lt;session id="qj9hBLWX"/&gt;&lt;style id="http://www.zotero.org/styles/advanced-materials" hasBibliography="1" bibliographyStyleHasBeenSet="1"/&gt;&lt;prefs&gt;&lt;pref name="fieldType" value="Field"/&gt;&lt;/prefs&gt;&lt;/data&gt;</vt:lpwstr>
  </property>
</Properties>
</file>