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2286" w14:textId="77777777" w:rsidR="00BF0919" w:rsidRDefault="00BF0919">
      <w:pPr>
        <w:pStyle w:val="ListParagraph"/>
        <w:ind w:firstLineChars="0" w:firstLine="0"/>
        <w:jc w:val="center"/>
        <w:rPr>
          <w:rFonts w:ascii="Times New Roman" w:hAnsi="Times New Roman" w:cs="Times New Roman"/>
          <w:b/>
          <w:bCs/>
          <w:sz w:val="28"/>
          <w:szCs w:val="32"/>
        </w:rPr>
      </w:pPr>
      <w:r>
        <w:rPr>
          <w:rFonts w:ascii="Times New Roman" w:hAnsi="Times New Roman" w:cs="Times New Roman" w:hint="eastAsia"/>
          <w:b/>
          <w:bCs/>
          <w:sz w:val="28"/>
          <w:szCs w:val="32"/>
        </w:rPr>
        <w:t>R</w:t>
      </w:r>
      <w:r>
        <w:rPr>
          <w:rFonts w:ascii="Times New Roman" w:hAnsi="Times New Roman" w:cs="Times New Roman"/>
          <w:b/>
          <w:bCs/>
          <w:sz w:val="28"/>
          <w:szCs w:val="32"/>
        </w:rPr>
        <w:t>educing embodied carbon in concrete materials: A state-of-the-art review</w:t>
      </w:r>
    </w:p>
    <w:p w14:paraId="6293352F" w14:textId="77777777" w:rsidR="00BF0919" w:rsidRDefault="00BF0919">
      <w:pPr>
        <w:pStyle w:val="ListParagraph"/>
        <w:ind w:firstLineChars="0" w:firstLine="0"/>
        <w:jc w:val="cente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iwei Chen </w:t>
      </w:r>
      <w:r>
        <w:rPr>
          <w:rFonts w:ascii="Times New Roman" w:hAnsi="Times New Roman" w:cs="Times New Roman" w:hint="eastAsia"/>
          <w:vertAlign w:val="superscript"/>
        </w:rPr>
        <w:t>a</w:t>
      </w:r>
      <w:r>
        <w:rPr>
          <w:rFonts w:ascii="Times New Roman" w:hAnsi="Times New Roman" w:cs="Times New Roman"/>
        </w:rPr>
        <w:t xml:space="preserve">, Yue Teng </w:t>
      </w:r>
      <w:r>
        <w:rPr>
          <w:rFonts w:ascii="Times New Roman" w:hAnsi="Times New Roman" w:cs="Times New Roman" w:hint="eastAsia"/>
          <w:vertAlign w:val="superscript"/>
        </w:rPr>
        <w:t>b</w:t>
      </w:r>
      <w:r>
        <w:rPr>
          <w:rFonts w:ascii="Times New Roman" w:hAnsi="Times New Roman" w:cs="Times New Roman"/>
        </w:rPr>
        <w:t xml:space="preserve">, Yang Zhang </w:t>
      </w:r>
      <w:r>
        <w:rPr>
          <w:rFonts w:ascii="Times New Roman" w:hAnsi="Times New Roman" w:cs="Times New Roman"/>
          <w:vertAlign w:val="superscript"/>
        </w:rPr>
        <w:t>a</w:t>
      </w:r>
      <w:r>
        <w:rPr>
          <w:rFonts w:ascii="Times New Roman" w:hAnsi="Times New Roman" w:cs="Times New Roman"/>
        </w:rPr>
        <w:t>,</w:t>
      </w:r>
      <w:r w:rsidRPr="00B64782">
        <w:t xml:space="preserve"> </w:t>
      </w:r>
      <w:r w:rsidRPr="00B64782">
        <w:rPr>
          <w:rFonts w:ascii="Times New Roman" w:hAnsi="Times New Roman" w:cs="Times New Roman"/>
        </w:rPr>
        <w:t>Christopher K.Y. Leung</w:t>
      </w:r>
      <w:r>
        <w:rPr>
          <w:rFonts w:ascii="Times New Roman" w:hAnsi="Times New Roman" w:cs="Times New Roman"/>
        </w:rPr>
        <w:t xml:space="preserve"> </w:t>
      </w:r>
      <w:r>
        <w:rPr>
          <w:rFonts w:ascii="Times New Roman" w:hAnsi="Times New Roman" w:cs="Times New Roman"/>
          <w:vertAlign w:val="superscript"/>
        </w:rPr>
        <w:t>c</w:t>
      </w:r>
      <w:r>
        <w:rPr>
          <w:rFonts w:ascii="Times New Roman" w:hAnsi="Times New Roman" w:cs="Times New Roman"/>
        </w:rPr>
        <w:t xml:space="preserve">, Wei Pan </w:t>
      </w:r>
      <w:proofErr w:type="spellStart"/>
      <w:proofErr w:type="gramStart"/>
      <w:r>
        <w:rPr>
          <w:rFonts w:ascii="Times New Roman" w:hAnsi="Times New Roman" w:cs="Times New Roman"/>
          <w:vertAlign w:val="superscript"/>
        </w:rPr>
        <w:t>a</w:t>
      </w:r>
      <w:proofErr w:type="spellEnd"/>
      <w:r>
        <w:rPr>
          <w:rFonts w:ascii="Times New Roman" w:hAnsi="Times New Roman" w:cs="Times New Roman"/>
          <w:vertAlign w:val="superscript"/>
        </w:rPr>
        <w:t>,</w:t>
      </w:r>
      <w:r>
        <w:rPr>
          <w:rFonts w:ascii="Times New Roman" w:hAnsi="Times New Roman" w:cs="Times New Roman"/>
        </w:rPr>
        <w:t>*</w:t>
      </w:r>
      <w:proofErr w:type="gramEnd"/>
    </w:p>
    <w:p w14:paraId="446C495B" w14:textId="77777777" w:rsidR="00BF0919" w:rsidRPr="00D5302F" w:rsidRDefault="00BF0919" w:rsidP="002A4E39">
      <w:pPr>
        <w:pStyle w:val="ListParagraph"/>
        <w:ind w:firstLineChars="0" w:firstLine="0"/>
        <w:rPr>
          <w:rFonts w:ascii="Times New Roman" w:hAnsi="Times New Roman" w:cs="Times New Roman"/>
        </w:rPr>
      </w:pPr>
    </w:p>
    <w:p w14:paraId="0946F683" w14:textId="77777777" w:rsidR="00BF0919" w:rsidRDefault="00BF0919" w:rsidP="00D5302F">
      <w:pPr>
        <w:pStyle w:val="ListParagraph"/>
        <w:numPr>
          <w:ilvl w:val="0"/>
          <w:numId w:val="16"/>
        </w:numPr>
        <w:ind w:firstLineChars="0"/>
        <w:rPr>
          <w:rFonts w:ascii="Times New Roman" w:hAnsi="Times New Roman" w:cs="Times New Roman"/>
        </w:rPr>
      </w:pPr>
      <w:r w:rsidRPr="00D5302F">
        <w:rPr>
          <w:rFonts w:ascii="Times New Roman" w:hAnsi="Times New Roman" w:cs="Times New Roman" w:hint="eastAsia"/>
        </w:rPr>
        <w:t>Department of Civil Engineering, The University of Hong Kong, Hong Kong, China</w:t>
      </w:r>
    </w:p>
    <w:p w14:paraId="026BB9E3" w14:textId="77777777" w:rsidR="00BF0919" w:rsidRPr="00A56613" w:rsidRDefault="00BF0919" w:rsidP="00A56613">
      <w:pPr>
        <w:pStyle w:val="ListParagraph"/>
        <w:numPr>
          <w:ilvl w:val="0"/>
          <w:numId w:val="16"/>
        </w:numPr>
        <w:ind w:firstLineChars="0"/>
        <w:rPr>
          <w:rFonts w:ascii="Times New Roman" w:hAnsi="Times New Roman" w:cs="Times New Roman"/>
        </w:rPr>
      </w:pPr>
      <w:r w:rsidRPr="00D34A1A">
        <w:rPr>
          <w:rFonts w:ascii="Times New Roman" w:hAnsi="Times New Roman" w:cs="Times New Roman"/>
        </w:rPr>
        <w:t>Department of Build and Real Estate, The Hong Kong Polytechnic University, Hong Kong, China</w:t>
      </w:r>
    </w:p>
    <w:p w14:paraId="79C6F913" w14:textId="77777777" w:rsidR="00BF0919" w:rsidRPr="00D5302F" w:rsidRDefault="00BF0919" w:rsidP="00D5302F">
      <w:pPr>
        <w:pStyle w:val="ListParagraph"/>
        <w:numPr>
          <w:ilvl w:val="0"/>
          <w:numId w:val="16"/>
        </w:numPr>
        <w:ind w:firstLineChars="0"/>
        <w:rPr>
          <w:rFonts w:ascii="Times New Roman" w:hAnsi="Times New Roman" w:cs="Times New Roman"/>
        </w:rPr>
      </w:pPr>
      <w:r w:rsidRPr="00B64782">
        <w:rPr>
          <w:rFonts w:ascii="Times New Roman" w:hAnsi="Times New Roman" w:cs="Times New Roman"/>
        </w:rPr>
        <w:t xml:space="preserve">Department of Civil and Environmental Engineering, </w:t>
      </w:r>
      <w:r>
        <w:rPr>
          <w:rFonts w:ascii="Times New Roman" w:hAnsi="Times New Roman" w:cs="Times New Roman"/>
        </w:rPr>
        <w:t xml:space="preserve">The </w:t>
      </w:r>
      <w:r w:rsidRPr="00B64782">
        <w:rPr>
          <w:rFonts w:ascii="Times New Roman" w:hAnsi="Times New Roman" w:cs="Times New Roman"/>
        </w:rPr>
        <w:t>Hong Kong University of Science and Technology, Hong Kong, China</w:t>
      </w:r>
    </w:p>
    <w:p w14:paraId="614E5646" w14:textId="77777777" w:rsidR="00BF0919" w:rsidRDefault="00BF0919" w:rsidP="002A4E39">
      <w:pPr>
        <w:rPr>
          <w:rFonts w:ascii="Times New Roman" w:hAnsi="Times New Roman" w:cs="Times New Roman"/>
        </w:rPr>
      </w:pPr>
    </w:p>
    <w:p w14:paraId="15509C77" w14:textId="77777777" w:rsidR="00BF0919" w:rsidRDefault="00BF0919" w:rsidP="00C2228E">
      <w:pPr>
        <w:jc w:val="center"/>
        <w:rPr>
          <w:rFonts w:ascii="Times New Roman" w:hAnsi="Times New Roman" w:cs="Times New Roman"/>
        </w:rPr>
      </w:pPr>
      <w:r>
        <w:rPr>
          <w:rFonts w:ascii="Times New Roman" w:hAnsi="Times New Roman" w:cs="Times New Roman"/>
        </w:rPr>
        <w:t>*</w:t>
      </w:r>
      <w:r w:rsidRPr="00122BAA">
        <w:rPr>
          <w:rFonts w:hint="eastAsia"/>
        </w:rPr>
        <w:t xml:space="preserve"> </w:t>
      </w:r>
      <w:r w:rsidRPr="00C861D7">
        <w:rPr>
          <w:rFonts w:ascii="Times New Roman" w:hAnsi="Times New Roman" w:cs="Times New Roman" w:hint="eastAsia"/>
        </w:rPr>
        <w:t>Corresponding author</w:t>
      </w:r>
      <w:r>
        <w:rPr>
          <w:rFonts w:ascii="Times New Roman" w:hAnsi="Times New Roman" w:cs="Times New Roman"/>
        </w:rPr>
        <w:t>:</w:t>
      </w:r>
      <w:r w:rsidRPr="002A4E39">
        <w:rPr>
          <w:rFonts w:ascii="Times New Roman" w:hAnsi="Times New Roman" w:cs="Times New Roman" w:hint="eastAsia"/>
        </w:rPr>
        <w:t xml:space="preserve"> </w:t>
      </w:r>
      <w:r>
        <w:rPr>
          <w:rFonts w:ascii="Times New Roman" w:hAnsi="Times New Roman" w:cs="Times New Roman"/>
        </w:rPr>
        <w:t xml:space="preserve">Prof. Wei Pan, </w:t>
      </w:r>
      <w:r w:rsidRPr="00A8541E">
        <w:rPr>
          <w:rFonts w:ascii="Times New Roman" w:hAnsi="Times New Roman" w:cs="Times New Roman" w:hint="eastAsia"/>
        </w:rPr>
        <w:t xml:space="preserve">Department of Civil Engineering, The University of Hong Kong, </w:t>
      </w:r>
      <w:proofErr w:type="spellStart"/>
      <w:r w:rsidRPr="00A8541E">
        <w:rPr>
          <w:rFonts w:ascii="Times New Roman" w:hAnsi="Times New Roman" w:cs="Times New Roman" w:hint="eastAsia"/>
        </w:rPr>
        <w:t>Haking</w:t>
      </w:r>
      <w:proofErr w:type="spellEnd"/>
      <w:r w:rsidRPr="00A8541E">
        <w:rPr>
          <w:rFonts w:ascii="Times New Roman" w:hAnsi="Times New Roman" w:cs="Times New Roman" w:hint="eastAsia"/>
        </w:rPr>
        <w:t xml:space="preserve"> Wong Building, </w:t>
      </w:r>
      <w:proofErr w:type="spellStart"/>
      <w:r w:rsidRPr="00A8541E">
        <w:rPr>
          <w:rFonts w:ascii="Times New Roman" w:hAnsi="Times New Roman" w:cs="Times New Roman" w:hint="eastAsia"/>
        </w:rPr>
        <w:t>Pokfulam</w:t>
      </w:r>
      <w:proofErr w:type="spellEnd"/>
      <w:r w:rsidRPr="00A8541E">
        <w:rPr>
          <w:rFonts w:ascii="Times New Roman" w:hAnsi="Times New Roman" w:cs="Times New Roman" w:hint="eastAsia"/>
        </w:rPr>
        <w:t>, Hong Kong SAR</w:t>
      </w:r>
      <w:r>
        <w:rPr>
          <w:rFonts w:ascii="Times New Roman" w:hAnsi="Times New Roman" w:cs="Times New Roman"/>
        </w:rPr>
        <w:t xml:space="preserve">, </w:t>
      </w:r>
      <w:r w:rsidRPr="003165EE">
        <w:rPr>
          <w:rFonts w:ascii="Times New Roman" w:hAnsi="Times New Roman" w:cs="Times New Roman" w:hint="eastAsia"/>
        </w:rPr>
        <w:t>999077</w:t>
      </w:r>
      <w:r>
        <w:rPr>
          <w:rFonts w:ascii="Times New Roman" w:hAnsi="Times New Roman" w:cs="Times New Roman"/>
        </w:rPr>
        <w:t>, China</w:t>
      </w:r>
    </w:p>
    <w:p w14:paraId="508F3D53" w14:textId="77777777" w:rsidR="00BF0919" w:rsidRPr="00122BAA" w:rsidRDefault="00BF0919" w:rsidP="00C2228E">
      <w:pPr>
        <w:jc w:val="center"/>
        <w:rPr>
          <w:rFonts w:ascii="Times New Roman" w:hAnsi="Times New Roman" w:cs="Times New Roman"/>
        </w:rPr>
      </w:pPr>
      <w:r w:rsidRPr="00122BAA">
        <w:rPr>
          <w:rFonts w:ascii="Times New Roman" w:hAnsi="Times New Roman" w:cs="Times New Roman" w:hint="eastAsia"/>
        </w:rPr>
        <w:t>Email</w:t>
      </w:r>
      <w:r>
        <w:rPr>
          <w:rFonts w:ascii="Times New Roman" w:hAnsi="Times New Roman" w:cs="Times New Roman"/>
        </w:rPr>
        <w:t xml:space="preserve"> address</w:t>
      </w:r>
      <w:r w:rsidRPr="00122BAA">
        <w:rPr>
          <w:rFonts w:ascii="Times New Roman" w:hAnsi="Times New Roman" w:cs="Times New Roman" w:hint="eastAsia"/>
        </w:rPr>
        <w:t xml:space="preserve">: </w:t>
      </w:r>
      <w:proofErr w:type="spellStart"/>
      <w:r w:rsidRPr="00122BAA">
        <w:rPr>
          <w:rFonts w:ascii="Times New Roman" w:hAnsi="Times New Roman" w:cs="Times New Roman" w:hint="eastAsia"/>
        </w:rPr>
        <w:t>wpan@hku.hk</w:t>
      </w:r>
      <w:proofErr w:type="spellEnd"/>
    </w:p>
    <w:p w14:paraId="2230668E" w14:textId="77777777" w:rsidR="00BF0919" w:rsidRDefault="00BF0919">
      <w:pPr>
        <w:pStyle w:val="ListParagraph"/>
        <w:ind w:firstLineChars="0" w:firstLine="0"/>
        <w:rPr>
          <w:rFonts w:ascii="Times New Roman" w:hAnsi="Times New Roman" w:cs="Times New Roman"/>
          <w:b/>
          <w:bCs/>
        </w:rPr>
      </w:pPr>
    </w:p>
    <w:p w14:paraId="35DB216A" w14:textId="4F847018" w:rsidR="00BF0919" w:rsidRDefault="00BF0919" w:rsidP="002C40B7">
      <w:pPr>
        <w:pStyle w:val="ListParagraph"/>
        <w:ind w:firstLineChars="0" w:firstLine="0"/>
        <w:rPr>
          <w:rFonts w:ascii="Times New Roman" w:hAnsi="Times New Roman" w:cs="Times New Roman"/>
        </w:rPr>
      </w:pPr>
      <w:r>
        <w:rPr>
          <w:rFonts w:ascii="Times New Roman" w:hAnsi="Times New Roman" w:cs="Times New Roman" w:hint="eastAsia"/>
          <w:b/>
          <w:bCs/>
        </w:rPr>
        <w:t>Abstract</w:t>
      </w:r>
      <w:r>
        <w:rPr>
          <w:rFonts w:ascii="Times New Roman" w:hAnsi="Times New Roman" w:cs="Times New Roman"/>
          <w:b/>
          <w:bCs/>
        </w:rPr>
        <w:t xml:space="preserve">: </w:t>
      </w:r>
      <w:r>
        <w:rPr>
          <w:rFonts w:ascii="Times New Roman" w:hAnsi="Times New Roman" w:cs="Times New Roman"/>
        </w:rPr>
        <w:t xml:space="preserve"> The construction sector </w:t>
      </w:r>
      <w:r>
        <w:rPr>
          <w:rFonts w:ascii="Times New Roman" w:hAnsi="Times New Roman" w:cs="Times New Roman" w:hint="eastAsia"/>
        </w:rPr>
        <w:t>is r</w:t>
      </w:r>
      <w:r>
        <w:rPr>
          <w:rFonts w:ascii="Times New Roman" w:hAnsi="Times New Roman" w:cs="Times New Roman"/>
        </w:rPr>
        <w:t xml:space="preserve">esponsible for about 40% of energy-related emissions </w:t>
      </w:r>
      <w:r>
        <w:rPr>
          <w:rFonts w:ascii="Times New Roman" w:hAnsi="Times New Roman" w:cs="Times New Roman" w:hint="eastAsia"/>
        </w:rPr>
        <w:t>worldwide</w:t>
      </w:r>
      <w:r>
        <w:rPr>
          <w:rFonts w:ascii="Times New Roman" w:hAnsi="Times New Roman" w:cs="Times New Roman"/>
        </w:rPr>
        <w:t>. Utilizing low-carbon concrete materials (LCCMs) has been recognized as an efficient way to reduce embodied carbon (EC). H</w:t>
      </w:r>
      <w:r>
        <w:rPr>
          <w:rFonts w:ascii="Times New Roman" w:hAnsi="Times New Roman" w:cs="Times New Roman" w:hint="eastAsia"/>
        </w:rPr>
        <w:t>owever</w:t>
      </w:r>
      <w:r>
        <w:rPr>
          <w:rFonts w:ascii="Times New Roman" w:hAnsi="Times New Roman" w:cs="Times New Roman"/>
        </w:rPr>
        <w:t>, there is a lack of systematic understanding and a unified comparison of the LCCMs’ EC reduc</w:t>
      </w:r>
      <w:r>
        <w:rPr>
          <w:rFonts w:ascii="Times New Roman" w:hAnsi="Times New Roman" w:cs="Times New Roman" w:hint="eastAsia"/>
        </w:rPr>
        <w:t>tion</w:t>
      </w:r>
      <w:r>
        <w:rPr>
          <w:rFonts w:ascii="Times New Roman" w:hAnsi="Times New Roman" w:cs="Times New Roman"/>
        </w:rPr>
        <w:t xml:space="preserve"> potentials. This paper identifies publications related to LCCMs and conducts a content analysis in three </w:t>
      </w:r>
      <w:r>
        <w:rPr>
          <w:rFonts w:ascii="Times New Roman" w:hAnsi="Times New Roman"/>
        </w:rPr>
        <w:t>dialectical dimensions</w:t>
      </w:r>
      <w:r>
        <w:rPr>
          <w:rFonts w:ascii="Times New Roman" w:hAnsi="Times New Roman" w:hint="eastAsia"/>
        </w:rPr>
        <w:t>.</w:t>
      </w:r>
      <w:r>
        <w:rPr>
          <w:rFonts w:ascii="Times New Roman" w:hAnsi="Times New Roman"/>
        </w:rPr>
        <w:t xml:space="preserve"> Identified LCCMs were categorized into four divisions. The results</w:t>
      </w:r>
      <w:r>
        <w:rPr>
          <w:rFonts w:ascii="Times New Roman" w:hAnsi="Times New Roman" w:hint="eastAsia"/>
        </w:rPr>
        <w:t xml:space="preserve"> show that the most </w:t>
      </w:r>
      <w:r w:rsidRPr="00190B3E">
        <w:rPr>
          <w:rFonts w:ascii="Times New Roman" w:hAnsi="Times New Roman"/>
        </w:rPr>
        <w:t>prospective</w:t>
      </w:r>
      <w:r w:rsidRPr="00190B3E" w:rsidDel="00190B3E">
        <w:rPr>
          <w:rFonts w:ascii="Times New Roman" w:hAnsi="Times New Roman"/>
        </w:rPr>
        <w:t xml:space="preserve"> </w:t>
      </w:r>
      <w:r>
        <w:rPr>
          <w:rFonts w:ascii="Times New Roman" w:hAnsi="Times New Roman"/>
        </w:rPr>
        <w:t>LCCMs are</w:t>
      </w:r>
      <w:r>
        <w:rPr>
          <w:rFonts w:ascii="Times New Roman" w:hAnsi="Times New Roman" w:cs="Times New Roman" w:hint="eastAsia"/>
        </w:rPr>
        <w:t xml:space="preserve"> </w:t>
      </w:r>
      <w:r>
        <w:rPr>
          <w:rFonts w:ascii="Times New Roman" w:hAnsi="Times New Roman"/>
        </w:rPr>
        <w:t>low-carbon cementitious binders</w:t>
      </w:r>
      <w:r>
        <w:rPr>
          <w:rFonts w:ascii="Times New Roman" w:hAnsi="Times New Roman" w:cs="Times New Roman"/>
        </w:rPr>
        <w:t xml:space="preserve">, </w:t>
      </w:r>
      <w:r>
        <w:rPr>
          <w:rFonts w:ascii="Times New Roman" w:hAnsi="Times New Roman" w:cs="Times New Roman" w:hint="eastAsia"/>
        </w:rPr>
        <w:t xml:space="preserve">achieving </w:t>
      </w:r>
      <w:r>
        <w:rPr>
          <w:rFonts w:ascii="Times New Roman" w:hAnsi="Times New Roman" w:cs="Times New Roman"/>
        </w:rPr>
        <w:t>52.6% EC</w:t>
      </w:r>
      <w:r>
        <w:rPr>
          <w:rFonts w:ascii="Times New Roman" w:hAnsi="Times New Roman" w:cs="Times New Roman" w:hint="eastAsia"/>
        </w:rPr>
        <w:t xml:space="preserve"> reduction</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 xml:space="preserve">The </w:t>
      </w:r>
      <w:r w:rsidR="003613DB">
        <w:rPr>
          <w:rFonts w:ascii="Times New Roman" w:hAnsi="Times New Roman" w:cs="Times New Roman"/>
        </w:rPr>
        <w:t>results also</w:t>
      </w:r>
      <w:r>
        <w:rPr>
          <w:rFonts w:ascii="Times New Roman" w:hAnsi="Times New Roman" w:cs="Times New Roman" w:hint="eastAsia"/>
        </w:rPr>
        <w:t xml:space="preserve"> </w:t>
      </w:r>
      <w:r w:rsidR="003613DB">
        <w:rPr>
          <w:rFonts w:ascii="Times New Roman" w:hAnsi="Times New Roman" w:cs="Times New Roman"/>
        </w:rPr>
        <w:t>demonstrate</w:t>
      </w:r>
      <w:r>
        <w:rPr>
          <w:rFonts w:ascii="Times New Roman" w:hAnsi="Times New Roman" w:cs="Times New Roman" w:hint="eastAsia"/>
        </w:rPr>
        <w:t xml:space="preserve"> the </w:t>
      </w:r>
      <w:r w:rsidRPr="0050659C">
        <w:rPr>
          <w:rFonts w:ascii="Times New Roman" w:hAnsi="Times New Roman" w:cs="Times New Roman"/>
        </w:rPr>
        <w:t>significance</w:t>
      </w:r>
      <w:r>
        <w:rPr>
          <w:rFonts w:ascii="Times New Roman" w:hAnsi="Times New Roman" w:cs="Times New Roman" w:hint="eastAsia"/>
        </w:rPr>
        <w:t xml:space="preserve"> of comparing the </w:t>
      </w:r>
      <w:r>
        <w:rPr>
          <w:rFonts w:ascii="Times New Roman" w:hAnsi="Times New Roman" w:cs="Times New Roman"/>
        </w:rPr>
        <w:t>EC</w:t>
      </w:r>
      <w:r>
        <w:rPr>
          <w:rFonts w:ascii="Times New Roman" w:hAnsi="Times New Roman" w:cs="Times New Roman" w:hint="eastAsia"/>
        </w:rPr>
        <w:t xml:space="preserve"> reduction </w:t>
      </w:r>
      <w:r>
        <w:rPr>
          <w:rFonts w:ascii="Times New Roman" w:hAnsi="Times New Roman" w:cs="Times New Roman"/>
        </w:rPr>
        <w:t>potentials</w:t>
      </w:r>
      <w:r>
        <w:rPr>
          <w:rFonts w:ascii="Times New Roman" w:hAnsi="Times New Roman" w:cs="Times New Roman" w:hint="eastAsia"/>
        </w:rPr>
        <w:t xml:space="preserve"> of different </w:t>
      </w:r>
      <w:r>
        <w:rPr>
          <w:rFonts w:ascii="Times New Roman" w:hAnsi="Times New Roman" w:cs="Times New Roman"/>
        </w:rPr>
        <w:t>LCCMs</w:t>
      </w:r>
      <w:r>
        <w:rPr>
          <w:rFonts w:ascii="Times New Roman" w:hAnsi="Times New Roman" w:cs="Times New Roman" w:hint="eastAsia"/>
        </w:rPr>
        <w:t xml:space="preserve"> at a </w:t>
      </w:r>
      <w:r w:rsidRPr="002B1B98">
        <w:rPr>
          <w:rFonts w:ascii="Times New Roman" w:hAnsi="Times New Roman" w:cs="Times New Roman"/>
        </w:rPr>
        <w:t>unified</w:t>
      </w:r>
      <w:r w:rsidRPr="002B1B98" w:rsidDel="002B1B98">
        <w:rPr>
          <w:rFonts w:ascii="Times New Roman" w:hAnsi="Times New Roman" w:cs="Times New Roman" w:hint="eastAsia"/>
        </w:rPr>
        <w:t xml:space="preserve"> </w:t>
      </w:r>
      <w:r>
        <w:rPr>
          <w:rFonts w:ascii="Times New Roman" w:hAnsi="Times New Roman" w:cs="Times New Roman"/>
        </w:rPr>
        <w:t xml:space="preserve">level, </w:t>
      </w:r>
      <w:r>
        <w:rPr>
          <w:rFonts w:ascii="Times New Roman" w:hAnsi="Times New Roman" w:cs="Times New Roman" w:hint="eastAsia"/>
        </w:rPr>
        <w:t xml:space="preserve">as up to 11% inconsistency was identified </w:t>
      </w:r>
      <w:r>
        <w:rPr>
          <w:rFonts w:ascii="Times New Roman" w:hAnsi="Times New Roman" w:cs="Times New Roman"/>
        </w:rPr>
        <w:t>when switching between cement &amp; concrete</w:t>
      </w:r>
      <w:r w:rsidDel="002927DF">
        <w:rPr>
          <w:rFonts w:ascii="Times New Roman" w:hAnsi="Times New Roman" w:cs="Times New Roman"/>
        </w:rPr>
        <w:t xml:space="preserve"> </w:t>
      </w:r>
      <w:r>
        <w:rPr>
          <w:rFonts w:ascii="Times New Roman" w:hAnsi="Times New Roman" w:cs="Times New Roman"/>
        </w:rPr>
        <w:t xml:space="preserve">level and </w:t>
      </w:r>
      <w:r w:rsidRPr="002927DF">
        <w:rPr>
          <w:rFonts w:ascii="Times New Roman" w:hAnsi="Times New Roman" w:cs="Times New Roman"/>
        </w:rPr>
        <w:t>components &amp; building level</w:t>
      </w:r>
      <w:r>
        <w:rPr>
          <w:rFonts w:ascii="Times New Roman" w:hAnsi="Times New Roman" w:cs="Times New Roman"/>
        </w:rPr>
        <w:t>. It provides a theoretical foundation for researchers and practitioners to examine</w:t>
      </w:r>
      <w:r w:rsidRPr="007E2194">
        <w:t xml:space="preserve"> </w:t>
      </w:r>
      <w:r>
        <w:rPr>
          <w:rFonts w:ascii="Times New Roman" w:hAnsi="Times New Roman" w:cs="Times New Roman"/>
        </w:rPr>
        <w:t xml:space="preserve">possible LCCMs. The findings reveal new directions for achieving a more </w:t>
      </w:r>
      <w:r w:rsidRPr="002C40B7">
        <w:rPr>
          <w:rFonts w:ascii="Times New Roman" w:hAnsi="Times New Roman" w:cs="Times New Roman"/>
        </w:rPr>
        <w:t>reliable</w:t>
      </w:r>
      <w:r>
        <w:rPr>
          <w:rFonts w:ascii="Times New Roman" w:hAnsi="Times New Roman" w:cs="Times New Roman"/>
        </w:rPr>
        <w:t xml:space="preserve"> cross-case comparison among the EC reduction potentials of different LCCMs. </w:t>
      </w:r>
    </w:p>
    <w:p w14:paraId="329DB274" w14:textId="77777777" w:rsidR="00BF0919" w:rsidRDefault="00BF0919" w:rsidP="002C40B7">
      <w:pPr>
        <w:pStyle w:val="ListParagraph"/>
        <w:ind w:firstLineChars="0" w:firstLine="0"/>
        <w:rPr>
          <w:rFonts w:ascii="Times New Roman" w:hAnsi="Times New Roman" w:cs="Times New Roman"/>
        </w:rPr>
      </w:pPr>
    </w:p>
    <w:p w14:paraId="66D3E8E6" w14:textId="4BCC4F20" w:rsidR="00BF0919" w:rsidRDefault="00BF0919">
      <w:pPr>
        <w:pStyle w:val="ListParagraph"/>
        <w:ind w:firstLineChars="0" w:firstLine="0"/>
        <w:rPr>
          <w:rFonts w:ascii="Times New Roman" w:hAnsi="Times New Roman" w:cs="Times New Roman"/>
        </w:rPr>
        <w:sectPr w:rsidR="00BF0919" w:rsidSect="00184E9E">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hint="eastAsia"/>
          <w:b/>
          <w:bCs/>
        </w:rPr>
        <w:t>Keywords:</w:t>
      </w:r>
      <w:r>
        <w:rPr>
          <w:rFonts w:ascii="Times New Roman" w:hAnsi="Times New Roman" w:cs="Times New Roman"/>
        </w:rPr>
        <w:t xml:space="preserve">  Low-carbon concrete material; Embodied carbon; Carbon reduction; Low-carbon building; Low-carbon construction</w:t>
      </w:r>
    </w:p>
    <w:p w14:paraId="6A9ABACF" w14:textId="77777777" w:rsidR="00BF0919" w:rsidRDefault="00BF0919" w:rsidP="004034E8">
      <w:pPr>
        <w:pStyle w:val="Heading1"/>
      </w:pPr>
      <w:r w:rsidRPr="004034E8">
        <w:lastRenderedPageBreak/>
        <w:t>Nomenclature</w:t>
      </w:r>
    </w:p>
    <w:tbl>
      <w:tblPr>
        <w:tblStyle w:val="TableGrid"/>
        <w:tblW w:w="8176" w:type="dxa"/>
        <w:tblBorders>
          <w:insideH w:val="none" w:sz="0" w:space="0" w:color="auto"/>
          <w:insideV w:val="none" w:sz="0" w:space="0" w:color="auto"/>
        </w:tblBorders>
        <w:tblLook w:val="04A0" w:firstRow="1" w:lastRow="0" w:firstColumn="1" w:lastColumn="0" w:noHBand="0" w:noVBand="1"/>
      </w:tblPr>
      <w:tblGrid>
        <w:gridCol w:w="1688"/>
        <w:gridCol w:w="6488"/>
      </w:tblGrid>
      <w:tr w:rsidR="00BF0919" w:rsidRPr="00EA0700" w14:paraId="367E0969" w14:textId="77777777" w:rsidTr="009D6380">
        <w:trPr>
          <w:trHeight w:val="487"/>
        </w:trPr>
        <w:tc>
          <w:tcPr>
            <w:tcW w:w="8176" w:type="dxa"/>
            <w:gridSpan w:val="2"/>
            <w:vAlign w:val="center"/>
          </w:tcPr>
          <w:p w14:paraId="4CFD8FAF" w14:textId="77777777" w:rsidR="00BF0919" w:rsidRPr="00EA0700" w:rsidRDefault="00BF0919" w:rsidP="009D6380">
            <w:pPr>
              <w:snapToGrid w:val="0"/>
              <w:rPr>
                <w:b/>
                <w:szCs w:val="24"/>
              </w:rPr>
            </w:pPr>
            <w:r w:rsidRPr="00EA0700">
              <w:rPr>
                <w:b/>
                <w:lang w:val="en-IE"/>
              </w:rPr>
              <w:t xml:space="preserve">List of </w:t>
            </w:r>
            <w:r w:rsidRPr="007C4D34">
              <w:rPr>
                <w:b/>
                <w:lang w:val="en-IE"/>
              </w:rPr>
              <w:t>Acronyms</w:t>
            </w:r>
          </w:p>
        </w:tc>
      </w:tr>
      <w:tr w:rsidR="00BF0919" w:rsidRPr="003E62CA" w14:paraId="20F0B3C9" w14:textId="77777777" w:rsidTr="009D6380">
        <w:trPr>
          <w:trHeight w:val="487"/>
        </w:trPr>
        <w:tc>
          <w:tcPr>
            <w:tcW w:w="1688" w:type="dxa"/>
            <w:vAlign w:val="center"/>
          </w:tcPr>
          <w:p w14:paraId="1C3BDD02"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AAB</w:t>
            </w:r>
            <w:r>
              <w:rPr>
                <w:rFonts w:ascii="Times New Roman" w:eastAsia="等线" w:hAnsi="Times New Roman" w:cs="Times New Roman"/>
                <w:color w:val="000000"/>
                <w:szCs w:val="21"/>
              </w:rPr>
              <w:t>s</w:t>
            </w:r>
          </w:p>
        </w:tc>
        <w:tc>
          <w:tcPr>
            <w:tcW w:w="6488" w:type="dxa"/>
            <w:vAlign w:val="center"/>
          </w:tcPr>
          <w:p w14:paraId="3F9A63BA"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Alkali-activated binder</w:t>
            </w:r>
            <w:r>
              <w:rPr>
                <w:rFonts w:ascii="Times New Roman" w:eastAsia="等线" w:hAnsi="Times New Roman" w:cs="Times New Roman"/>
                <w:color w:val="000000"/>
                <w:sz w:val="22"/>
              </w:rPr>
              <w:t>s</w:t>
            </w:r>
          </w:p>
        </w:tc>
      </w:tr>
      <w:tr w:rsidR="00BF0919" w:rsidRPr="003E62CA" w14:paraId="6BA7CEC6" w14:textId="77777777" w:rsidTr="009D6380">
        <w:trPr>
          <w:trHeight w:val="487"/>
        </w:trPr>
        <w:tc>
          <w:tcPr>
            <w:tcW w:w="1688" w:type="dxa"/>
            <w:vAlign w:val="center"/>
          </w:tcPr>
          <w:p w14:paraId="4D2DD7FF"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C&amp;B</w:t>
            </w:r>
          </w:p>
        </w:tc>
        <w:tc>
          <w:tcPr>
            <w:tcW w:w="6488" w:type="dxa"/>
            <w:vAlign w:val="center"/>
          </w:tcPr>
          <w:p w14:paraId="72C43164"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Components &amp; building</w:t>
            </w:r>
          </w:p>
        </w:tc>
      </w:tr>
      <w:tr w:rsidR="00BF0919" w:rsidRPr="003E62CA" w14:paraId="5625A336" w14:textId="77777777" w:rsidTr="009D6380">
        <w:trPr>
          <w:trHeight w:val="487"/>
        </w:trPr>
        <w:tc>
          <w:tcPr>
            <w:tcW w:w="1688" w:type="dxa"/>
            <w:vAlign w:val="center"/>
          </w:tcPr>
          <w:p w14:paraId="1FB46F1A"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C&amp;C</w:t>
            </w:r>
          </w:p>
        </w:tc>
        <w:tc>
          <w:tcPr>
            <w:tcW w:w="6488" w:type="dxa"/>
            <w:vAlign w:val="center"/>
          </w:tcPr>
          <w:p w14:paraId="681704F2"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Cement &amp; concrete</w:t>
            </w:r>
          </w:p>
        </w:tc>
      </w:tr>
      <w:tr w:rsidR="00BF0919" w:rsidRPr="003E62CA" w14:paraId="0D4FDBC4" w14:textId="77777777" w:rsidTr="009D6380">
        <w:trPr>
          <w:trHeight w:val="487"/>
        </w:trPr>
        <w:tc>
          <w:tcPr>
            <w:tcW w:w="1688" w:type="dxa"/>
            <w:vAlign w:val="center"/>
          </w:tcPr>
          <w:p w14:paraId="7CF32CA6"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CSAB</w:t>
            </w:r>
            <w:r>
              <w:rPr>
                <w:rFonts w:ascii="Times New Roman" w:eastAsia="等线" w:hAnsi="Times New Roman" w:cs="Times New Roman"/>
                <w:color w:val="000000"/>
                <w:szCs w:val="21"/>
              </w:rPr>
              <w:t>s</w:t>
            </w:r>
          </w:p>
        </w:tc>
        <w:tc>
          <w:tcPr>
            <w:tcW w:w="6488" w:type="dxa"/>
            <w:vAlign w:val="center"/>
          </w:tcPr>
          <w:p w14:paraId="1804DAF0"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 xml:space="preserve">Calcium </w:t>
            </w:r>
            <w:proofErr w:type="spellStart"/>
            <w:r w:rsidRPr="0022698F">
              <w:rPr>
                <w:rFonts w:ascii="Times New Roman" w:eastAsia="等线" w:hAnsi="Times New Roman" w:cs="Times New Roman"/>
                <w:color w:val="000000"/>
                <w:sz w:val="22"/>
              </w:rPr>
              <w:t>sulfoaluminate</w:t>
            </w:r>
            <w:proofErr w:type="spellEnd"/>
            <w:r w:rsidRPr="0022698F">
              <w:rPr>
                <w:rFonts w:ascii="Times New Roman" w:eastAsia="等线" w:hAnsi="Times New Roman" w:cs="Times New Roman"/>
                <w:color w:val="000000"/>
                <w:sz w:val="22"/>
              </w:rPr>
              <w:t xml:space="preserve"> binder</w:t>
            </w:r>
            <w:r>
              <w:rPr>
                <w:rFonts w:ascii="Times New Roman" w:eastAsia="等线" w:hAnsi="Times New Roman" w:cs="Times New Roman"/>
                <w:color w:val="000000"/>
                <w:sz w:val="22"/>
              </w:rPr>
              <w:t>s</w:t>
            </w:r>
          </w:p>
        </w:tc>
      </w:tr>
      <w:tr w:rsidR="00BF0919" w:rsidRPr="003E62CA" w14:paraId="2DAB987D" w14:textId="77777777" w:rsidTr="009D6380">
        <w:trPr>
          <w:trHeight w:val="487"/>
        </w:trPr>
        <w:tc>
          <w:tcPr>
            <w:tcW w:w="1688" w:type="dxa"/>
            <w:vAlign w:val="center"/>
          </w:tcPr>
          <w:p w14:paraId="4BAEB8FB"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EC</w:t>
            </w:r>
          </w:p>
        </w:tc>
        <w:tc>
          <w:tcPr>
            <w:tcW w:w="6488" w:type="dxa"/>
            <w:vAlign w:val="center"/>
          </w:tcPr>
          <w:p w14:paraId="08FB59AB"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Embodied Carbon</w:t>
            </w:r>
          </w:p>
        </w:tc>
      </w:tr>
      <w:tr w:rsidR="00BF0919" w:rsidRPr="003E62CA" w14:paraId="3342B2FF" w14:textId="77777777" w:rsidTr="009D6380">
        <w:trPr>
          <w:trHeight w:val="487"/>
        </w:trPr>
        <w:tc>
          <w:tcPr>
            <w:tcW w:w="1688" w:type="dxa"/>
            <w:vAlign w:val="center"/>
          </w:tcPr>
          <w:p w14:paraId="2B05C30F"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FA</w:t>
            </w:r>
          </w:p>
        </w:tc>
        <w:tc>
          <w:tcPr>
            <w:tcW w:w="6488" w:type="dxa"/>
            <w:vAlign w:val="center"/>
          </w:tcPr>
          <w:p w14:paraId="1718F383"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Fly ash</w:t>
            </w:r>
          </w:p>
        </w:tc>
      </w:tr>
      <w:tr w:rsidR="00BF0919" w:rsidRPr="003E62CA" w14:paraId="3FA26DFB" w14:textId="77777777" w:rsidTr="009D6380">
        <w:trPr>
          <w:trHeight w:val="487"/>
        </w:trPr>
        <w:tc>
          <w:tcPr>
            <w:tcW w:w="1688" w:type="dxa"/>
            <w:vAlign w:val="center"/>
          </w:tcPr>
          <w:p w14:paraId="20D9A247"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GGBS</w:t>
            </w:r>
          </w:p>
        </w:tc>
        <w:tc>
          <w:tcPr>
            <w:tcW w:w="6488" w:type="dxa"/>
            <w:vAlign w:val="center"/>
          </w:tcPr>
          <w:p w14:paraId="583335C3"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Ground granulated blast-furnace slag</w:t>
            </w:r>
          </w:p>
        </w:tc>
      </w:tr>
      <w:tr w:rsidR="00BF0919" w:rsidRPr="003E62CA" w14:paraId="0BC4C52C" w14:textId="77777777" w:rsidTr="009D6380">
        <w:trPr>
          <w:trHeight w:val="487"/>
        </w:trPr>
        <w:tc>
          <w:tcPr>
            <w:tcW w:w="1688" w:type="dxa"/>
            <w:vAlign w:val="center"/>
          </w:tcPr>
          <w:p w14:paraId="5561FE7D"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GHG</w:t>
            </w:r>
          </w:p>
        </w:tc>
        <w:tc>
          <w:tcPr>
            <w:tcW w:w="6488" w:type="dxa"/>
            <w:vAlign w:val="center"/>
          </w:tcPr>
          <w:p w14:paraId="2B6CE61E"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Greenhouse Gases</w:t>
            </w:r>
          </w:p>
        </w:tc>
      </w:tr>
      <w:tr w:rsidR="00BF0919" w:rsidRPr="003E62CA" w14:paraId="29840A74" w14:textId="77777777" w:rsidTr="009D6380">
        <w:trPr>
          <w:trHeight w:val="487"/>
        </w:trPr>
        <w:tc>
          <w:tcPr>
            <w:tcW w:w="1688" w:type="dxa"/>
            <w:vAlign w:val="center"/>
          </w:tcPr>
          <w:p w14:paraId="16CCEC46"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HSC</w:t>
            </w:r>
          </w:p>
        </w:tc>
        <w:tc>
          <w:tcPr>
            <w:tcW w:w="6488" w:type="dxa"/>
            <w:vAlign w:val="center"/>
          </w:tcPr>
          <w:p w14:paraId="4E90F140"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High strength concrete</w:t>
            </w:r>
          </w:p>
        </w:tc>
      </w:tr>
      <w:tr w:rsidR="00BF0919" w:rsidRPr="003E62CA" w14:paraId="6567DB81" w14:textId="77777777" w:rsidTr="009D6380">
        <w:trPr>
          <w:trHeight w:val="487"/>
        </w:trPr>
        <w:tc>
          <w:tcPr>
            <w:tcW w:w="1688" w:type="dxa"/>
            <w:vAlign w:val="center"/>
          </w:tcPr>
          <w:p w14:paraId="4991D4B0"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I-O</w:t>
            </w:r>
          </w:p>
        </w:tc>
        <w:tc>
          <w:tcPr>
            <w:tcW w:w="6488" w:type="dxa"/>
            <w:vAlign w:val="center"/>
          </w:tcPr>
          <w:p w14:paraId="7A9947E3"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Input-output</w:t>
            </w:r>
          </w:p>
        </w:tc>
      </w:tr>
      <w:tr w:rsidR="00BF0919" w:rsidRPr="003E62CA" w14:paraId="10C2CBDF" w14:textId="77777777" w:rsidTr="009D6380">
        <w:trPr>
          <w:trHeight w:val="487"/>
        </w:trPr>
        <w:tc>
          <w:tcPr>
            <w:tcW w:w="1688" w:type="dxa"/>
            <w:vAlign w:val="center"/>
          </w:tcPr>
          <w:p w14:paraId="5C5CD06F"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IPCC</w:t>
            </w:r>
          </w:p>
        </w:tc>
        <w:tc>
          <w:tcPr>
            <w:tcW w:w="6488" w:type="dxa"/>
            <w:vAlign w:val="center"/>
          </w:tcPr>
          <w:p w14:paraId="6FB513BA"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Intergovernmental Panel on Climate Change</w:t>
            </w:r>
          </w:p>
        </w:tc>
      </w:tr>
      <w:tr w:rsidR="00BF0919" w:rsidRPr="003E62CA" w14:paraId="41038525" w14:textId="77777777" w:rsidTr="009D6380">
        <w:trPr>
          <w:trHeight w:val="487"/>
        </w:trPr>
        <w:tc>
          <w:tcPr>
            <w:tcW w:w="1688" w:type="dxa"/>
            <w:vAlign w:val="center"/>
          </w:tcPr>
          <w:p w14:paraId="1C13E2E3"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ISO</w:t>
            </w:r>
          </w:p>
        </w:tc>
        <w:tc>
          <w:tcPr>
            <w:tcW w:w="6488" w:type="dxa"/>
            <w:vAlign w:val="center"/>
          </w:tcPr>
          <w:p w14:paraId="41F3CCC5"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International Organization for Standardization</w:t>
            </w:r>
          </w:p>
        </w:tc>
      </w:tr>
      <w:tr w:rsidR="00BF0919" w:rsidRPr="003E62CA" w14:paraId="17209EFE" w14:textId="77777777" w:rsidTr="009D6380">
        <w:trPr>
          <w:trHeight w:val="487"/>
        </w:trPr>
        <w:tc>
          <w:tcPr>
            <w:tcW w:w="1688" w:type="dxa"/>
            <w:vAlign w:val="center"/>
          </w:tcPr>
          <w:p w14:paraId="3F17C5A4"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LCA</w:t>
            </w:r>
          </w:p>
        </w:tc>
        <w:tc>
          <w:tcPr>
            <w:tcW w:w="6488" w:type="dxa"/>
            <w:vAlign w:val="center"/>
          </w:tcPr>
          <w:p w14:paraId="0E05FF52"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Life Cycle Assessment</w:t>
            </w:r>
          </w:p>
        </w:tc>
      </w:tr>
      <w:tr w:rsidR="00BF0919" w:rsidRPr="003E62CA" w14:paraId="5700297B" w14:textId="77777777" w:rsidTr="009D6380">
        <w:trPr>
          <w:trHeight w:val="487"/>
        </w:trPr>
        <w:tc>
          <w:tcPr>
            <w:tcW w:w="1688" w:type="dxa"/>
            <w:vAlign w:val="center"/>
          </w:tcPr>
          <w:p w14:paraId="59804493"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LCB</w:t>
            </w:r>
          </w:p>
        </w:tc>
        <w:tc>
          <w:tcPr>
            <w:tcW w:w="6488" w:type="dxa"/>
            <w:vAlign w:val="center"/>
          </w:tcPr>
          <w:p w14:paraId="28D38E20"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Low-carbon cementitious binder</w:t>
            </w:r>
          </w:p>
        </w:tc>
      </w:tr>
      <w:tr w:rsidR="00BF0919" w:rsidRPr="003E62CA" w14:paraId="372D2C43" w14:textId="77777777" w:rsidTr="009D6380">
        <w:trPr>
          <w:trHeight w:val="487"/>
        </w:trPr>
        <w:tc>
          <w:tcPr>
            <w:tcW w:w="1688" w:type="dxa"/>
            <w:vAlign w:val="center"/>
          </w:tcPr>
          <w:p w14:paraId="3C4434F1" w14:textId="77777777" w:rsidR="00BF0919" w:rsidRPr="003E62CA" w:rsidRDefault="00BF0919" w:rsidP="007C4D34">
            <w:pPr>
              <w:snapToGrid w:val="0"/>
              <w:jc w:val="center"/>
              <w:rPr>
                <w:szCs w:val="24"/>
              </w:rPr>
            </w:pPr>
            <w:proofErr w:type="spellStart"/>
            <w:r w:rsidRPr="0022698F">
              <w:rPr>
                <w:rFonts w:ascii="Times New Roman" w:eastAsia="等线" w:hAnsi="Times New Roman" w:cs="Times New Roman"/>
                <w:color w:val="000000"/>
                <w:szCs w:val="21"/>
              </w:rPr>
              <w:t>LCCa</w:t>
            </w:r>
            <w:proofErr w:type="spellEnd"/>
          </w:p>
        </w:tc>
        <w:tc>
          <w:tcPr>
            <w:tcW w:w="6488" w:type="dxa"/>
            <w:vAlign w:val="center"/>
          </w:tcPr>
          <w:p w14:paraId="1FAFD28D"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Life Cycle Carbon</w:t>
            </w:r>
          </w:p>
        </w:tc>
      </w:tr>
      <w:tr w:rsidR="00BF0919" w:rsidRPr="003E62CA" w14:paraId="308861CC" w14:textId="77777777" w:rsidTr="009D6380">
        <w:trPr>
          <w:trHeight w:val="487"/>
        </w:trPr>
        <w:tc>
          <w:tcPr>
            <w:tcW w:w="1688" w:type="dxa"/>
            <w:vAlign w:val="center"/>
          </w:tcPr>
          <w:p w14:paraId="5B07D34A"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LCCM</w:t>
            </w:r>
            <w:r>
              <w:rPr>
                <w:rFonts w:ascii="Times New Roman" w:eastAsia="等线" w:hAnsi="Times New Roman" w:cs="Times New Roman"/>
                <w:color w:val="000000"/>
                <w:szCs w:val="21"/>
              </w:rPr>
              <w:t>s</w:t>
            </w:r>
          </w:p>
        </w:tc>
        <w:tc>
          <w:tcPr>
            <w:tcW w:w="6488" w:type="dxa"/>
            <w:vAlign w:val="center"/>
          </w:tcPr>
          <w:p w14:paraId="5641ACA0" w14:textId="7804522B" w:rsidR="00BF0919" w:rsidRPr="003E62CA" w:rsidRDefault="00BF0919" w:rsidP="007C4D34">
            <w:pPr>
              <w:snapToGrid w:val="0"/>
              <w:rPr>
                <w:szCs w:val="24"/>
              </w:rPr>
            </w:pPr>
            <w:r w:rsidRPr="0022698F">
              <w:rPr>
                <w:rFonts w:ascii="Times New Roman" w:eastAsia="等线" w:hAnsi="Times New Roman" w:cs="Times New Roman"/>
                <w:color w:val="000000"/>
                <w:sz w:val="22"/>
              </w:rPr>
              <w:t>Low</w:t>
            </w:r>
            <w:r>
              <w:rPr>
                <w:rFonts w:ascii="Times New Roman" w:eastAsia="等线" w:hAnsi="Times New Roman" w:cs="Times New Roman"/>
                <w:color w:val="000000"/>
                <w:sz w:val="22"/>
              </w:rPr>
              <w:t>-</w:t>
            </w:r>
            <w:r w:rsidRPr="0022698F">
              <w:rPr>
                <w:rFonts w:ascii="Times New Roman" w:eastAsia="等线" w:hAnsi="Times New Roman" w:cs="Times New Roman"/>
                <w:color w:val="000000"/>
                <w:sz w:val="22"/>
              </w:rPr>
              <w:t>carbon concrete material</w:t>
            </w:r>
            <w:r>
              <w:rPr>
                <w:rFonts w:ascii="Times New Roman" w:eastAsia="等线" w:hAnsi="Times New Roman" w:cs="Times New Roman"/>
                <w:color w:val="000000"/>
                <w:sz w:val="22"/>
              </w:rPr>
              <w:t>s</w:t>
            </w:r>
          </w:p>
        </w:tc>
      </w:tr>
      <w:tr w:rsidR="00BF0919" w:rsidRPr="003E62CA" w14:paraId="54D753C2" w14:textId="77777777" w:rsidTr="009D6380">
        <w:trPr>
          <w:trHeight w:val="487"/>
        </w:trPr>
        <w:tc>
          <w:tcPr>
            <w:tcW w:w="1688" w:type="dxa"/>
            <w:vAlign w:val="center"/>
          </w:tcPr>
          <w:p w14:paraId="7B1CA99F" w14:textId="77777777" w:rsidR="00BF0919" w:rsidRPr="003E62CA" w:rsidRDefault="00BF0919" w:rsidP="007C4D34">
            <w:pPr>
              <w:snapToGrid w:val="0"/>
              <w:jc w:val="center"/>
              <w:rPr>
                <w:szCs w:val="24"/>
              </w:rPr>
            </w:pPr>
            <w:r w:rsidRPr="0022698F">
              <w:rPr>
                <w:rFonts w:ascii="Times New Roman" w:eastAsia="等线" w:hAnsi="Times New Roman" w:cs="Times New Roman"/>
                <w:color w:val="000000"/>
                <w:szCs w:val="21"/>
              </w:rPr>
              <w:t>NA</w:t>
            </w:r>
            <w:r>
              <w:rPr>
                <w:rFonts w:ascii="Times New Roman" w:eastAsia="等线" w:hAnsi="Times New Roman" w:cs="Times New Roman"/>
                <w:color w:val="000000"/>
                <w:szCs w:val="21"/>
              </w:rPr>
              <w:t>s</w:t>
            </w:r>
          </w:p>
        </w:tc>
        <w:tc>
          <w:tcPr>
            <w:tcW w:w="6488" w:type="dxa"/>
            <w:vAlign w:val="center"/>
          </w:tcPr>
          <w:p w14:paraId="15A422CA" w14:textId="77777777" w:rsidR="00BF0919" w:rsidRPr="003E62CA" w:rsidRDefault="00BF0919" w:rsidP="007C4D34">
            <w:pPr>
              <w:snapToGrid w:val="0"/>
              <w:rPr>
                <w:szCs w:val="24"/>
              </w:rPr>
            </w:pPr>
            <w:r w:rsidRPr="0022698F">
              <w:rPr>
                <w:rFonts w:ascii="Times New Roman" w:eastAsia="等线" w:hAnsi="Times New Roman" w:cs="Times New Roman"/>
                <w:color w:val="000000"/>
                <w:sz w:val="22"/>
              </w:rPr>
              <w:t>Natural aggregate</w:t>
            </w:r>
            <w:r>
              <w:rPr>
                <w:rFonts w:ascii="Times New Roman" w:eastAsia="等线" w:hAnsi="Times New Roman" w:cs="Times New Roman"/>
                <w:color w:val="000000"/>
                <w:sz w:val="22"/>
              </w:rPr>
              <w:t>s</w:t>
            </w:r>
          </w:p>
        </w:tc>
      </w:tr>
      <w:tr w:rsidR="00BF0919" w:rsidRPr="003E62CA" w14:paraId="7A057C54" w14:textId="77777777" w:rsidTr="009D6380">
        <w:trPr>
          <w:trHeight w:val="487"/>
        </w:trPr>
        <w:tc>
          <w:tcPr>
            <w:tcW w:w="1688" w:type="dxa"/>
            <w:vAlign w:val="center"/>
          </w:tcPr>
          <w:p w14:paraId="63B5120A"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OC</w:t>
            </w:r>
          </w:p>
        </w:tc>
        <w:tc>
          <w:tcPr>
            <w:tcW w:w="6488" w:type="dxa"/>
            <w:vAlign w:val="center"/>
          </w:tcPr>
          <w:p w14:paraId="3481FE4C"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Operational Carbon</w:t>
            </w:r>
          </w:p>
        </w:tc>
      </w:tr>
      <w:tr w:rsidR="00BF0919" w:rsidRPr="003E62CA" w14:paraId="0974C175" w14:textId="77777777" w:rsidTr="009D6380">
        <w:trPr>
          <w:trHeight w:val="487"/>
        </w:trPr>
        <w:tc>
          <w:tcPr>
            <w:tcW w:w="1688" w:type="dxa"/>
            <w:vAlign w:val="center"/>
          </w:tcPr>
          <w:p w14:paraId="3F7F90BC"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OPC</w:t>
            </w:r>
          </w:p>
        </w:tc>
        <w:tc>
          <w:tcPr>
            <w:tcW w:w="6488" w:type="dxa"/>
            <w:vAlign w:val="center"/>
          </w:tcPr>
          <w:p w14:paraId="1BE05DA2"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Ordinary Portland cement</w:t>
            </w:r>
          </w:p>
        </w:tc>
      </w:tr>
      <w:tr w:rsidR="00BF0919" w:rsidRPr="003E62CA" w14:paraId="59D6D72C" w14:textId="77777777" w:rsidTr="009D6380">
        <w:trPr>
          <w:trHeight w:val="487"/>
        </w:trPr>
        <w:tc>
          <w:tcPr>
            <w:tcW w:w="1688" w:type="dxa"/>
            <w:vAlign w:val="center"/>
          </w:tcPr>
          <w:p w14:paraId="5F2E626B"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RCA</w:t>
            </w:r>
            <w:r>
              <w:rPr>
                <w:rFonts w:ascii="Times New Roman" w:eastAsia="等线" w:hAnsi="Times New Roman" w:cs="Times New Roman"/>
                <w:color w:val="000000"/>
                <w:szCs w:val="21"/>
              </w:rPr>
              <w:t>s</w:t>
            </w:r>
          </w:p>
        </w:tc>
        <w:tc>
          <w:tcPr>
            <w:tcW w:w="6488" w:type="dxa"/>
            <w:vAlign w:val="center"/>
          </w:tcPr>
          <w:p w14:paraId="11829690"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Recycled concrete aggregate</w:t>
            </w:r>
            <w:r>
              <w:rPr>
                <w:rFonts w:ascii="Times New Roman" w:eastAsia="等线" w:hAnsi="Times New Roman" w:cs="Times New Roman"/>
                <w:color w:val="000000"/>
                <w:sz w:val="22"/>
              </w:rPr>
              <w:t>s</w:t>
            </w:r>
          </w:p>
        </w:tc>
      </w:tr>
      <w:tr w:rsidR="00BF0919" w:rsidRPr="003E62CA" w14:paraId="5C8B9796" w14:textId="77777777" w:rsidTr="009D6380">
        <w:trPr>
          <w:trHeight w:val="487"/>
        </w:trPr>
        <w:tc>
          <w:tcPr>
            <w:tcW w:w="1688" w:type="dxa"/>
            <w:vAlign w:val="center"/>
          </w:tcPr>
          <w:p w14:paraId="22098A0E"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RRF</w:t>
            </w:r>
          </w:p>
        </w:tc>
        <w:tc>
          <w:tcPr>
            <w:tcW w:w="6488" w:type="dxa"/>
            <w:vAlign w:val="center"/>
          </w:tcPr>
          <w:p w14:paraId="6301F11C"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Reducing-replacing factor</w:t>
            </w:r>
          </w:p>
        </w:tc>
      </w:tr>
      <w:tr w:rsidR="00BF0919" w:rsidRPr="003E62CA" w14:paraId="37409CF5" w14:textId="77777777" w:rsidTr="009D6380">
        <w:trPr>
          <w:trHeight w:val="487"/>
        </w:trPr>
        <w:tc>
          <w:tcPr>
            <w:tcW w:w="1688" w:type="dxa"/>
            <w:vAlign w:val="center"/>
          </w:tcPr>
          <w:p w14:paraId="72433C37"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SCM</w:t>
            </w:r>
            <w:r>
              <w:rPr>
                <w:rFonts w:ascii="Times New Roman" w:eastAsia="等线" w:hAnsi="Times New Roman" w:cs="Times New Roman"/>
                <w:color w:val="000000"/>
                <w:szCs w:val="21"/>
              </w:rPr>
              <w:t>s</w:t>
            </w:r>
          </w:p>
        </w:tc>
        <w:tc>
          <w:tcPr>
            <w:tcW w:w="6488" w:type="dxa"/>
            <w:vAlign w:val="center"/>
          </w:tcPr>
          <w:p w14:paraId="186A0B4F"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Supplementary cementitious material</w:t>
            </w:r>
            <w:r>
              <w:rPr>
                <w:rFonts w:ascii="Times New Roman" w:eastAsia="等线" w:hAnsi="Times New Roman" w:cs="Times New Roman"/>
                <w:color w:val="000000"/>
                <w:sz w:val="22"/>
              </w:rPr>
              <w:t>s</w:t>
            </w:r>
          </w:p>
        </w:tc>
      </w:tr>
      <w:tr w:rsidR="00BF0919" w:rsidRPr="003E62CA" w14:paraId="6864C702" w14:textId="77777777" w:rsidTr="009D6380">
        <w:trPr>
          <w:trHeight w:val="487"/>
        </w:trPr>
        <w:tc>
          <w:tcPr>
            <w:tcW w:w="1688" w:type="dxa"/>
            <w:vAlign w:val="center"/>
          </w:tcPr>
          <w:p w14:paraId="44D232E1" w14:textId="77777777" w:rsidR="00BF0919" w:rsidRPr="0022698F" w:rsidRDefault="00BF0919" w:rsidP="007C4D34">
            <w:pPr>
              <w:snapToGrid w:val="0"/>
              <w:jc w:val="center"/>
              <w:rPr>
                <w:rFonts w:ascii="Times New Roman" w:eastAsia="等线" w:hAnsi="Times New Roman" w:cs="Times New Roman"/>
                <w:color w:val="000000"/>
                <w:szCs w:val="21"/>
              </w:rPr>
            </w:pPr>
            <w:r w:rsidRPr="0022698F">
              <w:rPr>
                <w:rFonts w:ascii="Times New Roman" w:eastAsia="等线" w:hAnsi="Times New Roman" w:cs="Times New Roman"/>
                <w:color w:val="000000"/>
                <w:szCs w:val="21"/>
              </w:rPr>
              <w:t>SF</w:t>
            </w:r>
          </w:p>
        </w:tc>
        <w:tc>
          <w:tcPr>
            <w:tcW w:w="6488" w:type="dxa"/>
            <w:vAlign w:val="center"/>
          </w:tcPr>
          <w:p w14:paraId="4EF6AD57" w14:textId="77777777" w:rsidR="00BF0919" w:rsidRPr="0022698F" w:rsidRDefault="00BF0919" w:rsidP="007C4D34">
            <w:pPr>
              <w:snapToGrid w:val="0"/>
              <w:rPr>
                <w:rFonts w:ascii="Times New Roman" w:eastAsia="等线" w:hAnsi="Times New Roman" w:cs="Times New Roman"/>
                <w:color w:val="000000"/>
                <w:sz w:val="22"/>
              </w:rPr>
            </w:pPr>
            <w:r w:rsidRPr="0022698F">
              <w:rPr>
                <w:rFonts w:ascii="Times New Roman" w:eastAsia="等线" w:hAnsi="Times New Roman" w:cs="Times New Roman"/>
                <w:color w:val="000000"/>
                <w:sz w:val="22"/>
              </w:rPr>
              <w:t>Silica fume</w:t>
            </w:r>
          </w:p>
        </w:tc>
      </w:tr>
      <w:tr w:rsidR="00BF0919" w:rsidRPr="003E62CA" w14:paraId="3BE2FEF7" w14:textId="77777777" w:rsidTr="009D6380">
        <w:trPr>
          <w:trHeight w:val="487"/>
        </w:trPr>
        <w:tc>
          <w:tcPr>
            <w:tcW w:w="8176" w:type="dxa"/>
            <w:gridSpan w:val="2"/>
            <w:vAlign w:val="center"/>
          </w:tcPr>
          <w:p w14:paraId="7D3380D9" w14:textId="77777777" w:rsidR="00BF0919" w:rsidRPr="0022698F" w:rsidRDefault="00BF0919" w:rsidP="007C4D34">
            <w:pPr>
              <w:snapToGrid w:val="0"/>
              <w:rPr>
                <w:rFonts w:ascii="Times New Roman" w:eastAsia="等线" w:hAnsi="Times New Roman" w:cs="Times New Roman"/>
                <w:color w:val="000000"/>
                <w:sz w:val="22"/>
              </w:rPr>
            </w:pPr>
            <w:r w:rsidRPr="00EA0700">
              <w:rPr>
                <w:b/>
                <w:lang w:val="en-IE"/>
              </w:rPr>
              <w:t xml:space="preserve">List of </w:t>
            </w:r>
            <w:r w:rsidRPr="007C4D34">
              <w:rPr>
                <w:b/>
                <w:lang w:val="en-IE"/>
              </w:rPr>
              <w:t>Symbols</w:t>
            </w:r>
          </w:p>
        </w:tc>
      </w:tr>
      <w:tr w:rsidR="00BF0919" w:rsidRPr="003E62CA" w14:paraId="415DD022" w14:textId="77777777" w:rsidTr="00AF0F57">
        <w:trPr>
          <w:trHeight w:val="487"/>
        </w:trPr>
        <w:tc>
          <w:tcPr>
            <w:tcW w:w="1688" w:type="dxa"/>
          </w:tcPr>
          <w:p w14:paraId="0E5C2692" w14:textId="77777777" w:rsidR="00BF0919" w:rsidRPr="0022698F" w:rsidRDefault="00BF0919" w:rsidP="007C4D34">
            <w:pPr>
              <w:snapToGrid w:val="0"/>
              <w:jc w:val="center"/>
              <w:rPr>
                <w:rFonts w:ascii="Times New Roman" w:eastAsia="等线" w:hAnsi="Times New Roman" w:cs="Times New Roman"/>
                <w:color w:val="000000"/>
                <w:szCs w:val="21"/>
              </w:rPr>
            </w:pPr>
            <w:r w:rsidRPr="008F5364">
              <w:rPr>
                <w:rFonts w:ascii="Times New Roman" w:eastAsia="等线" w:hAnsi="Times New Roman" w:cs="Times New Roman"/>
                <w:color w:val="000000"/>
                <w:szCs w:val="21"/>
              </w:rPr>
              <w:t>R</w:t>
            </w:r>
            <w:r w:rsidRPr="00580A99">
              <w:rPr>
                <w:rFonts w:ascii="Times New Roman" w:eastAsia="等线" w:hAnsi="Times New Roman" w:cs="Times New Roman"/>
                <w:color w:val="000000"/>
                <w:szCs w:val="21"/>
                <w:vertAlign w:val="subscript"/>
              </w:rPr>
              <w:t>SCM</w:t>
            </w:r>
          </w:p>
        </w:tc>
        <w:tc>
          <w:tcPr>
            <w:tcW w:w="6488" w:type="dxa"/>
          </w:tcPr>
          <w:p w14:paraId="0040648B" w14:textId="77777777" w:rsidR="00BF0919" w:rsidRPr="0022698F" w:rsidRDefault="00BF0919" w:rsidP="007C4D34">
            <w:pPr>
              <w:snapToGrid w:val="0"/>
              <w:rPr>
                <w:rFonts w:ascii="Times New Roman" w:eastAsia="等线" w:hAnsi="Times New Roman" w:cs="Times New Roman"/>
                <w:color w:val="000000"/>
                <w:sz w:val="22"/>
              </w:rPr>
            </w:pPr>
            <w:r>
              <w:rPr>
                <w:rFonts w:ascii="Times New Roman" w:eastAsia="等线" w:hAnsi="Times New Roman" w:cs="Times New Roman"/>
                <w:color w:val="000000"/>
                <w:sz w:val="22"/>
              </w:rPr>
              <w:t>R</w:t>
            </w:r>
            <w:r w:rsidRPr="008F5364">
              <w:rPr>
                <w:rFonts w:ascii="Times New Roman" w:eastAsia="等线" w:hAnsi="Times New Roman" w:cs="Times New Roman"/>
                <w:color w:val="000000"/>
                <w:sz w:val="22"/>
              </w:rPr>
              <w:t>eplacement ratio of OPC by SCMs</w:t>
            </w:r>
          </w:p>
        </w:tc>
      </w:tr>
      <w:tr w:rsidR="00BF0919" w:rsidRPr="003E62CA" w14:paraId="64267698" w14:textId="77777777" w:rsidTr="00AF0F57">
        <w:trPr>
          <w:trHeight w:val="487"/>
        </w:trPr>
        <w:tc>
          <w:tcPr>
            <w:tcW w:w="1688" w:type="dxa"/>
          </w:tcPr>
          <w:p w14:paraId="47068590" w14:textId="77777777" w:rsidR="00BF0919" w:rsidRPr="0022698F" w:rsidRDefault="00BF0919" w:rsidP="007C4D34">
            <w:pPr>
              <w:snapToGrid w:val="0"/>
              <w:jc w:val="center"/>
              <w:rPr>
                <w:rFonts w:ascii="Times New Roman" w:eastAsia="等线" w:hAnsi="Times New Roman" w:cs="Times New Roman"/>
                <w:color w:val="000000"/>
                <w:szCs w:val="21"/>
              </w:rPr>
            </w:pPr>
            <w:r>
              <w:rPr>
                <w:rFonts w:ascii="Times New Roman" w:hAnsi="Times New Roman" w:cs="Times New Roman"/>
                <w:szCs w:val="21"/>
              </w:rPr>
              <w:t>R</w:t>
            </w:r>
            <w:r w:rsidRPr="006D09A4">
              <w:rPr>
                <w:rFonts w:ascii="Times New Roman" w:hAnsi="Times New Roman" w:cs="Times New Roman"/>
                <w:szCs w:val="21"/>
                <w:vertAlign w:val="subscript"/>
              </w:rPr>
              <w:t>EC</w:t>
            </w:r>
          </w:p>
        </w:tc>
        <w:tc>
          <w:tcPr>
            <w:tcW w:w="6488" w:type="dxa"/>
          </w:tcPr>
          <w:p w14:paraId="603ECC0A" w14:textId="77777777" w:rsidR="00BF0919" w:rsidRPr="0022698F" w:rsidRDefault="00BF0919" w:rsidP="007C4D34">
            <w:pPr>
              <w:snapToGrid w:val="0"/>
              <w:rPr>
                <w:rFonts w:ascii="Times New Roman" w:eastAsia="等线" w:hAnsi="Times New Roman" w:cs="Times New Roman"/>
                <w:color w:val="000000"/>
                <w:sz w:val="22"/>
              </w:rPr>
            </w:pPr>
            <w:r w:rsidRPr="008D74E9">
              <w:rPr>
                <w:rFonts w:ascii="Times New Roman" w:eastAsia="等线" w:hAnsi="Times New Roman" w:cs="Times New Roman"/>
                <w:color w:val="000000"/>
                <w:sz w:val="22"/>
              </w:rPr>
              <w:t>EC reduction potential</w:t>
            </w:r>
          </w:p>
        </w:tc>
      </w:tr>
    </w:tbl>
    <w:p w14:paraId="32A092B1" w14:textId="77777777" w:rsidR="00BF0919" w:rsidRPr="004034E8" w:rsidRDefault="00BF0919" w:rsidP="00AF0F57">
      <w:pPr>
        <w:sectPr w:rsidR="00BF0919" w:rsidRPr="004034E8" w:rsidSect="00184E9E">
          <w:pgSz w:w="11906" w:h="16838" w:code="9"/>
          <w:pgMar w:top="1440" w:right="1797" w:bottom="1440" w:left="1797" w:header="851" w:footer="992" w:gutter="0"/>
          <w:lnNumType w:countBy="1" w:restart="continuous"/>
          <w:cols w:space="425"/>
          <w:titlePg/>
          <w:docGrid w:type="lines" w:linePitch="312"/>
        </w:sectPr>
      </w:pPr>
    </w:p>
    <w:p w14:paraId="5528523D" w14:textId="77777777" w:rsidR="00BF0919" w:rsidRDefault="00BF0919">
      <w:pPr>
        <w:pStyle w:val="Heading1"/>
        <w:numPr>
          <w:ilvl w:val="0"/>
          <w:numId w:val="1"/>
        </w:numPr>
      </w:pPr>
      <w:r>
        <w:lastRenderedPageBreak/>
        <w:t>Introduction</w:t>
      </w:r>
    </w:p>
    <w:p w14:paraId="06E7C202" w14:textId="77777777" w:rsidR="00BF0919" w:rsidRDefault="00BF0919">
      <w:pPr>
        <w:rPr>
          <w:rFonts w:ascii="Times New Roman" w:hAnsi="Times New Roman"/>
        </w:rPr>
      </w:pPr>
      <w:r>
        <w:rPr>
          <w:rFonts w:ascii="Times New Roman" w:hAnsi="Times New Roman" w:cs="Times New Roman"/>
        </w:rPr>
        <w:t xml:space="preserve">The Report of the Intergovernmental Panel on Climate Change (IPCC) has confirmed the need to reduce GHG emissions by 45% by 2030 compared to 2010 and achieve a 100% reduction by 2050. International cooperation should be further enhanced to reach such goals </w:t>
      </w:r>
      <w:r>
        <w:rPr>
          <w:rFonts w:ascii="Times New Roman" w:hAnsi="Times New Roman" w:cs="Times New Roman"/>
          <w:noProof/>
        </w:rPr>
        <w:t>(Chen et al., 2020; Xu et al., 2021)</w:t>
      </w:r>
      <w:r>
        <w:rPr>
          <w:rFonts w:ascii="Times New Roman" w:hAnsi="Times New Roman" w:cs="Times New Roman"/>
        </w:rPr>
        <w:t>. Compared with other sectors, the construction industry plays a critical role in response to the climate emergency as it account</w:t>
      </w:r>
      <w:r>
        <w:rPr>
          <w:rFonts w:ascii="Times New Roman" w:hAnsi="Times New Roman" w:cs="Times New Roman" w:hint="eastAsia"/>
        </w:rPr>
        <w:t>s</w:t>
      </w:r>
      <w:r>
        <w:rPr>
          <w:rFonts w:ascii="Times New Roman" w:hAnsi="Times New Roman" w:cs="Times New Roman"/>
        </w:rPr>
        <w:t xml:space="preserve"> for 39% of energy-related emissions globally, especially for China, the largest developing country </w:t>
      </w:r>
      <w:r>
        <w:rPr>
          <w:rFonts w:ascii="Times New Roman" w:hAnsi="Times New Roman" w:cs="Times New Roman"/>
          <w:noProof/>
        </w:rPr>
        <w:t>(Chen et al., 2021; Wu et al., 2019)</w:t>
      </w:r>
      <w:r>
        <w:rPr>
          <w:rFonts w:ascii="Times New Roman" w:hAnsi="Times New Roman" w:cs="Times New Roman"/>
        </w:rPr>
        <w:t>.</w:t>
      </w:r>
      <w:r>
        <w:rPr>
          <w:rFonts w:ascii="Times New Roman" w:hAnsi="Times New Roman" w:hint="eastAsia"/>
        </w:rPr>
        <w:t xml:space="preserve"> </w:t>
      </w:r>
      <w:r>
        <w:rPr>
          <w:rFonts w:ascii="Times New Roman" w:hAnsi="Times New Roman"/>
        </w:rPr>
        <w:t>A</w:t>
      </w:r>
      <w:r>
        <w:rPr>
          <w:rFonts w:ascii="Times New Roman" w:hAnsi="Times New Roman" w:hint="eastAsia"/>
        </w:rPr>
        <w:t xml:space="preserve">s </w:t>
      </w:r>
      <w:r>
        <w:rPr>
          <w:rFonts w:ascii="Times New Roman" w:hAnsi="Times New Roman"/>
        </w:rPr>
        <w:t>the</w:t>
      </w:r>
      <w:r>
        <w:rPr>
          <w:rFonts w:ascii="Times New Roman" w:hAnsi="Times New Roman" w:hint="eastAsia"/>
        </w:rPr>
        <w:t xml:space="preserve"> staple</w:t>
      </w:r>
      <w:r>
        <w:rPr>
          <w:rFonts w:ascii="Times New Roman" w:hAnsi="Times New Roman"/>
        </w:rPr>
        <w:t xml:space="preserve"> of the construction industry</w:t>
      </w:r>
      <w:r>
        <w:rPr>
          <w:rFonts w:ascii="Times New Roman" w:hAnsi="Times New Roman" w:hint="eastAsia"/>
        </w:rPr>
        <w:t>,</w:t>
      </w:r>
      <w:r>
        <w:rPr>
          <w:rFonts w:ascii="Times New Roman" w:hAnsi="Times New Roman"/>
        </w:rPr>
        <w:t xml:space="preserve"> </w:t>
      </w:r>
      <w:r w:rsidRPr="00E409B8">
        <w:rPr>
          <w:rFonts w:ascii="Times New Roman" w:hAnsi="Times New Roman"/>
        </w:rPr>
        <w:t xml:space="preserve">30 billion </w:t>
      </w:r>
      <w:proofErr w:type="spellStart"/>
      <w:r w:rsidRPr="00E409B8">
        <w:rPr>
          <w:rFonts w:ascii="Times New Roman" w:hAnsi="Times New Roman"/>
        </w:rPr>
        <w:t>tonnes</w:t>
      </w:r>
      <w:proofErr w:type="spellEnd"/>
      <w:r w:rsidRPr="00E409B8">
        <w:rPr>
          <w:rFonts w:ascii="Times New Roman" w:hAnsi="Times New Roman"/>
        </w:rPr>
        <w:t xml:space="preserve"> of concrete </w:t>
      </w:r>
      <w:r>
        <w:rPr>
          <w:rFonts w:ascii="Times New Roman" w:hAnsi="Times New Roman"/>
        </w:rPr>
        <w:t>are utilized annually worldwide and the concrete consumption is rising</w:t>
      </w:r>
      <w:r w:rsidRPr="00A311B0">
        <w:rPr>
          <w:rFonts w:ascii="Times New Roman" w:hAnsi="Times New Roman"/>
        </w:rPr>
        <w:t xml:space="preserve"> </w:t>
      </w:r>
      <w:r>
        <w:rPr>
          <w:rFonts w:ascii="Times New Roman" w:hAnsi="Times New Roman"/>
        </w:rPr>
        <w:t xml:space="preserve">even more rapidly than that of steel or wood </w:t>
      </w:r>
      <w:r>
        <w:rPr>
          <w:rFonts w:ascii="Times New Roman" w:hAnsi="Times New Roman"/>
          <w:noProof/>
        </w:rPr>
        <w:t>(Monteiro et al., 2017)</w:t>
      </w:r>
      <w:r>
        <w:rPr>
          <w:rFonts w:ascii="Times New Roman" w:hAnsi="Times New Roman" w:hint="eastAsia"/>
        </w:rPr>
        <w:t>.</w:t>
      </w:r>
      <w:r>
        <w:rPr>
          <w:rFonts w:ascii="Times New Roman" w:hAnsi="Times New Roman"/>
        </w:rPr>
        <w:t xml:space="preserve"> In addition, the concrete possesses a </w:t>
      </w:r>
      <w:r w:rsidRPr="00A311B0">
        <w:rPr>
          <w:rFonts w:ascii="Times New Roman" w:hAnsi="Times New Roman"/>
        </w:rPr>
        <w:t xml:space="preserve">colossal </w:t>
      </w:r>
      <w:r>
        <w:rPr>
          <w:rFonts w:ascii="Times New Roman" w:hAnsi="Times New Roman"/>
        </w:rPr>
        <w:t>carbon footprint amongst all construction materials as at least 8% of global carbon emissions solely</w:t>
      </w:r>
      <w:r w:rsidRPr="005861F1">
        <w:rPr>
          <w:rFonts w:ascii="Times New Roman" w:hAnsi="Times New Roman"/>
        </w:rPr>
        <w:t xml:space="preserve"> come from</w:t>
      </w:r>
      <w:r>
        <w:rPr>
          <w:rFonts w:ascii="Times New Roman" w:hAnsi="Times New Roman"/>
        </w:rPr>
        <w:t xml:space="preserve"> </w:t>
      </w:r>
      <w:r w:rsidRPr="005861F1">
        <w:rPr>
          <w:rFonts w:ascii="Times New Roman" w:hAnsi="Times New Roman"/>
        </w:rPr>
        <w:t>the cement</w:t>
      </w:r>
      <w:r>
        <w:rPr>
          <w:rFonts w:ascii="Times New Roman" w:hAnsi="Times New Roman"/>
        </w:rPr>
        <w:t xml:space="preserve"> for concrete</w:t>
      </w:r>
      <w:r w:rsidRPr="005861F1">
        <w:rPr>
          <w:rFonts w:ascii="Times New Roman" w:hAnsi="Times New Roman"/>
        </w:rPr>
        <w:t xml:space="preserve"> </w:t>
      </w:r>
      <w:r>
        <w:rPr>
          <w:rFonts w:ascii="Times New Roman" w:hAnsi="Times New Roman"/>
        </w:rPr>
        <w:t xml:space="preserve">production </w:t>
      </w:r>
      <w:r>
        <w:rPr>
          <w:rFonts w:ascii="Times New Roman" w:hAnsi="Times New Roman"/>
          <w:noProof/>
        </w:rPr>
        <w:t>(Ellis et al., 2020)</w:t>
      </w:r>
      <w:r>
        <w:rPr>
          <w:rFonts w:ascii="Times New Roman" w:hAnsi="Times New Roman"/>
        </w:rPr>
        <w:t>.</w:t>
      </w:r>
      <w:r>
        <w:rPr>
          <w:rFonts w:ascii="Times New Roman" w:hAnsi="Times New Roman" w:hint="eastAsia"/>
        </w:rPr>
        <w:t xml:space="preserve"> </w:t>
      </w:r>
    </w:p>
    <w:p w14:paraId="040A8406" w14:textId="77777777" w:rsidR="00BF0919" w:rsidRDefault="00BF0919">
      <w:pPr>
        <w:rPr>
          <w:rFonts w:ascii="Times New Roman" w:hAnsi="Times New Roman"/>
        </w:rPr>
      </w:pPr>
    </w:p>
    <w:p w14:paraId="22777D9F" w14:textId="77777777" w:rsidR="00BF0919" w:rsidRDefault="00BF0919">
      <w:pPr>
        <w:rPr>
          <w:rFonts w:ascii="Times New Roman" w:hAnsi="Times New Roman"/>
        </w:rPr>
      </w:pPr>
      <w:r>
        <w:rPr>
          <w:rFonts w:ascii="Times New Roman" w:hAnsi="Times New Roman"/>
        </w:rPr>
        <w:t xml:space="preserve">The two types of carbon emissions generated during construction are embodied carbon (EC), which is generated from upstream material production, transportation, and construction, as well as downstream maintenance and demolition, and operational carbon (OC), i.e., the carbon induced by energy consumption during the operation stage </w:t>
      </w:r>
      <w:r>
        <w:rPr>
          <w:rFonts w:ascii="Times New Roman" w:hAnsi="Times New Roman"/>
          <w:noProof/>
        </w:rPr>
        <w:t>(Ibn-Mohammed et al., 2013)</w:t>
      </w:r>
      <w:r>
        <w:rPr>
          <w:rFonts w:ascii="Times New Roman" w:hAnsi="Times New Roman"/>
        </w:rPr>
        <w:t>. Despite the fact that OC is currently the primary sector in buildings’ life cycle carbon emissions (</w:t>
      </w:r>
      <w:proofErr w:type="spellStart"/>
      <w:r>
        <w:rPr>
          <w:rFonts w:ascii="Times New Roman" w:hAnsi="Times New Roman"/>
        </w:rPr>
        <w:t>LCCa</w:t>
      </w:r>
      <w:proofErr w:type="spellEnd"/>
      <w:r>
        <w:rPr>
          <w:rFonts w:ascii="Times New Roman" w:hAnsi="Times New Roman"/>
        </w:rPr>
        <w:t xml:space="preserve">) due to their long serving periods, the EC accounts for a </w:t>
      </w:r>
      <w:r w:rsidRPr="00587472">
        <w:rPr>
          <w:rFonts w:ascii="Times New Roman" w:hAnsi="Times New Roman"/>
        </w:rPr>
        <w:t xml:space="preserve">steeply </w:t>
      </w:r>
      <w:r>
        <w:rPr>
          <w:rFonts w:ascii="Times New Roman" w:hAnsi="Times New Roman"/>
        </w:rPr>
        <w:t xml:space="preserve">increasing proportion of the overall building’s </w:t>
      </w:r>
      <w:proofErr w:type="spellStart"/>
      <w:r>
        <w:rPr>
          <w:rFonts w:ascii="Times New Roman" w:hAnsi="Times New Roman"/>
        </w:rPr>
        <w:t>LCCa</w:t>
      </w:r>
      <w:proofErr w:type="spellEnd"/>
      <w:r>
        <w:rPr>
          <w:rFonts w:ascii="Times New Roman" w:hAnsi="Times New Roman"/>
        </w:rPr>
        <w:t xml:space="preserve"> </w:t>
      </w:r>
      <w:r>
        <w:rPr>
          <w:rFonts w:ascii="Times New Roman" w:hAnsi="Times New Roman"/>
          <w:noProof/>
        </w:rPr>
        <w:t>(Akbarnezhad &amp; Xiao, 2017; Hammond et al., 2011; Pan &amp; Teng, 2021)</w:t>
      </w:r>
      <w:r>
        <w:rPr>
          <w:rFonts w:ascii="Times New Roman" w:hAnsi="Times New Roman"/>
        </w:rPr>
        <w:t xml:space="preserve">. It is expected that EC would account for 50% of new construction projects’ overall </w:t>
      </w:r>
      <w:proofErr w:type="spellStart"/>
      <w:r>
        <w:rPr>
          <w:rFonts w:ascii="Times New Roman" w:hAnsi="Times New Roman"/>
        </w:rPr>
        <w:t>LCCa</w:t>
      </w:r>
      <w:proofErr w:type="spellEnd"/>
      <w:r>
        <w:rPr>
          <w:rFonts w:ascii="Times New Roman" w:hAnsi="Times New Roman"/>
        </w:rPr>
        <w:t xml:space="preserve"> by 2050 </w:t>
      </w:r>
      <w:r>
        <w:rPr>
          <w:rFonts w:ascii="Times New Roman" w:hAnsi="Times New Roman"/>
          <w:noProof/>
        </w:rPr>
        <w:t>(Pan et al., 2017; UNFCCC, 2015)</w:t>
      </w:r>
      <w:r>
        <w:rPr>
          <w:rFonts w:ascii="Times New Roman" w:hAnsi="Times New Roman"/>
        </w:rPr>
        <w:t xml:space="preserve">. On the other hand, EC is emitted within a shorter period, leading to more intensive annual impacts than OC </w:t>
      </w:r>
      <w:r>
        <w:rPr>
          <w:rFonts w:ascii="Times New Roman" w:hAnsi="Times New Roman"/>
          <w:noProof/>
        </w:rPr>
        <w:t>(Sandanayake et al., 2017)</w:t>
      </w:r>
      <w:r>
        <w:rPr>
          <w:rFonts w:ascii="Times New Roman" w:hAnsi="Times New Roman"/>
        </w:rPr>
        <w:t xml:space="preserve">. Given the increasing demand of concrete and its colossal carbon footprint, the calculations and reduction of EC induced by concretes’ production and utilization are creating significant concerns in the pursuit of a greener construction industry. </w:t>
      </w:r>
    </w:p>
    <w:p w14:paraId="5D1B1361" w14:textId="77777777" w:rsidR="00BF0919" w:rsidRDefault="00BF0919">
      <w:pPr>
        <w:rPr>
          <w:rFonts w:ascii="Times New Roman" w:hAnsi="Times New Roman"/>
        </w:rPr>
      </w:pPr>
    </w:p>
    <w:p w14:paraId="72C3492D" w14:textId="77777777" w:rsidR="00BF0919" w:rsidRDefault="00BF0919">
      <w:pPr>
        <w:rPr>
          <w:rFonts w:ascii="Times New Roman" w:hAnsi="Times New Roman"/>
        </w:rPr>
      </w:pPr>
      <w:r>
        <w:rPr>
          <w:rFonts w:ascii="Times New Roman" w:hAnsi="Times New Roman"/>
        </w:rPr>
        <w:t xml:space="preserve">The selection of concrete materials has a considerable impact on the overall EC </w:t>
      </w:r>
      <w:r>
        <w:rPr>
          <w:rFonts w:ascii="Times New Roman" w:hAnsi="Times New Roman"/>
          <w:noProof/>
        </w:rPr>
        <w:t>(Cabeza et al., 2021; Venkatarama Reddy, 2009)</w:t>
      </w:r>
      <w:r>
        <w:rPr>
          <w:rFonts w:ascii="Times New Roman" w:hAnsi="Times New Roman"/>
        </w:rPr>
        <w:t xml:space="preserve">. Previous studies have investigated the classifications, production, mechanical performances, composition, and also the sustainability of low carbon concrete materials - LCCMs </w:t>
      </w:r>
      <w:r>
        <w:rPr>
          <w:rFonts w:ascii="Times New Roman" w:hAnsi="Times New Roman"/>
          <w:noProof/>
        </w:rPr>
        <w:t>(Akbarnezhad &amp; Xiao, 2017; Cabeza et al., 2013; Orsini &amp; Marrone, 2019)</w:t>
      </w:r>
      <w:r>
        <w:rPr>
          <w:rFonts w:ascii="Times New Roman" w:hAnsi="Times New Roman"/>
        </w:rPr>
        <w:t>. F</w:t>
      </w:r>
      <w:r>
        <w:rPr>
          <w:rFonts w:ascii="Times New Roman" w:hAnsi="Times New Roman" w:hint="eastAsia"/>
        </w:rPr>
        <w:t>or</w:t>
      </w:r>
      <w:r>
        <w:rPr>
          <w:rFonts w:ascii="Times New Roman" w:hAnsi="Times New Roman"/>
        </w:rPr>
        <w:t xml:space="preserve"> example, </w:t>
      </w:r>
      <w:r>
        <w:rPr>
          <w:rFonts w:ascii="Times New Roman" w:hAnsi="Times New Roman"/>
          <w:noProof/>
        </w:rPr>
        <w:t>Orsini and Marrone (2019)</w:t>
      </w:r>
      <w:r>
        <w:rPr>
          <w:rFonts w:ascii="Times New Roman" w:hAnsi="Times New Roman"/>
        </w:rPr>
        <w:t xml:space="preserve"> concluded eight approaches for reducing greenhouse gasses emissions (GHG). However, they did not specify the calculation level of the GHG reduction potentials of each approach. Neither inter-approach comparisons were made. </w:t>
      </w:r>
      <w:r>
        <w:rPr>
          <w:rFonts w:ascii="Times New Roman" w:hAnsi="Times New Roman"/>
          <w:noProof/>
        </w:rPr>
        <w:t>Akbarnezhad and Xiao (2017)</w:t>
      </w:r>
      <w:r>
        <w:rPr>
          <w:rFonts w:ascii="Times New Roman" w:hAnsi="Times New Roman"/>
        </w:rPr>
        <w:t xml:space="preserve"> divided identified e</w:t>
      </w:r>
      <w:r w:rsidRPr="00E06F4C">
        <w:rPr>
          <w:rFonts w:ascii="Times New Roman" w:hAnsi="Times New Roman"/>
        </w:rPr>
        <w:t xml:space="preserve">mbodied </w:t>
      </w:r>
      <w:r>
        <w:rPr>
          <w:rFonts w:ascii="Times New Roman" w:hAnsi="Times New Roman"/>
        </w:rPr>
        <w:t>c</w:t>
      </w:r>
      <w:r w:rsidRPr="00E06F4C">
        <w:rPr>
          <w:rFonts w:ascii="Times New Roman" w:hAnsi="Times New Roman"/>
        </w:rPr>
        <w:t xml:space="preserve">arbon </w:t>
      </w:r>
      <w:r>
        <w:rPr>
          <w:rFonts w:ascii="Times New Roman" w:hAnsi="Times New Roman"/>
        </w:rPr>
        <w:t>r</w:t>
      </w:r>
      <w:r w:rsidRPr="00E06F4C">
        <w:rPr>
          <w:rFonts w:ascii="Times New Roman" w:hAnsi="Times New Roman"/>
        </w:rPr>
        <w:t xml:space="preserve">eduction </w:t>
      </w:r>
      <w:r>
        <w:rPr>
          <w:rFonts w:ascii="Times New Roman" w:hAnsi="Times New Roman"/>
        </w:rPr>
        <w:t>s</w:t>
      </w:r>
      <w:r w:rsidRPr="00E06F4C">
        <w:rPr>
          <w:rFonts w:ascii="Times New Roman" w:hAnsi="Times New Roman"/>
        </w:rPr>
        <w:t>trategies</w:t>
      </w:r>
      <w:r>
        <w:rPr>
          <w:rFonts w:ascii="Times New Roman" w:hAnsi="Times New Roman"/>
        </w:rPr>
        <w:t xml:space="preserve"> into six categories and reported some of the carbon reduction potentials from literatures. However, these reduction potentials could not be compared effectively as they were measured in different units. </w:t>
      </w:r>
      <w:r>
        <w:rPr>
          <w:rFonts w:ascii="Times New Roman" w:hAnsi="Times New Roman"/>
          <w:noProof/>
        </w:rPr>
        <w:t>Cabeza et al. (2013)</w:t>
      </w:r>
      <w:r>
        <w:rPr>
          <w:rFonts w:ascii="Times New Roman" w:hAnsi="Times New Roman"/>
        </w:rPr>
        <w:t xml:space="preserve"> summarized recent progress in reducing carbon emission of common construction materials. Nevertheless, they did not categorize the identified materials, nor compare the carbon reduction potential between materials. Therefore, there is still a lack of systematic investigation into the EC reduction potential of different types of LCCMs. In addition, </w:t>
      </w:r>
      <w:r>
        <w:rPr>
          <w:rFonts w:ascii="Times New Roman" w:hAnsi="Times New Roman" w:hint="eastAsia"/>
        </w:rPr>
        <w:t>the</w:t>
      </w:r>
      <w:r>
        <w:rPr>
          <w:rFonts w:ascii="Times New Roman" w:hAnsi="Times New Roman"/>
        </w:rPr>
        <w:t xml:space="preserve"> carbon reduction potentials of the different LCCMs were usually calculated at different scales (e.g.,</w:t>
      </w:r>
      <w:r w:rsidRPr="00075F03">
        <w:rPr>
          <w:rFonts w:ascii="Times New Roman" w:hAnsi="Times New Roman"/>
        </w:rPr>
        <w:t xml:space="preserve"> </w:t>
      </w:r>
      <w:r>
        <w:rPr>
          <w:rFonts w:ascii="Times New Roman" w:hAnsi="Times New Roman"/>
        </w:rPr>
        <w:t xml:space="preserve">specific amounts or proportions) in different studies. </w:t>
      </w:r>
    </w:p>
    <w:p w14:paraId="48DB347D" w14:textId="77777777" w:rsidR="00BF0919" w:rsidRDefault="00BF0919">
      <w:pPr>
        <w:rPr>
          <w:rFonts w:ascii="Times New Roman" w:hAnsi="Times New Roman"/>
        </w:rPr>
      </w:pPr>
    </w:p>
    <w:p w14:paraId="1C79840B" w14:textId="58D129C4" w:rsidR="00BF0919" w:rsidRDefault="00BF0919">
      <w:pPr>
        <w:rPr>
          <w:rFonts w:ascii="Times New Roman" w:hAnsi="Times New Roman"/>
        </w:rPr>
      </w:pPr>
      <w:r>
        <w:rPr>
          <w:rFonts w:ascii="Times New Roman" w:hAnsi="Times New Roman"/>
        </w:rPr>
        <w:t xml:space="preserve">This paper aims to achieve a better understanding of LCCMs’ EC reduction potentials through a </w:t>
      </w:r>
      <w:r>
        <w:rPr>
          <w:rFonts w:ascii="Times New Roman" w:hAnsi="Times New Roman"/>
        </w:rPr>
        <w:lastRenderedPageBreak/>
        <w:t>systematic literature review and in-depth analyses. T</w:t>
      </w:r>
      <w:r w:rsidRPr="001A3E3C">
        <w:rPr>
          <w:rFonts w:ascii="Times New Roman" w:hAnsi="Times New Roman"/>
        </w:rPr>
        <w:t xml:space="preserve">he system boundary theory </w:t>
      </w:r>
      <w:r>
        <w:rPr>
          <w:rFonts w:ascii="Times New Roman" w:hAnsi="Times New Roman"/>
        </w:rPr>
        <w:t>is</w:t>
      </w:r>
      <w:r w:rsidRPr="001A3E3C">
        <w:rPr>
          <w:rFonts w:ascii="Times New Roman" w:hAnsi="Times New Roman"/>
        </w:rPr>
        <w:t xml:space="preserve"> </w:t>
      </w:r>
      <w:r>
        <w:rPr>
          <w:rFonts w:ascii="Times New Roman" w:hAnsi="Times New Roman"/>
        </w:rPr>
        <w:t>adopted</w:t>
      </w:r>
      <w:r w:rsidRPr="002F334B">
        <w:rPr>
          <w:rFonts w:ascii="Times New Roman" w:hAnsi="Times New Roman"/>
        </w:rPr>
        <w:t xml:space="preserve"> </w:t>
      </w:r>
      <w:r>
        <w:rPr>
          <w:rFonts w:ascii="Times New Roman" w:hAnsi="Times New Roman"/>
        </w:rPr>
        <w:t>t</w:t>
      </w:r>
      <w:r w:rsidRPr="001A3E3C">
        <w:rPr>
          <w:rFonts w:ascii="Times New Roman" w:hAnsi="Times New Roman"/>
        </w:rPr>
        <w:t xml:space="preserve">o guide the </w:t>
      </w:r>
      <w:r>
        <w:rPr>
          <w:rFonts w:ascii="Times New Roman" w:hAnsi="Times New Roman"/>
        </w:rPr>
        <w:t xml:space="preserve">theoretical examination of the review process </w:t>
      </w:r>
      <w:r>
        <w:rPr>
          <w:rFonts w:ascii="Times New Roman" w:hAnsi="Times New Roman"/>
          <w:noProof/>
        </w:rPr>
        <w:t>(Pan et al., 2018; Pan &amp; Teng, 2021; Teng et al., 2018)</w:t>
      </w:r>
      <w:r>
        <w:rPr>
          <w:rFonts w:ascii="Times New Roman" w:hAnsi="Times New Roman"/>
        </w:rPr>
        <w:t>. The EC reduction potentials of different LCCMs are collected and adjusted into percentage proportions to achieve a more reliable and valid comparison. The EC reduction potentials are further divided and compared in two different levels according to their geographic scopes, namely, the</w:t>
      </w:r>
      <w:r>
        <w:rPr>
          <w:rFonts w:ascii="Times New Roman" w:hAnsi="Times New Roman" w:cs="Times New Roman"/>
        </w:rPr>
        <w:t xml:space="preserve"> cement &amp; concrete (C&amp;C) level and the components &amp; building (C&amp;B) level.</w:t>
      </w:r>
      <w:r w:rsidDel="005329B2">
        <w:rPr>
          <w:rFonts w:ascii="Times New Roman" w:hAnsi="Times New Roman"/>
        </w:rPr>
        <w:t xml:space="preserve"> </w:t>
      </w:r>
      <w:r>
        <w:rPr>
          <w:rFonts w:ascii="Times New Roman" w:hAnsi="Times New Roman" w:hint="eastAsia"/>
        </w:rPr>
        <w:t>T</w:t>
      </w:r>
      <w:r>
        <w:rPr>
          <w:rFonts w:ascii="Times New Roman" w:hAnsi="Times New Roman"/>
        </w:rPr>
        <w:t>o fulfill these objectives, this paper first explores the latest</w:t>
      </w:r>
      <w:r>
        <w:rPr>
          <w:rFonts w:ascii="Times New Roman" w:hAnsi="Times New Roman" w:hint="eastAsia"/>
        </w:rPr>
        <w:t xml:space="preserve"> </w:t>
      </w:r>
      <w:r>
        <w:rPr>
          <w:rFonts w:ascii="Times New Roman" w:hAnsi="Times New Roman"/>
        </w:rPr>
        <w:t xml:space="preserve">scientific papers on LCCMs. Section 2 presents the methodology for the review. Section 3 reports the in-depth content analysis, as well as the results of the review. Section 4 discusses the findings and identified </w:t>
      </w:r>
      <w:r>
        <w:rPr>
          <w:rFonts w:ascii="Times New Roman" w:hAnsi="Times New Roman" w:cs="Times New Roman"/>
        </w:rPr>
        <w:t>research gaps</w:t>
      </w:r>
      <w:r>
        <w:rPr>
          <w:rFonts w:ascii="Times New Roman" w:hAnsi="Times New Roman"/>
        </w:rPr>
        <w:t xml:space="preserve">. Lastly, Section 5 draws the conclusions. </w:t>
      </w:r>
      <w:r>
        <w:rPr>
          <w:rFonts w:ascii="Times New Roman" w:hAnsi="Times New Roman"/>
        </w:rPr>
        <w:tab/>
        <w:t xml:space="preserve"> </w:t>
      </w:r>
    </w:p>
    <w:p w14:paraId="7CCB4B4C" w14:textId="77777777" w:rsidR="00BF0919" w:rsidRDefault="00BF0919">
      <w:pPr>
        <w:ind w:firstLineChars="100" w:firstLine="210"/>
        <w:rPr>
          <w:rFonts w:ascii="Times New Roman" w:hAnsi="Times New Roman"/>
        </w:rPr>
      </w:pPr>
    </w:p>
    <w:p w14:paraId="1E149062" w14:textId="77777777" w:rsidR="00BF0919" w:rsidRDefault="00BF0919">
      <w:pPr>
        <w:pStyle w:val="Heading1"/>
        <w:numPr>
          <w:ilvl w:val="0"/>
          <w:numId w:val="1"/>
        </w:numPr>
      </w:pPr>
      <w:bookmarkStart w:id="0" w:name="OLE_LINK1"/>
      <w:r>
        <w:t>Method</w:t>
      </w:r>
      <w:r>
        <w:rPr>
          <w:rFonts w:hint="eastAsia"/>
        </w:rPr>
        <w:t>ology</w:t>
      </w:r>
    </w:p>
    <w:p w14:paraId="15F3B720" w14:textId="77777777" w:rsidR="00BF0919" w:rsidRDefault="00BF0919" w:rsidP="00D5302F">
      <w:pPr>
        <w:pStyle w:val="Heading2"/>
        <w:numPr>
          <w:ilvl w:val="1"/>
          <w:numId w:val="17"/>
        </w:numPr>
      </w:pPr>
      <w:r>
        <w:t xml:space="preserve"> Literature searching and filtering procedures</w:t>
      </w:r>
    </w:p>
    <w:p w14:paraId="41C510F4" w14:textId="77777777" w:rsidR="00BF0919" w:rsidRDefault="00BF0919">
      <w:pPr>
        <w:rPr>
          <w:rFonts w:ascii="Times New Roman" w:hAnsi="Times New Roman" w:cs="Times New Roman"/>
          <w:szCs w:val="21"/>
        </w:rPr>
      </w:pPr>
      <w:r>
        <w:rPr>
          <w:rFonts w:ascii="Times New Roman" w:hAnsi="Times New Roman" w:cs="Times New Roman"/>
          <w:szCs w:val="21"/>
        </w:rPr>
        <w:t xml:space="preserve">This paper adopts a rigorous literature searching and filtering method (see Fig.1) to ensure the effectiveness and efficiency of collecting information from relevant research. </w:t>
      </w:r>
    </w:p>
    <w:p w14:paraId="402841AC" w14:textId="77777777" w:rsidR="00BF0919" w:rsidRDefault="00BF0919">
      <w:pPr>
        <w:rPr>
          <w:rFonts w:ascii="Times New Roman" w:hAnsi="Times New Roman" w:cs="Times New Roman"/>
          <w:szCs w:val="21"/>
        </w:rPr>
      </w:pPr>
    </w:p>
    <w:p w14:paraId="636C45F0" w14:textId="77777777" w:rsidR="00BF0919" w:rsidRDefault="00BF0919">
      <w:pPr>
        <w:rPr>
          <w:rFonts w:ascii="Times New Roman" w:hAnsi="Times New Roman" w:cs="Times New Roman"/>
          <w:szCs w:val="21"/>
        </w:rPr>
      </w:pPr>
      <w:r>
        <w:rPr>
          <w:rFonts w:ascii="Times New Roman" w:hAnsi="Times New Roman" w:cs="Times New Roman"/>
          <w:szCs w:val="21"/>
        </w:rPr>
        <w:t>The “W</w:t>
      </w:r>
      <w:r>
        <w:rPr>
          <w:rFonts w:ascii="Times New Roman" w:hAnsi="Times New Roman" w:cs="Times New Roman" w:hint="eastAsia"/>
          <w:szCs w:val="21"/>
        </w:rPr>
        <w:t>eb</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S</w:t>
      </w:r>
      <w:r>
        <w:rPr>
          <w:rFonts w:ascii="Times New Roman" w:hAnsi="Times New Roman" w:cs="Times New Roman" w:hint="eastAsia"/>
          <w:szCs w:val="21"/>
        </w:rPr>
        <w:t>cience</w:t>
      </w:r>
      <w:r>
        <w:rPr>
          <w:rFonts w:ascii="Times New Roman" w:hAnsi="Times New Roman" w:cs="Times New Roman"/>
          <w:szCs w:val="21"/>
        </w:rPr>
        <w:t>” and “S</w:t>
      </w:r>
      <w:r>
        <w:rPr>
          <w:rFonts w:ascii="Times New Roman" w:hAnsi="Times New Roman" w:cs="Times New Roman" w:hint="eastAsia"/>
          <w:szCs w:val="21"/>
        </w:rPr>
        <w:t>copus</w:t>
      </w:r>
      <w:r>
        <w:rPr>
          <w:rFonts w:ascii="Times New Roman" w:hAnsi="Times New Roman" w:cs="Times New Roman"/>
          <w:szCs w:val="21"/>
        </w:rPr>
        <w:t xml:space="preserve">” are utilized as the searching databases in this review. The searching domain is determined as “construction,” “concrete,” “carbon,” and “reduction” within the </w:t>
      </w:r>
    </w:p>
    <w:p w14:paraId="4BC3FBF4" w14:textId="77777777" w:rsidR="00BF0919" w:rsidRDefault="00BF0919">
      <w:pPr>
        <w:rPr>
          <w:rFonts w:ascii="Times New Roman" w:hAnsi="Times New Roman" w:cs="Times New Roman"/>
          <w:szCs w:val="21"/>
        </w:rPr>
      </w:pPr>
      <w:r>
        <w:rPr>
          <w:rFonts w:ascii="Times New Roman" w:hAnsi="Times New Roman" w:cs="Times New Roman"/>
          <w:szCs w:val="21"/>
        </w:rPr>
        <w:t xml:space="preserve">  “</w:t>
      </w:r>
      <w:proofErr w:type="gramStart"/>
      <w:r>
        <w:rPr>
          <w:rFonts w:ascii="Times New Roman" w:hAnsi="Times New Roman" w:cs="Times New Roman"/>
          <w:szCs w:val="21"/>
        </w:rPr>
        <w:t>title</w:t>
      </w:r>
      <w:proofErr w:type="gramEnd"/>
      <w:r>
        <w:rPr>
          <w:rFonts w:ascii="Times New Roman" w:hAnsi="Times New Roman" w:cs="Times New Roman"/>
          <w:szCs w:val="21"/>
        </w:rPr>
        <w:t xml:space="preserve">,” “abstract,” and “keywords” in “Scopes” and within the “All fields” in “Web of Science.” The categories are set as “engineering </w:t>
      </w:r>
      <w:r>
        <w:rPr>
          <w:rFonts w:ascii="Times New Roman" w:hAnsi="Times New Roman" w:cs="Times New Roman" w:hint="eastAsia"/>
          <w:szCs w:val="21"/>
        </w:rPr>
        <w:t>c</w:t>
      </w:r>
      <w:r>
        <w:rPr>
          <w:rFonts w:ascii="Times New Roman" w:hAnsi="Times New Roman" w:cs="Times New Roman"/>
          <w:szCs w:val="21"/>
        </w:rPr>
        <w:t>ivil”, “environmental science,” and “engineering environmental” in “W</w:t>
      </w:r>
      <w:r>
        <w:rPr>
          <w:rFonts w:ascii="Times New Roman" w:hAnsi="Times New Roman" w:cs="Times New Roman" w:hint="eastAsia"/>
          <w:szCs w:val="21"/>
        </w:rPr>
        <w:t>eb</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S</w:t>
      </w:r>
      <w:r>
        <w:rPr>
          <w:rFonts w:ascii="Times New Roman" w:hAnsi="Times New Roman" w:cs="Times New Roman" w:hint="eastAsia"/>
          <w:szCs w:val="21"/>
        </w:rPr>
        <w:t>cience</w:t>
      </w:r>
      <w:r>
        <w:rPr>
          <w:rFonts w:ascii="Times New Roman" w:hAnsi="Times New Roman" w:cs="Times New Roman"/>
          <w:szCs w:val="21"/>
        </w:rPr>
        <w:t>,” and “environmental science” and “engineering” in “Scopus” between 2001 and 2022. Then, a three-step filtering procedure is implemented to identify the most relevant articles. First, the titles and abstracts of these articles are reviewed and 50 and 55 papers from the “W</w:t>
      </w:r>
      <w:r>
        <w:rPr>
          <w:rFonts w:ascii="Times New Roman" w:hAnsi="Times New Roman" w:cs="Times New Roman" w:hint="eastAsia"/>
          <w:szCs w:val="21"/>
        </w:rPr>
        <w:t>eb</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S</w:t>
      </w:r>
      <w:r>
        <w:rPr>
          <w:rFonts w:ascii="Times New Roman" w:hAnsi="Times New Roman" w:cs="Times New Roman" w:hint="eastAsia"/>
          <w:szCs w:val="21"/>
        </w:rPr>
        <w:t>cience</w:t>
      </w:r>
      <w:r>
        <w:rPr>
          <w:rFonts w:ascii="Times New Roman" w:hAnsi="Times New Roman" w:cs="Times New Roman"/>
          <w:szCs w:val="21"/>
        </w:rPr>
        <w:t>” and “S</w:t>
      </w:r>
      <w:r>
        <w:rPr>
          <w:rFonts w:ascii="Times New Roman" w:hAnsi="Times New Roman" w:cs="Times New Roman" w:hint="eastAsia"/>
          <w:szCs w:val="21"/>
        </w:rPr>
        <w:t>copus</w:t>
      </w:r>
      <w:r>
        <w:rPr>
          <w:rFonts w:ascii="Times New Roman" w:hAnsi="Times New Roman" w:cs="Times New Roman"/>
          <w:szCs w:val="21"/>
        </w:rPr>
        <w:t xml:space="preserve">” databases are sorted out, respectively. Second, the duplicates are removed, rendering the 92 papers remained. Third, after reading their contents carefully, the papers under the following conditions are selected: 1) low carbon materials are examined; 2) specific EC reduction proportion compared with </w:t>
      </w:r>
      <w:r w:rsidRPr="00003E9F">
        <w:rPr>
          <w:rFonts w:ascii="Times New Roman" w:hAnsi="Times New Roman" w:cs="Times New Roman"/>
          <w:szCs w:val="21"/>
        </w:rPr>
        <w:t xml:space="preserve">a comparable control group </w:t>
      </w:r>
      <w:r>
        <w:rPr>
          <w:rFonts w:ascii="Times New Roman" w:hAnsi="Times New Roman" w:cs="Times New Roman"/>
          <w:szCs w:val="21"/>
        </w:rPr>
        <w:t>(e.g., ordinary Portland cement or concrete) are provided; 3) detailed calculation process and basis are presented.</w:t>
      </w:r>
      <w:r w:rsidRPr="00FD2DF1">
        <w:rPr>
          <w:rFonts w:ascii="Times New Roman" w:hAnsi="Times New Roman" w:cs="Times New Roman"/>
          <w:szCs w:val="21"/>
        </w:rPr>
        <w:t xml:space="preserve"> </w:t>
      </w:r>
      <w:r>
        <w:rPr>
          <w:rFonts w:ascii="Times New Roman" w:hAnsi="Times New Roman" w:cs="Times New Roman"/>
          <w:szCs w:val="21"/>
        </w:rPr>
        <w:t>Consequently, a total of 26 papers are sorted out.</w:t>
      </w:r>
    </w:p>
    <w:p w14:paraId="38A58B78" w14:textId="77777777" w:rsidR="00BF0919" w:rsidRDefault="00BF0919">
      <w:pPr>
        <w:rPr>
          <w:rFonts w:ascii="Times New Roman" w:hAnsi="Times New Roman" w:cs="Times New Roman"/>
          <w:szCs w:val="21"/>
        </w:rPr>
      </w:pPr>
    </w:p>
    <w:p w14:paraId="41E44D8A" w14:textId="77777777" w:rsidR="00BF0919" w:rsidRDefault="00BF0919">
      <w:pPr>
        <w:rPr>
          <w:rFonts w:ascii="Times New Roman" w:hAnsi="Times New Roman" w:cs="Times New Roman"/>
          <w:szCs w:val="21"/>
        </w:rPr>
      </w:pPr>
      <w:r>
        <w:rPr>
          <w:rFonts w:ascii="Times New Roman" w:hAnsi="Times New Roman" w:cs="Times New Roman"/>
          <w:szCs w:val="21"/>
        </w:rPr>
        <w:t>Another four rounds of keywords are filtered out based on their occurrences in the 92 papers remained, and the three-step filtering procedure is conducted using the same refining conditions in the preliminary round. The “round filtering” uses keywords including “s</w:t>
      </w:r>
      <w:r w:rsidRPr="00BC32B6">
        <w:rPr>
          <w:rFonts w:ascii="Times New Roman" w:hAnsi="Times New Roman" w:cs="Times New Roman"/>
          <w:szCs w:val="21"/>
        </w:rPr>
        <w:t>upplementary cementitious materials</w:t>
      </w:r>
      <w:r>
        <w:rPr>
          <w:rFonts w:ascii="Times New Roman" w:hAnsi="Times New Roman" w:cs="Times New Roman"/>
          <w:szCs w:val="21"/>
        </w:rPr>
        <w:t xml:space="preserve">,” </w:t>
      </w:r>
      <w:r w:rsidRPr="00BC32B6">
        <w:rPr>
          <w:rFonts w:ascii="Times New Roman" w:hAnsi="Times New Roman" w:cs="Times New Roman"/>
          <w:szCs w:val="21"/>
        </w:rPr>
        <w:t>or</w:t>
      </w:r>
      <w:r>
        <w:rPr>
          <w:rFonts w:ascii="Times New Roman" w:hAnsi="Times New Roman" w:cs="Times New Roman"/>
          <w:szCs w:val="21"/>
        </w:rPr>
        <w:t xml:space="preserve"> “f</w:t>
      </w:r>
      <w:r w:rsidRPr="00BC32B6">
        <w:rPr>
          <w:rFonts w:ascii="Times New Roman" w:hAnsi="Times New Roman" w:cs="Times New Roman"/>
          <w:szCs w:val="21"/>
        </w:rPr>
        <w:t>ly ash</w:t>
      </w:r>
      <w:r w:rsidRPr="00B75102">
        <w:rPr>
          <w:rFonts w:ascii="Times New Roman" w:hAnsi="Times New Roman" w:cs="Times New Roman"/>
          <w:szCs w:val="21"/>
        </w:rPr>
        <w:t>,</w:t>
      </w:r>
      <w:r w:rsidRPr="00E02C61">
        <w:rPr>
          <w:rFonts w:ascii="Times New Roman" w:hAnsi="Times New Roman" w:cs="Times New Roman"/>
          <w:szCs w:val="21"/>
        </w:rPr>
        <w:t>”</w:t>
      </w:r>
      <w:r>
        <w:rPr>
          <w:rFonts w:ascii="Times New Roman" w:hAnsi="Times New Roman" w:cs="Times New Roman"/>
          <w:szCs w:val="21"/>
        </w:rPr>
        <w:t xml:space="preserve"> </w:t>
      </w:r>
      <w:r w:rsidRPr="00BC32B6">
        <w:rPr>
          <w:rFonts w:ascii="Times New Roman" w:hAnsi="Times New Roman" w:cs="Times New Roman"/>
          <w:szCs w:val="21"/>
        </w:rPr>
        <w:t>or</w:t>
      </w:r>
      <w:r>
        <w:rPr>
          <w:rFonts w:ascii="Times New Roman" w:hAnsi="Times New Roman" w:cs="Times New Roman"/>
          <w:szCs w:val="21"/>
        </w:rPr>
        <w:t xml:space="preserve"> “g</w:t>
      </w:r>
      <w:r w:rsidRPr="00BC32B6">
        <w:rPr>
          <w:rFonts w:ascii="Times New Roman" w:hAnsi="Times New Roman" w:cs="Times New Roman"/>
          <w:szCs w:val="21"/>
        </w:rPr>
        <w:t>round granulated blast furnace slag</w:t>
      </w:r>
      <w:r>
        <w:rPr>
          <w:rFonts w:ascii="Times New Roman" w:hAnsi="Times New Roman" w:cs="Times New Roman"/>
          <w:szCs w:val="21"/>
        </w:rPr>
        <w:t xml:space="preserve">,” </w:t>
      </w:r>
      <w:r w:rsidRPr="00BC32B6">
        <w:rPr>
          <w:rFonts w:ascii="Times New Roman" w:hAnsi="Times New Roman" w:cs="Times New Roman"/>
          <w:szCs w:val="21"/>
        </w:rPr>
        <w:t xml:space="preserve">or </w:t>
      </w:r>
      <w:r>
        <w:rPr>
          <w:rFonts w:ascii="Times New Roman" w:hAnsi="Times New Roman" w:cs="Times New Roman"/>
          <w:szCs w:val="21"/>
        </w:rPr>
        <w:t>“s</w:t>
      </w:r>
      <w:r w:rsidRPr="00BC32B6">
        <w:rPr>
          <w:rFonts w:ascii="Times New Roman" w:hAnsi="Times New Roman" w:cs="Times New Roman"/>
          <w:szCs w:val="21"/>
        </w:rPr>
        <w:t>ilica fume</w:t>
      </w:r>
      <w:r>
        <w:rPr>
          <w:rFonts w:ascii="Times New Roman" w:hAnsi="Times New Roman" w:cs="Times New Roman"/>
          <w:szCs w:val="21"/>
        </w:rPr>
        <w:t xml:space="preserve">,” </w:t>
      </w:r>
      <w:r w:rsidRPr="00BC32B6">
        <w:rPr>
          <w:rFonts w:ascii="Times New Roman" w:hAnsi="Times New Roman" w:cs="Times New Roman"/>
          <w:szCs w:val="21"/>
        </w:rPr>
        <w:t>and</w:t>
      </w:r>
      <w:r>
        <w:rPr>
          <w:rFonts w:ascii="Times New Roman" w:hAnsi="Times New Roman" w:cs="Times New Roman"/>
          <w:szCs w:val="21"/>
        </w:rPr>
        <w:t xml:space="preserve"> “c</w:t>
      </w:r>
      <w:r w:rsidRPr="00BC32B6">
        <w:rPr>
          <w:rFonts w:ascii="Times New Roman" w:hAnsi="Times New Roman" w:cs="Times New Roman"/>
          <w:szCs w:val="21"/>
        </w:rPr>
        <w:t>oncrete</w:t>
      </w:r>
      <w:r>
        <w:rPr>
          <w:rFonts w:ascii="Times New Roman" w:hAnsi="Times New Roman" w:cs="Times New Roman"/>
          <w:szCs w:val="21"/>
        </w:rPr>
        <w:t>,”</w:t>
      </w:r>
      <w:r w:rsidRPr="00BC32B6">
        <w:rPr>
          <w:rFonts w:ascii="Times New Roman" w:hAnsi="Times New Roman" w:cs="Times New Roman"/>
          <w:szCs w:val="21"/>
        </w:rPr>
        <w:t xml:space="preserve"> and</w:t>
      </w:r>
      <w:r>
        <w:rPr>
          <w:rFonts w:ascii="Times New Roman" w:hAnsi="Times New Roman" w:cs="Times New Roman"/>
          <w:szCs w:val="21"/>
        </w:rPr>
        <w:t xml:space="preserve"> “c</w:t>
      </w:r>
      <w:r w:rsidRPr="00BC32B6">
        <w:rPr>
          <w:rFonts w:ascii="Times New Roman" w:hAnsi="Times New Roman" w:cs="Times New Roman"/>
          <w:szCs w:val="21"/>
        </w:rPr>
        <w:t>arbon</w:t>
      </w:r>
      <w:r>
        <w:rPr>
          <w:rFonts w:ascii="Times New Roman" w:hAnsi="Times New Roman" w:cs="Times New Roman"/>
          <w:szCs w:val="21"/>
        </w:rPr>
        <w:t>,”</w:t>
      </w:r>
      <w:r w:rsidRPr="00BC32B6">
        <w:rPr>
          <w:rFonts w:ascii="Times New Roman" w:hAnsi="Times New Roman" w:cs="Times New Roman"/>
          <w:szCs w:val="21"/>
        </w:rPr>
        <w:t xml:space="preserve"> and </w:t>
      </w:r>
      <w:r>
        <w:rPr>
          <w:rFonts w:ascii="Times New Roman" w:hAnsi="Times New Roman" w:cs="Times New Roman"/>
          <w:szCs w:val="21"/>
        </w:rPr>
        <w:t>“r</w:t>
      </w:r>
      <w:r w:rsidRPr="00BC32B6">
        <w:rPr>
          <w:rFonts w:ascii="Times New Roman" w:hAnsi="Times New Roman" w:cs="Times New Roman"/>
          <w:szCs w:val="21"/>
        </w:rPr>
        <w:t>eduction</w:t>
      </w:r>
      <w:r>
        <w:rPr>
          <w:rFonts w:ascii="Times New Roman" w:hAnsi="Times New Roman" w:cs="Times New Roman"/>
          <w:szCs w:val="21"/>
        </w:rPr>
        <w:t>.</w:t>
      </w:r>
      <w:r w:rsidRPr="00BC32B6">
        <w:rPr>
          <w:rFonts w:ascii="Times New Roman" w:hAnsi="Times New Roman" w:cs="Times New Roman"/>
          <w:szCs w:val="21"/>
        </w:rPr>
        <w:t>”</w:t>
      </w:r>
      <w:r>
        <w:rPr>
          <w:rFonts w:ascii="Times New Roman" w:hAnsi="Times New Roman" w:cs="Times New Roman"/>
          <w:szCs w:val="21"/>
        </w:rPr>
        <w:t xml:space="preserve"> The “round 2” filtering uses “g</w:t>
      </w:r>
      <w:r w:rsidRPr="00253754">
        <w:rPr>
          <w:rFonts w:ascii="Times New Roman" w:hAnsi="Times New Roman" w:cs="Times New Roman"/>
          <w:szCs w:val="21"/>
        </w:rPr>
        <w:t>eopolymer</w:t>
      </w:r>
      <w:r>
        <w:rPr>
          <w:rFonts w:ascii="Times New Roman" w:hAnsi="Times New Roman" w:cs="Times New Roman"/>
          <w:szCs w:val="21"/>
        </w:rPr>
        <w:t>,”</w:t>
      </w:r>
      <w:r w:rsidRPr="00253754">
        <w:rPr>
          <w:rFonts w:ascii="Times New Roman" w:hAnsi="Times New Roman" w:cs="Times New Roman"/>
          <w:szCs w:val="21"/>
        </w:rPr>
        <w:t xml:space="preserve"> or</w:t>
      </w:r>
      <w:r>
        <w:rPr>
          <w:rFonts w:ascii="Times New Roman" w:hAnsi="Times New Roman" w:cs="Times New Roman"/>
          <w:szCs w:val="21"/>
        </w:rPr>
        <w:t xml:space="preserve"> “a</w:t>
      </w:r>
      <w:r w:rsidRPr="00253754">
        <w:rPr>
          <w:rFonts w:ascii="Times New Roman" w:hAnsi="Times New Roman" w:cs="Times New Roman"/>
          <w:szCs w:val="21"/>
        </w:rPr>
        <w:t>lkali</w:t>
      </w:r>
      <w:r>
        <w:rPr>
          <w:rFonts w:ascii="Times New Roman" w:hAnsi="Times New Roman" w:cs="Times New Roman"/>
          <w:szCs w:val="21"/>
        </w:rPr>
        <w:t xml:space="preserve"> </w:t>
      </w:r>
      <w:r w:rsidRPr="00253754">
        <w:rPr>
          <w:rFonts w:ascii="Times New Roman" w:hAnsi="Times New Roman" w:cs="Times New Roman"/>
          <w:szCs w:val="21"/>
        </w:rPr>
        <w:t>activated</w:t>
      </w:r>
      <w:r>
        <w:rPr>
          <w:rFonts w:ascii="Times New Roman" w:hAnsi="Times New Roman" w:cs="Times New Roman"/>
          <w:szCs w:val="21"/>
        </w:rPr>
        <w:t xml:space="preserve">,” </w:t>
      </w:r>
      <w:r w:rsidRPr="00253754">
        <w:rPr>
          <w:rFonts w:ascii="Times New Roman" w:hAnsi="Times New Roman" w:cs="Times New Roman"/>
          <w:szCs w:val="21"/>
        </w:rPr>
        <w:t>or</w:t>
      </w:r>
      <w:r>
        <w:rPr>
          <w:rFonts w:ascii="Times New Roman" w:hAnsi="Times New Roman" w:cs="Times New Roman"/>
          <w:szCs w:val="21"/>
        </w:rPr>
        <w:t xml:space="preserve"> “l</w:t>
      </w:r>
      <w:r w:rsidRPr="00253754">
        <w:rPr>
          <w:rFonts w:ascii="Times New Roman" w:hAnsi="Times New Roman" w:cs="Times New Roman"/>
          <w:szCs w:val="21"/>
        </w:rPr>
        <w:t>ow carbon binders</w:t>
      </w:r>
      <w:r>
        <w:rPr>
          <w:rFonts w:ascii="Times New Roman" w:hAnsi="Times New Roman" w:cs="Times New Roman"/>
          <w:szCs w:val="21"/>
        </w:rPr>
        <w:t xml:space="preserve">,” </w:t>
      </w:r>
      <w:r w:rsidRPr="00253754">
        <w:rPr>
          <w:rFonts w:ascii="Times New Roman" w:hAnsi="Times New Roman" w:cs="Times New Roman"/>
          <w:szCs w:val="21"/>
        </w:rPr>
        <w:t xml:space="preserve">or </w:t>
      </w:r>
      <w:r>
        <w:rPr>
          <w:rFonts w:ascii="Times New Roman" w:hAnsi="Times New Roman" w:cs="Times New Roman"/>
          <w:szCs w:val="21"/>
        </w:rPr>
        <w:t>“c</w:t>
      </w:r>
      <w:r w:rsidRPr="00253754">
        <w:rPr>
          <w:rFonts w:ascii="Times New Roman" w:hAnsi="Times New Roman" w:cs="Times New Roman"/>
          <w:szCs w:val="21"/>
        </w:rPr>
        <w:t xml:space="preserve">alcium </w:t>
      </w:r>
      <w:proofErr w:type="spellStart"/>
      <w:r w:rsidRPr="00253754">
        <w:rPr>
          <w:rFonts w:ascii="Times New Roman" w:hAnsi="Times New Roman" w:cs="Times New Roman"/>
          <w:szCs w:val="21"/>
        </w:rPr>
        <w:t>sulfoaluminate</w:t>
      </w:r>
      <w:proofErr w:type="spellEnd"/>
      <w:r>
        <w:rPr>
          <w:rFonts w:ascii="Times New Roman" w:hAnsi="Times New Roman" w:cs="Times New Roman"/>
          <w:szCs w:val="21"/>
        </w:rPr>
        <w:t>,</w:t>
      </w:r>
      <w:r w:rsidRPr="00253754">
        <w:rPr>
          <w:rFonts w:ascii="Times New Roman" w:hAnsi="Times New Roman" w:cs="Times New Roman"/>
          <w:szCs w:val="21"/>
        </w:rPr>
        <w:t>” and</w:t>
      </w:r>
      <w:r>
        <w:rPr>
          <w:rFonts w:ascii="Times New Roman" w:hAnsi="Times New Roman" w:cs="Times New Roman"/>
          <w:szCs w:val="21"/>
        </w:rPr>
        <w:t xml:space="preserve"> “c</w:t>
      </w:r>
      <w:r w:rsidRPr="00253754">
        <w:rPr>
          <w:rFonts w:ascii="Times New Roman" w:hAnsi="Times New Roman" w:cs="Times New Roman"/>
          <w:szCs w:val="21"/>
        </w:rPr>
        <w:t>oncrete</w:t>
      </w:r>
      <w:r>
        <w:rPr>
          <w:rFonts w:ascii="Times New Roman" w:hAnsi="Times New Roman" w:cs="Times New Roman"/>
          <w:szCs w:val="21"/>
        </w:rPr>
        <w:t>,”</w:t>
      </w:r>
      <w:r w:rsidRPr="001C3D16">
        <w:rPr>
          <w:rFonts w:ascii="Times New Roman" w:hAnsi="Times New Roman" w:cs="Times New Roman"/>
          <w:szCs w:val="21"/>
        </w:rPr>
        <w:t xml:space="preserve"> </w:t>
      </w:r>
      <w:r w:rsidRPr="00BC32B6">
        <w:rPr>
          <w:rFonts w:ascii="Times New Roman" w:hAnsi="Times New Roman" w:cs="Times New Roman"/>
          <w:szCs w:val="21"/>
        </w:rPr>
        <w:t>and</w:t>
      </w:r>
      <w:r>
        <w:rPr>
          <w:rFonts w:ascii="Times New Roman" w:hAnsi="Times New Roman" w:cs="Times New Roman"/>
          <w:szCs w:val="21"/>
        </w:rPr>
        <w:t xml:space="preserve"> “c</w:t>
      </w:r>
      <w:r w:rsidRPr="00BC32B6">
        <w:rPr>
          <w:rFonts w:ascii="Times New Roman" w:hAnsi="Times New Roman" w:cs="Times New Roman"/>
          <w:szCs w:val="21"/>
        </w:rPr>
        <w:t>arbon</w:t>
      </w:r>
      <w:r>
        <w:rPr>
          <w:rFonts w:ascii="Times New Roman" w:hAnsi="Times New Roman" w:cs="Times New Roman"/>
          <w:szCs w:val="21"/>
        </w:rPr>
        <w:t>,”</w:t>
      </w:r>
      <w:r w:rsidRPr="00253754">
        <w:rPr>
          <w:rFonts w:ascii="Times New Roman" w:hAnsi="Times New Roman" w:cs="Times New Roman"/>
          <w:szCs w:val="21"/>
        </w:rPr>
        <w:t xml:space="preserve"> and </w:t>
      </w:r>
      <w:r>
        <w:rPr>
          <w:rFonts w:ascii="Times New Roman" w:hAnsi="Times New Roman" w:cs="Times New Roman"/>
          <w:szCs w:val="21"/>
        </w:rPr>
        <w:t>“r</w:t>
      </w:r>
      <w:r w:rsidRPr="00253754">
        <w:rPr>
          <w:rFonts w:ascii="Times New Roman" w:hAnsi="Times New Roman" w:cs="Times New Roman"/>
          <w:szCs w:val="21"/>
        </w:rPr>
        <w:t>eduction</w:t>
      </w:r>
      <w:r>
        <w:rPr>
          <w:rFonts w:ascii="Times New Roman" w:hAnsi="Times New Roman" w:cs="Times New Roman"/>
          <w:szCs w:val="21"/>
        </w:rPr>
        <w:t>.” Meanwhile, the “round 3” adopts 4 keywords, i.e., “</w:t>
      </w:r>
      <w:r>
        <w:rPr>
          <w:rFonts w:ascii="Times New Roman" w:eastAsia="宋体" w:hAnsi="Times New Roman" w:cs="Times New Roman"/>
          <w:color w:val="000000"/>
          <w:kern w:val="0"/>
          <w:sz w:val="20"/>
          <w:szCs w:val="20"/>
          <w:lang w:val="en-HK"/>
        </w:rPr>
        <w:t>recycled aggregates,</w:t>
      </w:r>
      <w:r w:rsidRPr="00962D42">
        <w:rPr>
          <w:rFonts w:ascii="宋体" w:eastAsia="宋体" w:hAnsi="Times New Roman" w:cs="宋体"/>
          <w:color w:val="000000"/>
          <w:kern w:val="0"/>
          <w:sz w:val="20"/>
          <w:szCs w:val="20"/>
        </w:rPr>
        <w:t>”</w:t>
      </w:r>
      <w:r>
        <w:rPr>
          <w:rFonts w:ascii="Times New Roman" w:eastAsia="宋体" w:hAnsi="Times New Roman" w:cs="Times New Roman"/>
          <w:color w:val="000000"/>
          <w:kern w:val="0"/>
          <w:sz w:val="20"/>
          <w:szCs w:val="20"/>
          <w:lang w:val="en-HK"/>
        </w:rPr>
        <w:t xml:space="preserve"> </w:t>
      </w:r>
      <w:r w:rsidRPr="00962D42">
        <w:rPr>
          <w:rFonts w:ascii="Times New Roman" w:eastAsia="宋体" w:hAnsi="Times New Roman" w:cs="Times New Roman"/>
          <w:color w:val="000000"/>
          <w:kern w:val="0"/>
          <w:sz w:val="20"/>
          <w:szCs w:val="20"/>
        </w:rPr>
        <w:t>and</w:t>
      </w:r>
      <w:r>
        <w:rPr>
          <w:rFonts w:ascii="Times New Roman" w:eastAsia="宋体" w:hAnsi="Times New Roman" w:cs="Times New Roman"/>
          <w:color w:val="000000"/>
          <w:kern w:val="0"/>
          <w:sz w:val="20"/>
          <w:szCs w:val="20"/>
        </w:rPr>
        <w:t xml:space="preserve"> </w:t>
      </w:r>
      <w:r w:rsidRPr="00962D42">
        <w:rPr>
          <w:rFonts w:ascii="宋体" w:eastAsia="宋体" w:hAnsi="Times New Roman" w:cs="宋体"/>
          <w:color w:val="000000"/>
          <w:kern w:val="0"/>
          <w:sz w:val="20"/>
          <w:szCs w:val="20"/>
        </w:rPr>
        <w:t>“</w:t>
      </w:r>
      <w:r>
        <w:rPr>
          <w:rFonts w:ascii="Times New Roman" w:eastAsia="宋体" w:hAnsi="Times New Roman" w:cs="Times New Roman"/>
          <w:color w:val="000000"/>
          <w:kern w:val="0"/>
          <w:sz w:val="20"/>
          <w:szCs w:val="20"/>
          <w:lang w:val="en-HK"/>
        </w:rPr>
        <w:t>concrete,</w:t>
      </w:r>
      <w:r w:rsidRPr="00962D42">
        <w:rPr>
          <w:rFonts w:ascii="宋体" w:eastAsia="宋体" w:hAnsi="Times New Roman" w:cs="宋体"/>
          <w:color w:val="000000"/>
          <w:kern w:val="0"/>
          <w:sz w:val="20"/>
          <w:szCs w:val="20"/>
        </w:rPr>
        <w:t>”</w:t>
      </w:r>
      <w:r>
        <w:rPr>
          <w:rFonts w:ascii="Times New Roman" w:eastAsia="宋体" w:hAnsi="Times New Roman" w:cs="Times New Roman"/>
          <w:color w:val="000000"/>
          <w:kern w:val="0"/>
          <w:sz w:val="20"/>
          <w:szCs w:val="20"/>
          <w:lang w:val="en-HK"/>
        </w:rPr>
        <w:t xml:space="preserve"> </w:t>
      </w:r>
      <w:r w:rsidRPr="00962D42">
        <w:rPr>
          <w:rFonts w:ascii="Times New Roman" w:eastAsia="宋体" w:hAnsi="Times New Roman" w:cs="Times New Roman"/>
          <w:color w:val="000000"/>
          <w:kern w:val="0"/>
          <w:sz w:val="20"/>
          <w:szCs w:val="20"/>
        </w:rPr>
        <w:t>and</w:t>
      </w:r>
      <w:r>
        <w:rPr>
          <w:rFonts w:ascii="Times New Roman" w:eastAsia="宋体" w:hAnsi="Times New Roman" w:cs="Times New Roman"/>
          <w:color w:val="000000"/>
          <w:kern w:val="0"/>
          <w:sz w:val="20"/>
          <w:szCs w:val="20"/>
          <w:lang w:val="en-HK"/>
        </w:rPr>
        <w:t xml:space="preserve"> </w:t>
      </w:r>
      <w:r w:rsidRPr="00962D42">
        <w:rPr>
          <w:rFonts w:ascii="宋体" w:eastAsia="宋体" w:hAnsi="Times New Roman" w:cs="宋体"/>
          <w:color w:val="000000"/>
          <w:kern w:val="0"/>
          <w:sz w:val="20"/>
          <w:szCs w:val="20"/>
        </w:rPr>
        <w:t>“</w:t>
      </w:r>
      <w:r>
        <w:rPr>
          <w:rFonts w:ascii="Times New Roman" w:eastAsia="宋体" w:hAnsi="Times New Roman" w:cs="Times New Roman"/>
          <w:color w:val="000000"/>
          <w:kern w:val="0"/>
          <w:sz w:val="20"/>
          <w:szCs w:val="20"/>
        </w:rPr>
        <w:t>c</w:t>
      </w:r>
      <w:r w:rsidRPr="00962D42">
        <w:rPr>
          <w:rFonts w:ascii="Times New Roman" w:eastAsia="宋体" w:hAnsi="Times New Roman" w:cs="Times New Roman"/>
          <w:color w:val="000000"/>
          <w:kern w:val="0"/>
          <w:sz w:val="20"/>
          <w:szCs w:val="20"/>
        </w:rPr>
        <w:t>arbon</w:t>
      </w:r>
      <w:r>
        <w:rPr>
          <w:rFonts w:ascii="Times New Roman" w:eastAsia="宋体" w:hAnsi="Times New Roman" w:cs="Times New Roman"/>
          <w:color w:val="000000"/>
          <w:kern w:val="0"/>
          <w:sz w:val="20"/>
          <w:szCs w:val="20"/>
        </w:rPr>
        <w:t>,</w:t>
      </w:r>
      <w:r w:rsidRPr="00962D42">
        <w:rPr>
          <w:rFonts w:ascii="宋体" w:eastAsia="宋体" w:hAnsi="Times New Roman" w:cs="宋体"/>
          <w:color w:val="000000"/>
          <w:kern w:val="0"/>
          <w:sz w:val="20"/>
          <w:szCs w:val="20"/>
        </w:rPr>
        <w:t>”</w:t>
      </w:r>
      <w:r>
        <w:rPr>
          <w:rFonts w:ascii="宋体" w:eastAsia="宋体" w:hAnsi="Times New Roman" w:cs="宋体"/>
          <w:color w:val="000000"/>
          <w:kern w:val="0"/>
          <w:sz w:val="20"/>
          <w:szCs w:val="20"/>
        </w:rPr>
        <w:t xml:space="preserve"> </w:t>
      </w:r>
      <w:r w:rsidRPr="00962D42">
        <w:rPr>
          <w:rFonts w:ascii="Times New Roman" w:eastAsia="宋体" w:hAnsi="Times New Roman" w:cs="Times New Roman"/>
          <w:color w:val="000000"/>
          <w:kern w:val="0"/>
          <w:sz w:val="20"/>
          <w:szCs w:val="20"/>
        </w:rPr>
        <w:t>and</w:t>
      </w:r>
      <w:r>
        <w:rPr>
          <w:rFonts w:ascii="Times New Roman" w:eastAsia="宋体" w:hAnsi="Times New Roman" w:cs="Times New Roman"/>
          <w:color w:val="000000"/>
          <w:kern w:val="0"/>
          <w:sz w:val="20"/>
          <w:szCs w:val="20"/>
        </w:rPr>
        <w:t xml:space="preserve"> </w:t>
      </w:r>
      <w:r w:rsidRPr="00962D42">
        <w:rPr>
          <w:rFonts w:ascii="宋体" w:eastAsia="宋体" w:hAnsi="Times New Roman" w:cs="宋体"/>
          <w:color w:val="000000"/>
          <w:kern w:val="0"/>
          <w:sz w:val="20"/>
          <w:szCs w:val="20"/>
        </w:rPr>
        <w:t>“</w:t>
      </w:r>
      <w:r>
        <w:rPr>
          <w:rFonts w:ascii="Times New Roman" w:eastAsia="宋体" w:hAnsi="Times New Roman" w:cs="Times New Roman"/>
          <w:color w:val="000000"/>
          <w:kern w:val="0"/>
          <w:sz w:val="20"/>
          <w:szCs w:val="20"/>
          <w:lang w:val="en-HK"/>
        </w:rPr>
        <w:t>reduction</w:t>
      </w:r>
      <w:r>
        <w:rPr>
          <w:rFonts w:ascii="宋体" w:eastAsia="宋体" w:hAnsi="Times New Roman" w:cs="宋体"/>
          <w:color w:val="000000"/>
          <w:kern w:val="0"/>
          <w:sz w:val="20"/>
          <w:szCs w:val="20"/>
        </w:rPr>
        <w:t>.</w:t>
      </w:r>
      <w:r>
        <w:rPr>
          <w:rFonts w:ascii="宋体" w:eastAsia="宋体" w:hAnsi="Times New Roman" w:cs="宋体"/>
          <w:color w:val="000000"/>
          <w:kern w:val="0"/>
          <w:sz w:val="20"/>
          <w:szCs w:val="20"/>
        </w:rPr>
        <w:t>”</w:t>
      </w:r>
      <w:r>
        <w:rPr>
          <w:rFonts w:ascii="宋体" w:eastAsia="宋体" w:hAnsi="Times New Roman" w:cs="宋体"/>
          <w:color w:val="000000"/>
          <w:kern w:val="0"/>
          <w:sz w:val="20"/>
          <w:szCs w:val="20"/>
        </w:rPr>
        <w:t xml:space="preserve"> </w:t>
      </w:r>
      <w:r>
        <w:rPr>
          <w:rFonts w:ascii="Times New Roman" w:eastAsia="宋体" w:hAnsi="Times New Roman" w:cs="Times New Roman"/>
          <w:color w:val="000000"/>
          <w:kern w:val="0"/>
          <w:sz w:val="20"/>
          <w:szCs w:val="20"/>
        </w:rPr>
        <w:t>Lastly, “c</w:t>
      </w:r>
      <w:r w:rsidRPr="00E73B7F">
        <w:rPr>
          <w:rFonts w:ascii="Times New Roman" w:eastAsia="宋体" w:hAnsi="Times New Roman" w:cs="Times New Roman"/>
          <w:color w:val="000000"/>
          <w:kern w:val="0"/>
          <w:sz w:val="20"/>
          <w:szCs w:val="20"/>
        </w:rPr>
        <w:t>ompressive strength</w:t>
      </w:r>
      <w:r>
        <w:rPr>
          <w:rFonts w:ascii="Times New Roman" w:eastAsia="宋体" w:hAnsi="Times New Roman" w:cs="Times New Roman"/>
          <w:color w:val="000000"/>
          <w:kern w:val="0"/>
          <w:sz w:val="20"/>
          <w:szCs w:val="20"/>
        </w:rPr>
        <w:t>,</w:t>
      </w:r>
      <w:r w:rsidRPr="00E73B7F">
        <w:rPr>
          <w:rFonts w:ascii="Times New Roman" w:eastAsia="宋体" w:hAnsi="Times New Roman" w:cs="Times New Roman"/>
          <w:color w:val="000000"/>
          <w:kern w:val="0"/>
          <w:sz w:val="20"/>
          <w:szCs w:val="20"/>
        </w:rPr>
        <w:t>”</w:t>
      </w:r>
      <w:r>
        <w:rPr>
          <w:rFonts w:ascii="Times New Roman" w:eastAsia="宋体" w:hAnsi="Times New Roman" w:cs="Times New Roman"/>
          <w:color w:val="000000"/>
          <w:kern w:val="0"/>
          <w:sz w:val="20"/>
          <w:szCs w:val="20"/>
        </w:rPr>
        <w:t xml:space="preserve"> </w:t>
      </w:r>
      <w:r w:rsidRPr="00E73B7F">
        <w:rPr>
          <w:rFonts w:ascii="Times New Roman" w:eastAsia="宋体" w:hAnsi="Times New Roman" w:cs="Times New Roman"/>
          <w:color w:val="000000"/>
          <w:kern w:val="0"/>
          <w:sz w:val="20"/>
          <w:szCs w:val="20"/>
        </w:rPr>
        <w:t>or “</w:t>
      </w:r>
      <w:r>
        <w:rPr>
          <w:rFonts w:ascii="Times New Roman" w:eastAsia="宋体" w:hAnsi="Times New Roman" w:cs="Times New Roman"/>
          <w:color w:val="000000"/>
          <w:kern w:val="0"/>
          <w:sz w:val="20"/>
          <w:szCs w:val="20"/>
        </w:rPr>
        <w:t>h</w:t>
      </w:r>
      <w:r w:rsidRPr="00E73B7F">
        <w:rPr>
          <w:rFonts w:ascii="Times New Roman" w:eastAsia="宋体" w:hAnsi="Times New Roman" w:cs="Times New Roman"/>
          <w:color w:val="000000"/>
          <w:kern w:val="0"/>
          <w:sz w:val="20"/>
          <w:szCs w:val="20"/>
        </w:rPr>
        <w:t>igh strength</w:t>
      </w:r>
      <w:r>
        <w:rPr>
          <w:rFonts w:ascii="Times New Roman" w:eastAsia="宋体" w:hAnsi="Times New Roman" w:cs="Times New Roman"/>
          <w:color w:val="000000"/>
          <w:kern w:val="0"/>
          <w:sz w:val="20"/>
          <w:szCs w:val="20"/>
        </w:rPr>
        <w:t>,</w:t>
      </w:r>
      <w:r w:rsidRPr="00E73B7F">
        <w:rPr>
          <w:rFonts w:ascii="Times New Roman" w:eastAsia="宋体" w:hAnsi="Times New Roman" w:cs="Times New Roman"/>
          <w:color w:val="000000"/>
          <w:kern w:val="0"/>
          <w:sz w:val="20"/>
          <w:szCs w:val="20"/>
        </w:rPr>
        <w:t>” and “</w:t>
      </w:r>
      <w:r>
        <w:rPr>
          <w:rFonts w:ascii="Times New Roman" w:eastAsia="宋体" w:hAnsi="Times New Roman" w:cs="Times New Roman"/>
          <w:color w:val="000000"/>
          <w:kern w:val="0"/>
          <w:sz w:val="20"/>
          <w:szCs w:val="20"/>
        </w:rPr>
        <w:t>c</w:t>
      </w:r>
      <w:r w:rsidRPr="00E73B7F">
        <w:rPr>
          <w:rFonts w:ascii="Times New Roman" w:eastAsia="宋体" w:hAnsi="Times New Roman" w:cs="Times New Roman"/>
          <w:color w:val="000000"/>
          <w:kern w:val="0"/>
          <w:sz w:val="20"/>
          <w:szCs w:val="20"/>
        </w:rPr>
        <w:t>oncrete</w:t>
      </w:r>
      <w:r>
        <w:rPr>
          <w:rFonts w:ascii="Times New Roman" w:eastAsia="宋体" w:hAnsi="Times New Roman" w:cs="Times New Roman"/>
          <w:color w:val="000000"/>
          <w:kern w:val="0"/>
          <w:sz w:val="20"/>
          <w:szCs w:val="20"/>
        </w:rPr>
        <w:t>,</w:t>
      </w:r>
      <w:r w:rsidRPr="00E73B7F">
        <w:rPr>
          <w:rFonts w:ascii="Times New Roman" w:eastAsia="宋体" w:hAnsi="Times New Roman" w:cs="Times New Roman"/>
          <w:color w:val="000000"/>
          <w:kern w:val="0"/>
          <w:sz w:val="20"/>
          <w:szCs w:val="20"/>
        </w:rPr>
        <w:t>” and “</w:t>
      </w:r>
      <w:r>
        <w:rPr>
          <w:rFonts w:ascii="Times New Roman" w:eastAsia="宋体" w:hAnsi="Times New Roman" w:cs="Times New Roman"/>
          <w:color w:val="000000"/>
          <w:kern w:val="0"/>
          <w:sz w:val="20"/>
          <w:szCs w:val="20"/>
        </w:rPr>
        <w:t>c</w:t>
      </w:r>
      <w:r w:rsidRPr="00E73B7F">
        <w:rPr>
          <w:rFonts w:ascii="Times New Roman" w:eastAsia="宋体" w:hAnsi="Times New Roman" w:cs="Times New Roman"/>
          <w:color w:val="000000"/>
          <w:kern w:val="0"/>
          <w:sz w:val="20"/>
          <w:szCs w:val="20"/>
        </w:rPr>
        <w:t>arbon</w:t>
      </w:r>
      <w:r>
        <w:rPr>
          <w:rFonts w:ascii="Times New Roman" w:eastAsia="宋体" w:hAnsi="Times New Roman" w:cs="Times New Roman"/>
          <w:color w:val="000000"/>
          <w:kern w:val="0"/>
          <w:sz w:val="20"/>
          <w:szCs w:val="20"/>
        </w:rPr>
        <w:t>,</w:t>
      </w:r>
      <w:r w:rsidRPr="00E73B7F">
        <w:rPr>
          <w:rFonts w:ascii="Times New Roman" w:eastAsia="宋体" w:hAnsi="Times New Roman" w:cs="Times New Roman"/>
          <w:color w:val="000000"/>
          <w:kern w:val="0"/>
          <w:sz w:val="20"/>
          <w:szCs w:val="20"/>
        </w:rPr>
        <w:t>”</w:t>
      </w:r>
      <w:r>
        <w:rPr>
          <w:rFonts w:ascii="Times New Roman" w:eastAsia="宋体" w:hAnsi="Times New Roman" w:cs="Times New Roman"/>
          <w:color w:val="000000"/>
          <w:kern w:val="0"/>
          <w:sz w:val="20"/>
          <w:szCs w:val="20"/>
        </w:rPr>
        <w:t xml:space="preserve"> </w:t>
      </w:r>
      <w:r w:rsidRPr="00E73B7F">
        <w:rPr>
          <w:rFonts w:ascii="Times New Roman" w:eastAsia="宋体" w:hAnsi="Times New Roman" w:cs="Times New Roman"/>
          <w:color w:val="000000"/>
          <w:kern w:val="0"/>
          <w:sz w:val="20"/>
          <w:szCs w:val="20"/>
        </w:rPr>
        <w:t>and</w:t>
      </w:r>
      <w:r>
        <w:rPr>
          <w:rFonts w:ascii="Times New Roman" w:eastAsia="宋体" w:hAnsi="Times New Roman" w:cs="Times New Roman"/>
          <w:color w:val="000000"/>
          <w:kern w:val="0"/>
          <w:sz w:val="20"/>
          <w:szCs w:val="20"/>
        </w:rPr>
        <w:t xml:space="preserve"> </w:t>
      </w:r>
      <w:r w:rsidRPr="00E73B7F">
        <w:rPr>
          <w:rFonts w:ascii="Times New Roman" w:eastAsia="宋体" w:hAnsi="Times New Roman" w:cs="Times New Roman"/>
          <w:color w:val="000000"/>
          <w:kern w:val="0"/>
          <w:sz w:val="20"/>
          <w:szCs w:val="20"/>
        </w:rPr>
        <w:t>“</w:t>
      </w:r>
      <w:r>
        <w:rPr>
          <w:rFonts w:ascii="Times New Roman" w:eastAsia="宋体" w:hAnsi="Times New Roman" w:cs="Times New Roman"/>
          <w:color w:val="000000"/>
          <w:kern w:val="0"/>
          <w:sz w:val="20"/>
          <w:szCs w:val="20"/>
        </w:rPr>
        <w:t>r</w:t>
      </w:r>
      <w:r w:rsidRPr="00E73B7F">
        <w:rPr>
          <w:rFonts w:ascii="Times New Roman" w:eastAsia="宋体" w:hAnsi="Times New Roman" w:cs="Times New Roman"/>
          <w:color w:val="000000"/>
          <w:kern w:val="0"/>
          <w:sz w:val="20"/>
          <w:szCs w:val="20"/>
        </w:rPr>
        <w:t>eduction”</w:t>
      </w:r>
      <w:r>
        <w:rPr>
          <w:rFonts w:ascii="Times New Roman" w:eastAsia="宋体" w:hAnsi="Times New Roman" w:cs="Times New Roman"/>
          <w:color w:val="000000"/>
          <w:kern w:val="0"/>
          <w:sz w:val="20"/>
          <w:szCs w:val="20"/>
        </w:rPr>
        <w:t xml:space="preserve"> are taken for the </w:t>
      </w:r>
      <w:r>
        <w:rPr>
          <w:rFonts w:ascii="Times New Roman" w:hAnsi="Times New Roman" w:cs="Times New Roman"/>
          <w:szCs w:val="21"/>
        </w:rPr>
        <w:t xml:space="preserve">“round 4” filtering. Details and results of the five rounds of searching are displayed in Fig.1. </w:t>
      </w:r>
    </w:p>
    <w:p w14:paraId="6E7F83E4" w14:textId="77777777" w:rsidR="00BF0919" w:rsidRDefault="00BF0919">
      <w:pPr>
        <w:rPr>
          <w:rFonts w:ascii="Times New Roman" w:hAnsi="Times New Roman" w:cs="Times New Roman"/>
          <w:szCs w:val="21"/>
        </w:rPr>
      </w:pPr>
    </w:p>
    <w:p w14:paraId="2CF3BD16" w14:textId="77777777" w:rsidR="00BF0919" w:rsidRDefault="00BF0919">
      <w:pPr>
        <w:rPr>
          <w:rFonts w:ascii="Times New Roman" w:hAnsi="Times New Roman" w:cs="Times New Roman"/>
          <w:szCs w:val="21"/>
        </w:rPr>
      </w:pPr>
      <w:r>
        <w:rPr>
          <w:rFonts w:ascii="Times New Roman" w:hAnsi="Times New Roman" w:cs="Times New Roman"/>
          <w:szCs w:val="21"/>
        </w:rPr>
        <w:t xml:space="preserve">After merging all the papers obtained above, 59 papers are detected. Finally, a snowball searching </w:t>
      </w:r>
      <w:r>
        <w:rPr>
          <w:rFonts w:ascii="Times New Roman" w:hAnsi="Times New Roman" w:cs="Times New Roman"/>
          <w:szCs w:val="21"/>
        </w:rPr>
        <w:lastRenderedPageBreak/>
        <w:t>method is run on the 59 papers to identify other relevant papers, and a total of 65 papers are eventually identified for this review.</w:t>
      </w:r>
    </w:p>
    <w:p w14:paraId="1DA9C731" w14:textId="77777777" w:rsidR="00BF0919" w:rsidRDefault="00BF0919">
      <w:pPr>
        <w:keepNext/>
        <w:jc w:val="center"/>
      </w:pPr>
      <w:r>
        <w:object w:dxaOrig="7940" w:dyaOrig="6700" w14:anchorId="06982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95pt;height:343.95pt" o:ole="">
            <v:imagedata r:id="rId6" o:title=""/>
          </v:shape>
          <o:OLEObject Type="Embed" ProgID="Visio.Drawing.15" ShapeID="_x0000_i1025" DrawAspect="Content" ObjectID="_1775568116" r:id="rId7"/>
        </w:object>
      </w:r>
    </w:p>
    <w:p w14:paraId="154B603F" w14:textId="77777777" w:rsidR="00BF0919" w:rsidRDefault="00BF0919">
      <w:pPr>
        <w:pStyle w:val="Caption"/>
        <w:jc w:val="center"/>
        <w:rPr>
          <w:rFonts w:ascii="Times New Roman" w:hAnsi="Times New Roman" w:cs="Times New Roman"/>
        </w:rPr>
      </w:pPr>
      <w:r>
        <w:rPr>
          <w:rFonts w:ascii="Times New Roman" w:hAnsi="Times New Roman" w:cs="Times New Roman"/>
          <w:b/>
          <w:bCs/>
        </w:rPr>
        <w:t xml:space="preserve">Fig. </w:t>
      </w:r>
      <w:r>
        <w:rPr>
          <w:rFonts w:ascii="Times New Roman" w:hAnsi="Times New Roman" w:cs="Times New Roman"/>
          <w:b/>
          <w:bCs/>
        </w:rPr>
        <w:fldChar w:fldCharType="begin"/>
      </w:r>
      <w:r>
        <w:rPr>
          <w:rFonts w:ascii="Times New Roman" w:hAnsi="Times New Roman" w:cs="Times New Roman"/>
          <w:b/>
          <w:bCs/>
        </w:rPr>
        <w:instrText xml:space="preserve"> SEQ Figure \* ARABIC </w:instrText>
      </w:r>
      <w:r>
        <w:rPr>
          <w:rFonts w:ascii="Times New Roman" w:hAnsi="Times New Roman" w:cs="Times New Roman"/>
          <w:b/>
          <w:bCs/>
        </w:rPr>
        <w:fldChar w:fldCharType="separate"/>
      </w:r>
      <w:r>
        <w:rPr>
          <w:rFonts w:ascii="Times New Roman" w:hAnsi="Times New Roman" w:cs="Times New Roman"/>
          <w:b/>
          <w:bCs/>
          <w:noProof/>
        </w:rPr>
        <w:t>1</w:t>
      </w:r>
      <w:r>
        <w:rPr>
          <w:rFonts w:ascii="Times New Roman" w:hAnsi="Times New Roman" w:cs="Times New Roman"/>
          <w:b/>
          <w:bCs/>
        </w:rPr>
        <w:fldChar w:fldCharType="end"/>
      </w:r>
      <w:r>
        <w:rPr>
          <w:rFonts w:ascii="Times New Roman" w:hAnsi="Times New Roman" w:cs="Times New Roman"/>
          <w:b/>
          <w:bCs/>
        </w:rPr>
        <w:t xml:space="preserve"> </w:t>
      </w:r>
      <w:r w:rsidRPr="006404D3">
        <w:rPr>
          <w:rFonts w:ascii="Times New Roman" w:hAnsi="Times New Roman" w:cs="Times New Roman"/>
        </w:rPr>
        <w:t>Process of l</w:t>
      </w:r>
      <w:r w:rsidRPr="00CB1C5C">
        <w:rPr>
          <w:rFonts w:ascii="Times New Roman" w:hAnsi="Times New Roman" w:cs="Times New Roman"/>
        </w:rPr>
        <w:t>iterature</w:t>
      </w:r>
      <w:r>
        <w:rPr>
          <w:rFonts w:ascii="Times New Roman" w:hAnsi="Times New Roman" w:cs="Times New Roman"/>
        </w:rPr>
        <w:t xml:space="preserve"> searching and filtering </w:t>
      </w:r>
    </w:p>
    <w:p w14:paraId="07B80245" w14:textId="77777777" w:rsidR="00BF0919" w:rsidRDefault="00BF0919"/>
    <w:p w14:paraId="393BB914" w14:textId="77777777" w:rsidR="00BF0919" w:rsidRDefault="00BF0919" w:rsidP="00D5302F">
      <w:pPr>
        <w:pStyle w:val="Heading2"/>
        <w:numPr>
          <w:ilvl w:val="1"/>
          <w:numId w:val="17"/>
        </w:numPr>
      </w:pPr>
      <w:r>
        <w:t xml:space="preserve"> </w:t>
      </w:r>
      <w:r w:rsidRPr="00A33373">
        <w:t xml:space="preserve">System boundaries for reviewing EC-reduction-oriented </w:t>
      </w:r>
      <w:r>
        <w:t>LCCMs</w:t>
      </w:r>
      <w:r w:rsidRPr="00A33373">
        <w:t xml:space="preserve"> </w:t>
      </w:r>
    </w:p>
    <w:bookmarkEnd w:id="0"/>
    <w:p w14:paraId="43380DF4" w14:textId="3CF5B15C" w:rsidR="00BF0919" w:rsidRDefault="00BF0919" w:rsidP="006404D3">
      <w:pPr>
        <w:rPr>
          <w:rFonts w:ascii="Times New Roman" w:hAnsi="Times New Roman" w:cs="Times New Roman"/>
        </w:rPr>
      </w:pPr>
      <w:r w:rsidRPr="007B7667">
        <w:rPr>
          <w:rFonts w:ascii="Times New Roman" w:hAnsi="Times New Roman" w:cs="Times New Roman"/>
        </w:rPr>
        <w:t xml:space="preserve">The concept of system boundary is grounded in </w:t>
      </w:r>
      <w:proofErr w:type="gramStart"/>
      <w:r w:rsidRPr="007B7667">
        <w:rPr>
          <w:rFonts w:ascii="Times New Roman" w:hAnsi="Times New Roman" w:cs="Times New Roman"/>
        </w:rPr>
        <w:t>the system</w:t>
      </w:r>
      <w:proofErr w:type="gramEnd"/>
      <w:r w:rsidRPr="007B7667">
        <w:rPr>
          <w:rFonts w:ascii="Times New Roman" w:hAnsi="Times New Roman" w:cs="Times New Roman"/>
        </w:rPr>
        <w:t xml:space="preserve"> theory</w:t>
      </w:r>
      <w:r>
        <w:rPr>
          <w:rFonts w:ascii="Times New Roman" w:hAnsi="Times New Roman" w:cs="Times New Roman"/>
        </w:rPr>
        <w:t xml:space="preserve">, which can be defined as </w:t>
      </w:r>
      <w:r w:rsidRPr="007B7667">
        <w:rPr>
          <w:rFonts w:ascii="Times New Roman" w:hAnsi="Times New Roman" w:cs="Times New Roman"/>
        </w:rPr>
        <w:t xml:space="preserve">an interactive interface </w:t>
      </w:r>
      <w:proofErr w:type="gramStart"/>
      <w:r w:rsidRPr="007B7667">
        <w:rPr>
          <w:rFonts w:ascii="Times New Roman" w:hAnsi="Times New Roman" w:cs="Times New Roman"/>
        </w:rPr>
        <w:t>where</w:t>
      </w:r>
      <w:proofErr w:type="gramEnd"/>
      <w:r w:rsidRPr="007B7667">
        <w:rPr>
          <w:rFonts w:ascii="Times New Roman" w:hAnsi="Times New Roman" w:cs="Times New Roman"/>
        </w:rPr>
        <w:t xml:space="preserve"> information, energy, or material transfers into or out of the system</w:t>
      </w:r>
      <w:r>
        <w:rPr>
          <w:rFonts w:ascii="Times New Roman" w:hAnsi="Times New Roman" w:cs="Times New Roman"/>
        </w:rPr>
        <w:t xml:space="preserve"> </w:t>
      </w:r>
      <w:r>
        <w:rPr>
          <w:rFonts w:ascii="Times New Roman" w:hAnsi="Times New Roman" w:cs="Times New Roman"/>
          <w:noProof/>
        </w:rPr>
        <w:t>(Bertalanffy, 1968; Chen et al., 2019)</w:t>
      </w:r>
      <w:r>
        <w:rPr>
          <w:rFonts w:ascii="Times New Roman" w:hAnsi="Times New Roman" w:cs="Times New Roman"/>
        </w:rPr>
        <w:t xml:space="preserve">. It </w:t>
      </w:r>
      <w:r w:rsidRPr="006404D3">
        <w:rPr>
          <w:rFonts w:ascii="Times New Roman" w:hAnsi="Times New Roman" w:cs="Times New Roman"/>
        </w:rPr>
        <w:t>distinguishes a system from others in the environment</w:t>
      </w:r>
      <w:r>
        <w:rPr>
          <w:rFonts w:ascii="Times New Roman" w:hAnsi="Times New Roman" w:cs="Times New Roman"/>
        </w:rPr>
        <w:t xml:space="preserve">, which could be successfully used for carbon footprint assessing. The </w:t>
      </w:r>
      <w:r w:rsidRPr="006404D3">
        <w:rPr>
          <w:rFonts w:ascii="Times New Roman" w:hAnsi="Times New Roman" w:cs="Times New Roman"/>
        </w:rPr>
        <w:t>LCA system boundary is in a much narrower scope</w:t>
      </w:r>
      <w:r>
        <w:rPr>
          <w:rFonts w:ascii="Times New Roman" w:hAnsi="Times New Roman" w:cs="Times New Roman"/>
        </w:rPr>
        <w:t xml:space="preserve">, which is </w:t>
      </w:r>
      <w:r w:rsidRPr="006404D3">
        <w:rPr>
          <w:rFonts w:ascii="Times New Roman" w:hAnsi="Times New Roman" w:cs="Times New Roman"/>
        </w:rPr>
        <w:t>described as a set of criteria that specify which unit processes are part of a product system</w:t>
      </w:r>
      <w:r>
        <w:rPr>
          <w:rFonts w:ascii="Times New Roman" w:hAnsi="Times New Roman" w:cs="Times New Roman"/>
        </w:rPr>
        <w:t xml:space="preserve"> by ISO (2006) in the spatial aspect. However, previous studies usually </w:t>
      </w:r>
      <w:r w:rsidRPr="006404D3">
        <w:rPr>
          <w:rFonts w:ascii="Times New Roman" w:hAnsi="Times New Roman" w:cs="Times New Roman"/>
        </w:rPr>
        <w:t xml:space="preserve">address </w:t>
      </w:r>
      <w:r>
        <w:rPr>
          <w:rFonts w:ascii="Times New Roman" w:hAnsi="Times New Roman" w:cs="Times New Roman"/>
        </w:rPr>
        <w:t xml:space="preserve">a </w:t>
      </w:r>
      <w:r w:rsidRPr="006404D3">
        <w:rPr>
          <w:rFonts w:ascii="Times New Roman" w:hAnsi="Times New Roman" w:cs="Times New Roman"/>
        </w:rPr>
        <w:t xml:space="preserve">more </w:t>
      </w:r>
      <w:r w:rsidRPr="00576808">
        <w:rPr>
          <w:rFonts w:ascii="Times New Roman" w:hAnsi="Times New Roman" w:cs="Times New Roman"/>
        </w:rPr>
        <w:t>comprehensive aspect of a complex system</w:t>
      </w:r>
      <w:r>
        <w:rPr>
          <w:rFonts w:ascii="Times New Roman" w:hAnsi="Times New Roman" w:cs="Times New Roman"/>
        </w:rPr>
        <w:t xml:space="preserve"> from temporal, spatial, </w:t>
      </w:r>
      <w:r w:rsidRPr="006404D3">
        <w:rPr>
          <w:rFonts w:ascii="Times New Roman" w:hAnsi="Times New Roman" w:cs="Times New Roman"/>
        </w:rPr>
        <w:t>methodological and functional dimensions</w:t>
      </w:r>
      <w:r>
        <w:rPr>
          <w:rFonts w:ascii="Times New Roman" w:hAnsi="Times New Roman" w:cs="Times New Roman"/>
        </w:rPr>
        <w:t xml:space="preserve"> </w:t>
      </w:r>
      <w:r>
        <w:rPr>
          <w:rFonts w:ascii="Times New Roman" w:hAnsi="Times New Roman" w:cs="Times New Roman"/>
          <w:noProof/>
        </w:rPr>
        <w:t>(Pan &amp; Pan, 2018; Teng &amp; Pan, 2020)</w:t>
      </w:r>
      <w:r>
        <w:rPr>
          <w:rFonts w:ascii="Times New Roman" w:hAnsi="Times New Roman" w:cs="Times New Roman"/>
        </w:rPr>
        <w:t>. It clearly explains “</w:t>
      </w:r>
      <w:r w:rsidRPr="006404D3">
        <w:rPr>
          <w:rFonts w:ascii="Times New Roman" w:hAnsi="Times New Roman" w:cs="Times New Roman"/>
        </w:rPr>
        <w:t>what a complex system is</w:t>
      </w:r>
      <w:r>
        <w:rPr>
          <w:rFonts w:ascii="Times New Roman" w:hAnsi="Times New Roman" w:cs="Times New Roman"/>
        </w:rPr>
        <w:t>”, “how research is conducted on a complex system” and “</w:t>
      </w:r>
      <w:r w:rsidRPr="001D7850">
        <w:rPr>
          <w:rFonts w:ascii="Times New Roman" w:hAnsi="Times New Roman" w:cs="Times New Roman"/>
        </w:rPr>
        <w:t xml:space="preserve">the service </w:t>
      </w:r>
      <w:r>
        <w:rPr>
          <w:rFonts w:ascii="Times New Roman" w:hAnsi="Times New Roman" w:cs="Times New Roman"/>
        </w:rPr>
        <w:t>or</w:t>
      </w:r>
      <w:r w:rsidRPr="001D7850">
        <w:rPr>
          <w:rFonts w:ascii="Times New Roman" w:hAnsi="Times New Roman" w:cs="Times New Roman"/>
        </w:rPr>
        <w:t xml:space="preserve"> value</w:t>
      </w:r>
      <w:r>
        <w:rPr>
          <w:rFonts w:ascii="Times New Roman" w:hAnsi="Times New Roman" w:cs="Times New Roman"/>
        </w:rPr>
        <w:t xml:space="preserve"> </w:t>
      </w:r>
      <w:r w:rsidRPr="001D7850">
        <w:rPr>
          <w:rFonts w:ascii="Times New Roman" w:hAnsi="Times New Roman" w:cs="Times New Roman"/>
        </w:rPr>
        <w:t xml:space="preserve">that needs to be delivered through </w:t>
      </w:r>
      <w:r>
        <w:rPr>
          <w:rFonts w:ascii="Times New Roman" w:hAnsi="Times New Roman" w:cs="Times New Roman"/>
        </w:rPr>
        <w:t>a</w:t>
      </w:r>
      <w:r w:rsidRPr="001D7850">
        <w:rPr>
          <w:rFonts w:ascii="Times New Roman" w:hAnsi="Times New Roman" w:cs="Times New Roman"/>
        </w:rPr>
        <w:t xml:space="preserve"> </w:t>
      </w:r>
      <w:r>
        <w:rPr>
          <w:rFonts w:ascii="Times New Roman" w:hAnsi="Times New Roman" w:cs="Times New Roman"/>
        </w:rPr>
        <w:t xml:space="preserve">complex system”. Therefore, </w:t>
      </w:r>
      <w:r w:rsidRPr="002A4770">
        <w:rPr>
          <w:rFonts w:ascii="Times New Roman" w:hAnsi="Times New Roman" w:cs="Times New Roman"/>
        </w:rPr>
        <w:t xml:space="preserve">the system boundaries of buildings’ </w:t>
      </w:r>
      <w:r w:rsidRPr="002F0A6B">
        <w:rPr>
          <w:rFonts w:ascii="Times New Roman" w:hAnsi="Times New Roman" w:cs="Times New Roman"/>
        </w:rPr>
        <w:t>LCCMs</w:t>
      </w:r>
      <w:r w:rsidRPr="002A4770">
        <w:rPr>
          <w:rFonts w:ascii="Times New Roman" w:hAnsi="Times New Roman" w:cs="Times New Roman"/>
        </w:rPr>
        <w:t xml:space="preserve"> </w:t>
      </w:r>
      <w:r>
        <w:rPr>
          <w:rFonts w:ascii="Times New Roman" w:hAnsi="Times New Roman" w:cs="Times New Roman"/>
        </w:rPr>
        <w:t>should</w:t>
      </w:r>
      <w:r w:rsidRPr="002A4770">
        <w:rPr>
          <w:rFonts w:ascii="Times New Roman" w:hAnsi="Times New Roman" w:cs="Times New Roman"/>
        </w:rPr>
        <w:t xml:space="preserve"> not</w:t>
      </w:r>
      <w:r>
        <w:rPr>
          <w:rFonts w:ascii="Times New Roman" w:hAnsi="Times New Roman" w:cs="Times New Roman"/>
        </w:rPr>
        <w:t xml:space="preserve"> be</w:t>
      </w:r>
      <w:r w:rsidRPr="002A4770">
        <w:rPr>
          <w:rFonts w:ascii="Times New Roman" w:hAnsi="Times New Roman" w:cs="Times New Roman"/>
        </w:rPr>
        <w:t xml:space="preserve"> narrowly scoped to denote the life cycle stage </w:t>
      </w:r>
      <w:r>
        <w:rPr>
          <w:rFonts w:ascii="Times New Roman" w:hAnsi="Times New Roman" w:cs="Times New Roman"/>
        </w:rPr>
        <w:t xml:space="preserve">for assessing the EC </w:t>
      </w:r>
      <w:r w:rsidRPr="002A4770">
        <w:rPr>
          <w:rFonts w:ascii="Times New Roman" w:hAnsi="Times New Roman" w:cs="Times New Roman"/>
        </w:rPr>
        <w:t>only, but also address other important variables.</w:t>
      </w:r>
      <w:r>
        <w:rPr>
          <w:rFonts w:ascii="Times New Roman" w:hAnsi="Times New Roman" w:cs="Times New Roman"/>
        </w:rPr>
        <w:t xml:space="preserve"> </w:t>
      </w:r>
      <w:r w:rsidRPr="006404D3">
        <w:rPr>
          <w:rFonts w:ascii="Times New Roman" w:hAnsi="Times New Roman" w:cs="Times New Roman"/>
        </w:rPr>
        <w:t>Drawing on the theoretical examination</w:t>
      </w:r>
      <w:r>
        <w:rPr>
          <w:rFonts w:ascii="Times New Roman" w:hAnsi="Times New Roman" w:cs="Times New Roman"/>
        </w:rPr>
        <w:t>, t</w:t>
      </w:r>
      <w:r w:rsidRPr="002A2016">
        <w:rPr>
          <w:rFonts w:ascii="Times New Roman" w:hAnsi="Times New Roman" w:cs="Times New Roman"/>
        </w:rPr>
        <w:t xml:space="preserve">his paper </w:t>
      </w:r>
      <w:r>
        <w:rPr>
          <w:rFonts w:ascii="Times New Roman" w:hAnsi="Times New Roman" w:cs="Times New Roman"/>
        </w:rPr>
        <w:t>adopts</w:t>
      </w:r>
      <w:r w:rsidRPr="002A2016">
        <w:rPr>
          <w:rFonts w:ascii="Times New Roman" w:hAnsi="Times New Roman" w:cs="Times New Roman"/>
        </w:rPr>
        <w:t xml:space="preserve"> a framework of system boundaries</w:t>
      </w:r>
      <w:r>
        <w:rPr>
          <w:rFonts w:ascii="Times New Roman" w:hAnsi="Times New Roman" w:cs="Times New Roman"/>
        </w:rPr>
        <w:t xml:space="preserve"> of </w:t>
      </w:r>
      <w:r w:rsidRPr="000E0E0C">
        <w:rPr>
          <w:rFonts w:ascii="Times New Roman" w:hAnsi="Times New Roman" w:cs="Times New Roman"/>
        </w:rPr>
        <w:t xml:space="preserve">buildings’ LCCMs </w:t>
      </w:r>
      <w:r>
        <w:rPr>
          <w:rFonts w:ascii="Times New Roman" w:hAnsi="Times New Roman" w:cs="Times New Roman"/>
        </w:rPr>
        <w:t xml:space="preserve">to guide the critical review. </w:t>
      </w:r>
      <w:r w:rsidRPr="002F0A6B">
        <w:rPr>
          <w:rFonts w:ascii="Times New Roman" w:hAnsi="Times New Roman" w:cs="Times New Roman"/>
        </w:rPr>
        <w:t>This framework elaborates the boundaries of the</w:t>
      </w:r>
      <w:r>
        <w:rPr>
          <w:rFonts w:ascii="Times New Roman" w:hAnsi="Times New Roman" w:cs="Times New Roman"/>
        </w:rPr>
        <w:t xml:space="preserve"> </w:t>
      </w:r>
      <w:r w:rsidRPr="002F0A6B">
        <w:rPr>
          <w:rFonts w:ascii="Times New Roman" w:hAnsi="Times New Roman" w:cs="Times New Roman"/>
        </w:rPr>
        <w:t>LCCMs</w:t>
      </w:r>
      <w:r>
        <w:rPr>
          <w:rFonts w:ascii="Times New Roman" w:hAnsi="Times New Roman" w:cs="Times New Roman"/>
        </w:rPr>
        <w:t xml:space="preserve"> of buildings in the concept, methodology and value dimensions, altogether containing nine variables (</w:t>
      </w:r>
      <w:r>
        <w:rPr>
          <w:rFonts w:ascii="Times New Roman" w:eastAsia="Times New Roman" w:hAnsi="Times New Roman" w:cs="Times New Roman"/>
          <w:sz w:val="20"/>
          <w:szCs w:val="20"/>
        </w:rPr>
        <w:t>Table</w:t>
      </w:r>
      <w:r>
        <w:rPr>
          <w:rFonts w:ascii="Times New Roman" w:hAnsi="Times New Roman" w:cs="Times New Roman"/>
        </w:rPr>
        <w:t xml:space="preserve"> 1). </w:t>
      </w:r>
    </w:p>
    <w:p w14:paraId="587C33BD" w14:textId="77777777" w:rsidR="00BF0919" w:rsidRDefault="00BF0919">
      <w:pPr>
        <w:pStyle w:val="ListParagraph"/>
        <w:ind w:firstLineChars="0" w:firstLine="0"/>
        <w:rPr>
          <w:rFonts w:ascii="Times New Roman" w:hAnsi="Times New Roman" w:cs="Times New Roman"/>
        </w:rPr>
      </w:pPr>
    </w:p>
    <w:p w14:paraId="2FD9BB4B" w14:textId="77777777" w:rsidR="00BF0919" w:rsidRPr="00AF0F57" w:rsidRDefault="00BF0919" w:rsidP="00AF0F57">
      <w:pPr>
        <w:snapToGrid w:val="0"/>
        <w:jc w:val="center"/>
        <w:rPr>
          <w:rFonts w:ascii="Times New Roman" w:eastAsia="Times New Roman" w:hAnsi="Times New Roman" w:cs="Times New Roman"/>
          <w:sz w:val="20"/>
          <w:szCs w:val="20"/>
        </w:rPr>
      </w:pPr>
      <w:r w:rsidRPr="006F2C46">
        <w:rPr>
          <w:rFonts w:ascii="Times New Roman" w:eastAsia="Times New Roman" w:hAnsi="Times New Roman" w:cs="Times New Roman"/>
          <w:b/>
          <w:bCs/>
          <w:sz w:val="20"/>
          <w:szCs w:val="20"/>
        </w:rPr>
        <w:t xml:space="preserve">Table 1 </w:t>
      </w:r>
      <w:r w:rsidRPr="006F2C46">
        <w:rPr>
          <w:rFonts w:ascii="Times New Roman" w:eastAsia="Times New Roman" w:hAnsi="Times New Roman" w:cs="Times New Roman"/>
          <w:sz w:val="20"/>
          <w:szCs w:val="20"/>
        </w:rPr>
        <w:t xml:space="preserve">Dimensions, variables, and scale/value of system boundaries of </w:t>
      </w:r>
      <w:r w:rsidRPr="00AF0F57">
        <w:rPr>
          <w:rFonts w:ascii="Times New Roman" w:hAnsi="Times New Roman" w:cs="Times New Roman"/>
          <w:sz w:val="20"/>
          <w:szCs w:val="20"/>
        </w:rPr>
        <w:t>buildings’ low carbon concrete materials</w:t>
      </w:r>
    </w:p>
    <w:tbl>
      <w:tblPr>
        <w:tblW w:w="6520" w:type="dxa"/>
        <w:tblInd w:w="959" w:type="dxa"/>
        <w:tblLook w:val="04A0" w:firstRow="1" w:lastRow="0" w:firstColumn="1" w:lastColumn="0" w:noHBand="0" w:noVBand="1"/>
      </w:tblPr>
      <w:tblGrid>
        <w:gridCol w:w="2327"/>
        <w:gridCol w:w="1619"/>
        <w:gridCol w:w="1927"/>
        <w:gridCol w:w="647"/>
      </w:tblGrid>
      <w:tr w:rsidR="00BF0919" w14:paraId="7BDB9FCE" w14:textId="77777777" w:rsidTr="00326AE9">
        <w:trPr>
          <w:trHeight w:val="280"/>
        </w:trPr>
        <w:tc>
          <w:tcPr>
            <w:tcW w:w="2327" w:type="dxa"/>
            <w:tcBorders>
              <w:top w:val="single" w:sz="4" w:space="0" w:color="auto"/>
              <w:left w:val="nil"/>
              <w:bottom w:val="single" w:sz="4" w:space="0" w:color="auto"/>
              <w:right w:val="nil"/>
            </w:tcBorders>
            <w:shd w:val="clear" w:color="E7E6E6" w:fill="FFFFFF"/>
            <w:vAlign w:val="center"/>
          </w:tcPr>
          <w:p w14:paraId="5A63010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 xml:space="preserve">Dimension </w:t>
            </w:r>
            <w:r>
              <w:rPr>
                <w:rFonts w:ascii="Times New Roman" w:eastAsia="等线" w:hAnsi="Times New Roman" w:cs="Times New Roman"/>
                <w:kern w:val="0"/>
                <w:sz w:val="18"/>
                <w:szCs w:val="18"/>
              </w:rPr>
              <w:t>of system boundaries</w:t>
            </w:r>
          </w:p>
        </w:tc>
        <w:tc>
          <w:tcPr>
            <w:tcW w:w="1619" w:type="dxa"/>
            <w:tcBorders>
              <w:top w:val="single" w:sz="4" w:space="0" w:color="auto"/>
              <w:left w:val="nil"/>
              <w:bottom w:val="single" w:sz="4" w:space="0" w:color="auto"/>
            </w:tcBorders>
            <w:shd w:val="clear" w:color="E7E6E6" w:fill="FFFFFF"/>
            <w:vAlign w:val="center"/>
          </w:tcPr>
          <w:p w14:paraId="232A5231" w14:textId="77777777" w:rsidR="00BF0919" w:rsidRDefault="00BF0919">
            <w:pPr>
              <w:widowControl/>
              <w:jc w:val="center"/>
              <w:rPr>
                <w:rFonts w:ascii="Times New Roman" w:eastAsia="等线" w:hAnsi="Times New Roman" w:cs="Times New Roman"/>
                <w:color w:val="000000"/>
                <w:kern w:val="0"/>
                <w:sz w:val="18"/>
                <w:szCs w:val="18"/>
              </w:rPr>
            </w:pPr>
            <w:bookmarkStart w:id="1" w:name="_Hlk100004554"/>
            <w:r w:rsidRPr="00DF3739">
              <w:rPr>
                <w:rStyle w:val="fontstyle01"/>
                <w:rFonts w:ascii="Times New Roman" w:hAnsi="Times New Roman" w:cs="Times New Roman"/>
                <w:sz w:val="18"/>
                <w:szCs w:val="18"/>
              </w:rPr>
              <w:t>V</w:t>
            </w:r>
            <w:r w:rsidRPr="00DF3739">
              <w:rPr>
                <w:rStyle w:val="fontstyle01"/>
                <w:rFonts w:hint="eastAsia"/>
                <w:sz w:val="18"/>
                <w:szCs w:val="18"/>
              </w:rPr>
              <w:t xml:space="preserve">ariables of system </w:t>
            </w:r>
            <w:r w:rsidRPr="00DF3739">
              <w:rPr>
                <w:rStyle w:val="fontstyle01"/>
                <w:rFonts w:ascii="Times New Roman" w:hAnsi="Times New Roman" w:cs="Times New Roman"/>
                <w:sz w:val="18"/>
                <w:szCs w:val="18"/>
              </w:rPr>
              <w:t xml:space="preserve">boundaries </w:t>
            </w:r>
            <w:bookmarkEnd w:id="1"/>
          </w:p>
        </w:tc>
        <w:tc>
          <w:tcPr>
            <w:tcW w:w="1927" w:type="dxa"/>
            <w:tcBorders>
              <w:top w:val="single" w:sz="4" w:space="0" w:color="auto"/>
              <w:left w:val="nil"/>
              <w:bottom w:val="single" w:sz="4" w:space="0" w:color="auto"/>
              <w:right w:val="nil"/>
            </w:tcBorders>
            <w:shd w:val="clear" w:color="E7E6E6" w:fill="FFFFFF"/>
            <w:vAlign w:val="center"/>
          </w:tcPr>
          <w:p w14:paraId="299FD893" w14:textId="77777777" w:rsidR="00BF0919" w:rsidRDefault="00BF0919">
            <w:pPr>
              <w:widowControl/>
              <w:jc w:val="center"/>
              <w:rPr>
                <w:rFonts w:ascii="Times New Roman" w:eastAsia="等线" w:hAnsi="Times New Roman" w:cs="Times New Roman"/>
                <w:color w:val="000000"/>
                <w:kern w:val="0"/>
                <w:sz w:val="18"/>
                <w:szCs w:val="18"/>
              </w:rPr>
            </w:pPr>
            <w:r w:rsidRPr="007E6729">
              <w:rPr>
                <w:rFonts w:ascii="Times New Roman" w:eastAsia="等线" w:hAnsi="Times New Roman" w:cs="Times New Roman"/>
                <w:color w:val="000000"/>
                <w:kern w:val="0"/>
                <w:sz w:val="18"/>
                <w:szCs w:val="18"/>
              </w:rPr>
              <w:t>Scale or value</w:t>
            </w:r>
            <w:r w:rsidRPr="007E6729" w:rsidDel="00B96B5A">
              <w:rPr>
                <w:rFonts w:ascii="Times New Roman" w:eastAsia="等线" w:hAnsi="Times New Roman" w:cs="Times New Roman"/>
                <w:color w:val="000000"/>
                <w:kern w:val="0"/>
                <w:sz w:val="18"/>
                <w:szCs w:val="18"/>
              </w:rPr>
              <w:t xml:space="preserve"> </w:t>
            </w:r>
          </w:p>
        </w:tc>
        <w:tc>
          <w:tcPr>
            <w:tcW w:w="647" w:type="dxa"/>
            <w:tcBorders>
              <w:top w:val="single" w:sz="4" w:space="0" w:color="auto"/>
              <w:left w:val="nil"/>
              <w:bottom w:val="single" w:sz="4" w:space="0" w:color="auto"/>
              <w:right w:val="nil"/>
            </w:tcBorders>
            <w:shd w:val="clear" w:color="E7E6E6" w:fill="FFFFFF"/>
            <w:vAlign w:val="center"/>
          </w:tcPr>
          <w:p w14:paraId="744450C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Code</w:t>
            </w:r>
          </w:p>
        </w:tc>
      </w:tr>
      <w:tr w:rsidR="00BF0919" w14:paraId="09FC8C6D" w14:textId="77777777" w:rsidTr="00326AE9">
        <w:trPr>
          <w:trHeight w:val="20"/>
        </w:trPr>
        <w:tc>
          <w:tcPr>
            <w:tcW w:w="2327" w:type="dxa"/>
            <w:vMerge w:val="restart"/>
            <w:tcBorders>
              <w:top w:val="nil"/>
              <w:left w:val="nil"/>
              <w:bottom w:val="nil"/>
              <w:right w:val="nil"/>
            </w:tcBorders>
            <w:vAlign w:val="center"/>
          </w:tcPr>
          <w:p w14:paraId="338EA6FC" w14:textId="77777777" w:rsidR="00BF0919" w:rsidRDefault="00BF0919">
            <w:pPr>
              <w:widowControl/>
              <w:jc w:val="left"/>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Concept dimension</w:t>
            </w:r>
          </w:p>
        </w:tc>
        <w:tc>
          <w:tcPr>
            <w:tcW w:w="1619" w:type="dxa"/>
            <w:vMerge w:val="restart"/>
            <w:tcBorders>
              <w:left w:val="nil"/>
            </w:tcBorders>
            <w:shd w:val="clear" w:color="E7E6E6" w:fill="FFFFFF"/>
            <w:vAlign w:val="center"/>
          </w:tcPr>
          <w:p w14:paraId="02A8E2D9" w14:textId="77777777" w:rsidR="00BF0919" w:rsidRDefault="00BF0919">
            <w:pPr>
              <w:widowControl/>
              <w:jc w:val="center"/>
              <w:rPr>
                <w:rFonts w:ascii="Times New Roman" w:eastAsia="等线" w:hAnsi="Times New Roman" w:cs="Times New Roman"/>
                <w:color w:val="000000"/>
                <w:kern w:val="0"/>
                <w:sz w:val="18"/>
                <w:szCs w:val="18"/>
              </w:rPr>
            </w:pPr>
            <w:bookmarkStart w:id="2" w:name="_Hlk99580447"/>
            <w:r>
              <w:rPr>
                <w:rFonts w:ascii="Times New Roman" w:eastAsia="等线" w:hAnsi="Times New Roman" w:cs="Times New Roman"/>
                <w:color w:val="000000"/>
                <w:kern w:val="0"/>
                <w:sz w:val="18"/>
                <w:szCs w:val="18"/>
              </w:rPr>
              <w:t xml:space="preserve">Life cycle stages for EC assessment </w:t>
            </w:r>
            <w:bookmarkEnd w:id="2"/>
          </w:p>
        </w:tc>
        <w:tc>
          <w:tcPr>
            <w:tcW w:w="1927" w:type="dxa"/>
            <w:tcBorders>
              <w:top w:val="single" w:sz="4" w:space="0" w:color="auto"/>
              <w:left w:val="nil"/>
              <w:bottom w:val="nil"/>
              <w:right w:val="nil"/>
            </w:tcBorders>
            <w:shd w:val="clear" w:color="E7E6E6" w:fill="FFFFFF"/>
            <w:vAlign w:val="center"/>
          </w:tcPr>
          <w:p w14:paraId="2413556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Cradle-to-gate</w:t>
            </w:r>
          </w:p>
        </w:tc>
        <w:tc>
          <w:tcPr>
            <w:tcW w:w="647" w:type="dxa"/>
            <w:tcBorders>
              <w:top w:val="single" w:sz="4" w:space="0" w:color="auto"/>
              <w:left w:val="nil"/>
              <w:bottom w:val="nil"/>
              <w:right w:val="nil"/>
            </w:tcBorders>
            <w:shd w:val="clear" w:color="E7E6E6" w:fill="FFFFFF"/>
            <w:vAlign w:val="center"/>
          </w:tcPr>
          <w:p w14:paraId="14BF4D13"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A1</w:t>
            </w:r>
          </w:p>
        </w:tc>
      </w:tr>
      <w:tr w:rsidR="00BF0919" w14:paraId="6C915401" w14:textId="77777777" w:rsidTr="00326AE9">
        <w:trPr>
          <w:trHeight w:val="20"/>
        </w:trPr>
        <w:tc>
          <w:tcPr>
            <w:tcW w:w="2327" w:type="dxa"/>
            <w:vMerge/>
            <w:tcBorders>
              <w:top w:val="nil"/>
              <w:left w:val="nil"/>
              <w:bottom w:val="nil"/>
              <w:right w:val="nil"/>
            </w:tcBorders>
            <w:vAlign w:val="center"/>
          </w:tcPr>
          <w:p w14:paraId="38A3DFC1"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01CBC4C3"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0148118F"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 xml:space="preserve">Cradle-to-site </w:t>
            </w:r>
          </w:p>
        </w:tc>
        <w:tc>
          <w:tcPr>
            <w:tcW w:w="647" w:type="dxa"/>
            <w:tcBorders>
              <w:top w:val="nil"/>
              <w:left w:val="nil"/>
              <w:bottom w:val="nil"/>
              <w:right w:val="nil"/>
            </w:tcBorders>
            <w:shd w:val="clear" w:color="E7E6E6" w:fill="FFFFFF"/>
            <w:vAlign w:val="center"/>
          </w:tcPr>
          <w:p w14:paraId="44D64E94"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A2</w:t>
            </w:r>
          </w:p>
        </w:tc>
      </w:tr>
      <w:tr w:rsidR="00BF0919" w14:paraId="0F4D09AA" w14:textId="77777777" w:rsidTr="00326AE9">
        <w:trPr>
          <w:trHeight w:val="20"/>
        </w:trPr>
        <w:tc>
          <w:tcPr>
            <w:tcW w:w="2327" w:type="dxa"/>
            <w:vMerge/>
            <w:tcBorders>
              <w:top w:val="nil"/>
              <w:left w:val="nil"/>
              <w:bottom w:val="nil"/>
              <w:right w:val="nil"/>
            </w:tcBorders>
            <w:vAlign w:val="center"/>
          </w:tcPr>
          <w:p w14:paraId="1E50AC11"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17E5CBD7"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65C9AB67"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 xml:space="preserve">Cradle-to-end of construction </w:t>
            </w:r>
          </w:p>
        </w:tc>
        <w:tc>
          <w:tcPr>
            <w:tcW w:w="647" w:type="dxa"/>
            <w:tcBorders>
              <w:top w:val="nil"/>
              <w:left w:val="nil"/>
              <w:bottom w:val="nil"/>
              <w:right w:val="nil"/>
            </w:tcBorders>
            <w:shd w:val="clear" w:color="E7E6E6" w:fill="FFFFFF"/>
            <w:vAlign w:val="center"/>
          </w:tcPr>
          <w:p w14:paraId="04C1866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A3</w:t>
            </w:r>
          </w:p>
        </w:tc>
      </w:tr>
      <w:tr w:rsidR="00BF0919" w14:paraId="504B94C8" w14:textId="77777777" w:rsidTr="00326AE9">
        <w:trPr>
          <w:trHeight w:val="20"/>
        </w:trPr>
        <w:tc>
          <w:tcPr>
            <w:tcW w:w="2327" w:type="dxa"/>
            <w:vMerge/>
            <w:tcBorders>
              <w:top w:val="nil"/>
              <w:left w:val="nil"/>
              <w:bottom w:val="nil"/>
              <w:right w:val="nil"/>
            </w:tcBorders>
            <w:vAlign w:val="center"/>
          </w:tcPr>
          <w:p w14:paraId="19786ABE"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3BA3C667"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14FF2CEB"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Cradle-to-grave</w:t>
            </w:r>
          </w:p>
        </w:tc>
        <w:tc>
          <w:tcPr>
            <w:tcW w:w="647" w:type="dxa"/>
            <w:tcBorders>
              <w:top w:val="nil"/>
              <w:left w:val="nil"/>
              <w:right w:val="nil"/>
            </w:tcBorders>
            <w:shd w:val="clear" w:color="E7E6E6" w:fill="FFFFFF"/>
            <w:vAlign w:val="center"/>
          </w:tcPr>
          <w:p w14:paraId="1C6B027F"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A4</w:t>
            </w:r>
          </w:p>
        </w:tc>
      </w:tr>
      <w:tr w:rsidR="00BF0919" w14:paraId="7FC04652" w14:textId="77777777" w:rsidTr="00326AE9">
        <w:trPr>
          <w:trHeight w:val="20"/>
        </w:trPr>
        <w:tc>
          <w:tcPr>
            <w:tcW w:w="2327" w:type="dxa"/>
            <w:vMerge/>
            <w:tcBorders>
              <w:top w:val="nil"/>
              <w:left w:val="nil"/>
              <w:bottom w:val="nil"/>
              <w:right w:val="nil"/>
            </w:tcBorders>
            <w:vAlign w:val="center"/>
          </w:tcPr>
          <w:p w14:paraId="7E97A3E7"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1A77E0A9"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03F2841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 xml:space="preserve">Cradle-to-cradle </w:t>
            </w:r>
          </w:p>
        </w:tc>
        <w:tc>
          <w:tcPr>
            <w:tcW w:w="647" w:type="dxa"/>
            <w:tcBorders>
              <w:top w:val="nil"/>
              <w:left w:val="nil"/>
              <w:right w:val="nil"/>
            </w:tcBorders>
            <w:shd w:val="clear" w:color="E7E6E6" w:fill="FFFFFF"/>
            <w:vAlign w:val="center"/>
          </w:tcPr>
          <w:p w14:paraId="09C2584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A5</w:t>
            </w:r>
          </w:p>
        </w:tc>
      </w:tr>
      <w:tr w:rsidR="00BF0919" w14:paraId="018B7F1E" w14:textId="77777777" w:rsidTr="00326AE9">
        <w:trPr>
          <w:trHeight w:val="20"/>
        </w:trPr>
        <w:tc>
          <w:tcPr>
            <w:tcW w:w="2327" w:type="dxa"/>
            <w:vMerge/>
            <w:tcBorders>
              <w:top w:val="nil"/>
              <w:left w:val="nil"/>
              <w:bottom w:val="nil"/>
              <w:right w:val="nil"/>
            </w:tcBorders>
            <w:vAlign w:val="center"/>
          </w:tcPr>
          <w:p w14:paraId="0E56A50A"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tcBorders>
              <w:left w:val="nil"/>
            </w:tcBorders>
            <w:vAlign w:val="center"/>
          </w:tcPr>
          <w:p w14:paraId="2D061DD1"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left w:val="nil"/>
              <w:bottom w:val="single" w:sz="4" w:space="0" w:color="auto"/>
              <w:right w:val="nil"/>
            </w:tcBorders>
            <w:shd w:val="clear" w:color="E7E6E6" w:fill="FFFFFF"/>
            <w:vAlign w:val="center"/>
          </w:tcPr>
          <w:p w14:paraId="5EB2A2B5"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w:t>
            </w:r>
            <w:r>
              <w:rPr>
                <w:rFonts w:ascii="Times New Roman" w:eastAsia="等线" w:hAnsi="Times New Roman" w:cs="Times New Roman"/>
                <w:color w:val="000000"/>
                <w:kern w:val="0"/>
                <w:sz w:val="18"/>
                <w:szCs w:val="18"/>
              </w:rPr>
              <w:t>thers</w:t>
            </w:r>
          </w:p>
        </w:tc>
        <w:tc>
          <w:tcPr>
            <w:tcW w:w="647" w:type="dxa"/>
            <w:tcBorders>
              <w:left w:val="nil"/>
              <w:bottom w:val="single" w:sz="4" w:space="0" w:color="auto"/>
              <w:right w:val="nil"/>
            </w:tcBorders>
            <w:shd w:val="clear" w:color="E7E6E6" w:fill="FFFFFF"/>
            <w:vAlign w:val="center"/>
          </w:tcPr>
          <w:p w14:paraId="0618D40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A6</w:t>
            </w:r>
          </w:p>
        </w:tc>
      </w:tr>
      <w:tr w:rsidR="00BF0919" w14:paraId="48BABC07" w14:textId="77777777" w:rsidTr="00326AE9">
        <w:trPr>
          <w:trHeight w:val="20"/>
        </w:trPr>
        <w:tc>
          <w:tcPr>
            <w:tcW w:w="2327" w:type="dxa"/>
            <w:vMerge/>
            <w:tcBorders>
              <w:top w:val="nil"/>
              <w:left w:val="nil"/>
              <w:bottom w:val="nil"/>
              <w:right w:val="nil"/>
            </w:tcBorders>
            <w:vAlign w:val="center"/>
          </w:tcPr>
          <w:p w14:paraId="5F98628F"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val="restart"/>
            <w:tcBorders>
              <w:left w:val="nil"/>
            </w:tcBorders>
            <w:shd w:val="clear" w:color="E7E6E6" w:fill="FFFFFF"/>
            <w:vAlign w:val="center"/>
          </w:tcPr>
          <w:p w14:paraId="7409FEC9" w14:textId="77777777" w:rsidR="00BF0919" w:rsidRDefault="00BF0919">
            <w:pPr>
              <w:jc w:val="left"/>
              <w:rPr>
                <w:rFonts w:ascii="Times New Roman" w:eastAsia="等线" w:hAnsi="Times New Roman" w:cs="Times New Roman"/>
                <w:color w:val="000000"/>
                <w:kern w:val="0"/>
                <w:sz w:val="18"/>
                <w:szCs w:val="18"/>
              </w:rPr>
            </w:pPr>
            <w:bookmarkStart w:id="3" w:name="_Hlk99580466"/>
            <w:r>
              <w:rPr>
                <w:rFonts w:ascii="Times New Roman" w:eastAsia="等线" w:hAnsi="Times New Roman" w:cs="Times New Roman"/>
                <w:color w:val="000000"/>
                <w:kern w:val="0"/>
                <w:sz w:val="18"/>
                <w:szCs w:val="18"/>
              </w:rPr>
              <w:t>Geographic scope</w:t>
            </w:r>
            <w:bookmarkEnd w:id="3"/>
          </w:p>
        </w:tc>
        <w:tc>
          <w:tcPr>
            <w:tcW w:w="1927" w:type="dxa"/>
            <w:tcBorders>
              <w:top w:val="single" w:sz="4" w:space="0" w:color="auto"/>
              <w:left w:val="nil"/>
              <w:bottom w:val="nil"/>
              <w:right w:val="nil"/>
            </w:tcBorders>
            <w:shd w:val="clear" w:color="E7E6E6" w:fill="FFFFFF"/>
            <w:vAlign w:val="center"/>
          </w:tcPr>
          <w:p w14:paraId="3E804D78"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Building materials (binder)</w:t>
            </w:r>
          </w:p>
        </w:tc>
        <w:tc>
          <w:tcPr>
            <w:tcW w:w="647" w:type="dxa"/>
            <w:tcBorders>
              <w:top w:val="single" w:sz="4" w:space="0" w:color="auto"/>
              <w:left w:val="nil"/>
              <w:bottom w:val="nil"/>
              <w:right w:val="nil"/>
            </w:tcBorders>
            <w:shd w:val="clear" w:color="E7E6E6" w:fill="FFFFFF"/>
            <w:vAlign w:val="center"/>
          </w:tcPr>
          <w:p w14:paraId="5B28D68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B1</w:t>
            </w:r>
          </w:p>
        </w:tc>
      </w:tr>
      <w:tr w:rsidR="00BF0919" w14:paraId="5AF571C4" w14:textId="77777777" w:rsidTr="00326AE9">
        <w:trPr>
          <w:trHeight w:val="20"/>
        </w:trPr>
        <w:tc>
          <w:tcPr>
            <w:tcW w:w="2327" w:type="dxa"/>
            <w:vMerge/>
            <w:tcBorders>
              <w:top w:val="nil"/>
              <w:left w:val="nil"/>
              <w:bottom w:val="nil"/>
              <w:right w:val="nil"/>
            </w:tcBorders>
            <w:vAlign w:val="center"/>
          </w:tcPr>
          <w:p w14:paraId="3ECC4138"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3CEED1AB" w14:textId="77777777" w:rsidR="00BF0919" w:rsidRDefault="00BF0919">
            <w:pPr>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30EE5C2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Building materials (concrete or mortar)</w:t>
            </w:r>
          </w:p>
        </w:tc>
        <w:tc>
          <w:tcPr>
            <w:tcW w:w="647" w:type="dxa"/>
            <w:tcBorders>
              <w:top w:val="nil"/>
              <w:left w:val="nil"/>
              <w:right w:val="nil"/>
            </w:tcBorders>
            <w:shd w:val="clear" w:color="E7E6E6" w:fill="FFFFFF"/>
            <w:vAlign w:val="center"/>
          </w:tcPr>
          <w:p w14:paraId="4352CFA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B2</w:t>
            </w:r>
          </w:p>
        </w:tc>
      </w:tr>
      <w:tr w:rsidR="00BF0919" w14:paraId="177344BD" w14:textId="77777777" w:rsidTr="00326AE9">
        <w:trPr>
          <w:trHeight w:val="20"/>
        </w:trPr>
        <w:tc>
          <w:tcPr>
            <w:tcW w:w="2327" w:type="dxa"/>
            <w:vMerge/>
            <w:tcBorders>
              <w:top w:val="nil"/>
              <w:left w:val="nil"/>
              <w:bottom w:val="nil"/>
              <w:right w:val="nil"/>
            </w:tcBorders>
            <w:vAlign w:val="center"/>
          </w:tcPr>
          <w:p w14:paraId="151A5136"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2DAA3266"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755C4C37"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Building component or unit area</w:t>
            </w:r>
          </w:p>
        </w:tc>
        <w:tc>
          <w:tcPr>
            <w:tcW w:w="647" w:type="dxa"/>
            <w:tcBorders>
              <w:top w:val="nil"/>
              <w:left w:val="nil"/>
              <w:right w:val="nil"/>
            </w:tcBorders>
            <w:shd w:val="clear" w:color="E7E6E6" w:fill="FFFFFF"/>
            <w:vAlign w:val="center"/>
          </w:tcPr>
          <w:p w14:paraId="70E4E00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B3</w:t>
            </w:r>
          </w:p>
        </w:tc>
      </w:tr>
      <w:tr w:rsidR="00BF0919" w14:paraId="41372D29" w14:textId="77777777" w:rsidTr="00326AE9">
        <w:trPr>
          <w:trHeight w:val="20"/>
        </w:trPr>
        <w:tc>
          <w:tcPr>
            <w:tcW w:w="2327" w:type="dxa"/>
            <w:vMerge/>
            <w:tcBorders>
              <w:top w:val="nil"/>
              <w:left w:val="nil"/>
              <w:bottom w:val="nil"/>
              <w:right w:val="nil"/>
            </w:tcBorders>
            <w:vAlign w:val="center"/>
          </w:tcPr>
          <w:p w14:paraId="3C20B232"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4D60F018"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left w:val="nil"/>
              <w:bottom w:val="single" w:sz="4" w:space="0" w:color="auto"/>
              <w:right w:val="nil"/>
            </w:tcBorders>
            <w:shd w:val="clear" w:color="E7E6E6" w:fill="FFFFFF"/>
            <w:vAlign w:val="center"/>
          </w:tcPr>
          <w:p w14:paraId="1AE7B0F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Building as a whole</w:t>
            </w:r>
          </w:p>
        </w:tc>
        <w:tc>
          <w:tcPr>
            <w:tcW w:w="647" w:type="dxa"/>
            <w:tcBorders>
              <w:left w:val="nil"/>
              <w:bottom w:val="single" w:sz="4" w:space="0" w:color="auto"/>
              <w:right w:val="nil"/>
            </w:tcBorders>
            <w:shd w:val="clear" w:color="E7E6E6" w:fill="FFFFFF"/>
            <w:vAlign w:val="center"/>
          </w:tcPr>
          <w:p w14:paraId="457C00CA"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B4</w:t>
            </w:r>
          </w:p>
        </w:tc>
      </w:tr>
      <w:tr w:rsidR="00BF0919" w14:paraId="72A2BF69" w14:textId="77777777" w:rsidTr="00326AE9">
        <w:trPr>
          <w:trHeight w:val="50"/>
        </w:trPr>
        <w:tc>
          <w:tcPr>
            <w:tcW w:w="2327" w:type="dxa"/>
            <w:vMerge/>
            <w:tcBorders>
              <w:top w:val="nil"/>
              <w:left w:val="nil"/>
              <w:bottom w:val="nil"/>
              <w:right w:val="nil"/>
            </w:tcBorders>
            <w:vAlign w:val="center"/>
          </w:tcPr>
          <w:p w14:paraId="7CCC4752"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val="restart"/>
            <w:tcBorders>
              <w:left w:val="nil"/>
            </w:tcBorders>
            <w:shd w:val="clear" w:color="E7E6E6" w:fill="FFFFFF"/>
            <w:vAlign w:val="center"/>
          </w:tcPr>
          <w:p w14:paraId="43D9154B" w14:textId="77777777" w:rsidR="00BF0919" w:rsidRDefault="00BF0919">
            <w:pPr>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Low carbon concrete materials</w:t>
            </w:r>
          </w:p>
        </w:tc>
        <w:tc>
          <w:tcPr>
            <w:tcW w:w="1927" w:type="dxa"/>
            <w:tcBorders>
              <w:top w:val="single" w:sz="4" w:space="0" w:color="auto"/>
              <w:left w:val="nil"/>
              <w:bottom w:val="nil"/>
              <w:right w:val="nil"/>
            </w:tcBorders>
            <w:shd w:val="clear" w:color="E7E6E6" w:fill="FFFFFF"/>
            <w:vAlign w:val="center"/>
          </w:tcPr>
          <w:p w14:paraId="7A12A580"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SCMs (Fly ash)</w:t>
            </w:r>
          </w:p>
        </w:tc>
        <w:tc>
          <w:tcPr>
            <w:tcW w:w="647" w:type="dxa"/>
            <w:tcBorders>
              <w:top w:val="single" w:sz="4" w:space="0" w:color="auto"/>
              <w:left w:val="nil"/>
              <w:bottom w:val="nil"/>
              <w:right w:val="nil"/>
            </w:tcBorders>
            <w:shd w:val="clear" w:color="E7E6E6" w:fill="FFFFFF"/>
            <w:vAlign w:val="center"/>
          </w:tcPr>
          <w:p w14:paraId="386415BD"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C1</w:t>
            </w:r>
          </w:p>
        </w:tc>
      </w:tr>
      <w:tr w:rsidR="00BF0919" w14:paraId="157DB281" w14:textId="77777777" w:rsidTr="00326AE9">
        <w:trPr>
          <w:trHeight w:val="20"/>
        </w:trPr>
        <w:tc>
          <w:tcPr>
            <w:tcW w:w="2327" w:type="dxa"/>
            <w:vMerge/>
            <w:tcBorders>
              <w:top w:val="nil"/>
              <w:left w:val="nil"/>
              <w:bottom w:val="nil"/>
              <w:right w:val="nil"/>
            </w:tcBorders>
            <w:vAlign w:val="center"/>
          </w:tcPr>
          <w:p w14:paraId="6896117C"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6029A314"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386218B9"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SCMs (</w:t>
            </w:r>
            <w:bookmarkStart w:id="4" w:name="_Hlk101912607"/>
            <w:r>
              <w:rPr>
                <w:rFonts w:ascii="Times New Roman" w:eastAsia="等线" w:hAnsi="Times New Roman" w:cs="Times New Roman"/>
                <w:color w:val="000000"/>
                <w:kern w:val="0"/>
                <w:sz w:val="16"/>
                <w:szCs w:val="16"/>
              </w:rPr>
              <w:t>Ground granulated blast-furnace slag</w:t>
            </w:r>
            <w:bookmarkEnd w:id="4"/>
            <w:r>
              <w:rPr>
                <w:rFonts w:ascii="Times New Roman" w:eastAsia="等线" w:hAnsi="Times New Roman" w:cs="Times New Roman"/>
                <w:color w:val="000000"/>
                <w:kern w:val="0"/>
                <w:sz w:val="16"/>
                <w:szCs w:val="16"/>
              </w:rPr>
              <w:t>)</w:t>
            </w:r>
          </w:p>
        </w:tc>
        <w:tc>
          <w:tcPr>
            <w:tcW w:w="647" w:type="dxa"/>
            <w:tcBorders>
              <w:top w:val="nil"/>
              <w:left w:val="nil"/>
              <w:bottom w:val="nil"/>
              <w:right w:val="nil"/>
            </w:tcBorders>
            <w:shd w:val="clear" w:color="E7E6E6" w:fill="FFFFFF"/>
            <w:vAlign w:val="center"/>
          </w:tcPr>
          <w:p w14:paraId="265B3E9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C2</w:t>
            </w:r>
          </w:p>
        </w:tc>
      </w:tr>
      <w:tr w:rsidR="00BF0919" w14:paraId="557E82C7" w14:textId="77777777" w:rsidTr="00326AE9">
        <w:trPr>
          <w:trHeight w:val="20"/>
        </w:trPr>
        <w:tc>
          <w:tcPr>
            <w:tcW w:w="2327" w:type="dxa"/>
            <w:vMerge/>
            <w:tcBorders>
              <w:top w:val="nil"/>
              <w:left w:val="nil"/>
              <w:bottom w:val="nil"/>
              <w:right w:val="nil"/>
            </w:tcBorders>
            <w:vAlign w:val="center"/>
          </w:tcPr>
          <w:p w14:paraId="1235AB73"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2FFF112D"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6742C03D"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SCMs (Silica fume)</w:t>
            </w:r>
          </w:p>
        </w:tc>
        <w:tc>
          <w:tcPr>
            <w:tcW w:w="647" w:type="dxa"/>
            <w:tcBorders>
              <w:top w:val="nil"/>
              <w:left w:val="nil"/>
              <w:right w:val="nil"/>
            </w:tcBorders>
            <w:shd w:val="clear" w:color="E7E6E6" w:fill="FFFFFF"/>
            <w:vAlign w:val="center"/>
          </w:tcPr>
          <w:p w14:paraId="06D5DCA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C3</w:t>
            </w:r>
          </w:p>
        </w:tc>
      </w:tr>
      <w:tr w:rsidR="00BF0919" w14:paraId="497FFF4F" w14:textId="77777777" w:rsidTr="00326AE9">
        <w:trPr>
          <w:trHeight w:val="20"/>
        </w:trPr>
        <w:tc>
          <w:tcPr>
            <w:tcW w:w="2327" w:type="dxa"/>
            <w:vMerge/>
            <w:tcBorders>
              <w:top w:val="nil"/>
              <w:left w:val="nil"/>
              <w:bottom w:val="nil"/>
              <w:right w:val="nil"/>
            </w:tcBorders>
            <w:vAlign w:val="center"/>
          </w:tcPr>
          <w:p w14:paraId="716BE827"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53B61488"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0B3E82B2"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SCMs (others)</w:t>
            </w:r>
          </w:p>
        </w:tc>
        <w:tc>
          <w:tcPr>
            <w:tcW w:w="647" w:type="dxa"/>
            <w:tcBorders>
              <w:top w:val="nil"/>
              <w:left w:val="nil"/>
              <w:right w:val="nil"/>
            </w:tcBorders>
            <w:shd w:val="clear" w:color="E7E6E6" w:fill="FFFFFF"/>
            <w:vAlign w:val="center"/>
          </w:tcPr>
          <w:p w14:paraId="78289F9B"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C4</w:t>
            </w:r>
          </w:p>
        </w:tc>
      </w:tr>
      <w:tr w:rsidR="00BF0919" w14:paraId="4946F868" w14:textId="77777777" w:rsidTr="00326AE9">
        <w:trPr>
          <w:trHeight w:val="20"/>
        </w:trPr>
        <w:tc>
          <w:tcPr>
            <w:tcW w:w="2327" w:type="dxa"/>
            <w:vMerge/>
            <w:tcBorders>
              <w:top w:val="nil"/>
              <w:left w:val="nil"/>
              <w:bottom w:val="nil"/>
              <w:right w:val="nil"/>
            </w:tcBorders>
            <w:vAlign w:val="center"/>
          </w:tcPr>
          <w:p w14:paraId="4E72593B"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shd w:val="clear" w:color="E7E6E6" w:fill="FFFFFF"/>
            <w:vAlign w:val="center"/>
          </w:tcPr>
          <w:p w14:paraId="13D61CFB"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left w:val="nil"/>
              <w:bottom w:val="nil"/>
              <w:right w:val="nil"/>
            </w:tcBorders>
            <w:shd w:val="clear" w:color="E7E6E6" w:fill="FFFFFF"/>
            <w:vAlign w:val="center"/>
          </w:tcPr>
          <w:p w14:paraId="182275EB"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6"/>
                <w:szCs w:val="16"/>
              </w:rPr>
              <w:t>LCBs (Alkali-activated binders)</w:t>
            </w:r>
          </w:p>
        </w:tc>
        <w:tc>
          <w:tcPr>
            <w:tcW w:w="647" w:type="dxa"/>
            <w:tcBorders>
              <w:left w:val="nil"/>
              <w:bottom w:val="nil"/>
              <w:right w:val="nil"/>
            </w:tcBorders>
            <w:shd w:val="clear" w:color="E7E6E6" w:fill="FFFFFF"/>
            <w:vAlign w:val="center"/>
          </w:tcPr>
          <w:p w14:paraId="7D127CB4"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C5</w:t>
            </w:r>
          </w:p>
        </w:tc>
      </w:tr>
      <w:tr w:rsidR="00BF0919" w14:paraId="01DA9A90" w14:textId="77777777" w:rsidTr="00326AE9">
        <w:trPr>
          <w:trHeight w:val="20"/>
        </w:trPr>
        <w:tc>
          <w:tcPr>
            <w:tcW w:w="2327" w:type="dxa"/>
            <w:vMerge/>
            <w:tcBorders>
              <w:top w:val="nil"/>
              <w:left w:val="nil"/>
              <w:bottom w:val="nil"/>
              <w:right w:val="nil"/>
            </w:tcBorders>
            <w:vAlign w:val="center"/>
          </w:tcPr>
          <w:p w14:paraId="42B480BA"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21BB3C55"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27065DC6" w14:textId="77777777" w:rsidR="00BF0919" w:rsidRDefault="00BF0919">
            <w:pPr>
              <w:widowControl/>
              <w:jc w:val="center"/>
              <w:rPr>
                <w:rFonts w:ascii="Times New Roman" w:eastAsia="等线" w:hAnsi="Times New Roman" w:cs="Times New Roman"/>
                <w:color w:val="000000"/>
                <w:kern w:val="0"/>
                <w:sz w:val="16"/>
                <w:szCs w:val="16"/>
              </w:rPr>
            </w:pPr>
            <w:proofErr w:type="spellStart"/>
            <w:r>
              <w:rPr>
                <w:rFonts w:ascii="Times New Roman" w:eastAsia="等线" w:hAnsi="Times New Roman" w:cs="Times New Roman"/>
                <w:color w:val="000000"/>
                <w:kern w:val="0"/>
                <w:sz w:val="16"/>
                <w:szCs w:val="16"/>
              </w:rPr>
              <w:t>LCBs</w:t>
            </w:r>
            <w:proofErr w:type="spellEnd"/>
            <w:r>
              <w:rPr>
                <w:rFonts w:ascii="Times New Roman" w:eastAsia="等线" w:hAnsi="Times New Roman" w:cs="Times New Roman"/>
                <w:color w:val="000000"/>
                <w:kern w:val="0"/>
                <w:sz w:val="16"/>
                <w:szCs w:val="16"/>
              </w:rPr>
              <w:t xml:space="preserve"> (Calcium </w:t>
            </w:r>
            <w:proofErr w:type="spellStart"/>
            <w:r>
              <w:rPr>
                <w:rFonts w:ascii="Times New Roman" w:eastAsia="等线" w:hAnsi="Times New Roman" w:cs="Times New Roman"/>
                <w:color w:val="000000"/>
                <w:kern w:val="0"/>
                <w:sz w:val="16"/>
                <w:szCs w:val="16"/>
              </w:rPr>
              <w:t>sulfoaluminate</w:t>
            </w:r>
            <w:proofErr w:type="spellEnd"/>
            <w:r>
              <w:rPr>
                <w:rFonts w:ascii="Times New Roman" w:eastAsia="等线" w:hAnsi="Times New Roman" w:cs="Times New Roman"/>
                <w:color w:val="000000"/>
                <w:kern w:val="0"/>
                <w:sz w:val="16"/>
                <w:szCs w:val="16"/>
              </w:rPr>
              <w:t xml:space="preserve"> binders)</w:t>
            </w:r>
          </w:p>
        </w:tc>
        <w:tc>
          <w:tcPr>
            <w:tcW w:w="647" w:type="dxa"/>
            <w:tcBorders>
              <w:top w:val="nil"/>
              <w:left w:val="nil"/>
              <w:bottom w:val="nil"/>
              <w:right w:val="nil"/>
            </w:tcBorders>
            <w:shd w:val="clear" w:color="E7E6E6" w:fill="FFFFFF"/>
            <w:vAlign w:val="center"/>
          </w:tcPr>
          <w:p w14:paraId="3A48470D"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C6</w:t>
            </w:r>
          </w:p>
        </w:tc>
      </w:tr>
      <w:tr w:rsidR="00BF0919" w14:paraId="3E537602" w14:textId="77777777" w:rsidTr="00326AE9">
        <w:trPr>
          <w:trHeight w:val="60"/>
        </w:trPr>
        <w:tc>
          <w:tcPr>
            <w:tcW w:w="2327" w:type="dxa"/>
            <w:vMerge/>
            <w:tcBorders>
              <w:top w:val="nil"/>
              <w:left w:val="nil"/>
              <w:bottom w:val="nil"/>
              <w:right w:val="nil"/>
            </w:tcBorders>
            <w:vAlign w:val="center"/>
          </w:tcPr>
          <w:p w14:paraId="3A683BD0"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4BCB6891" w14:textId="77777777" w:rsidR="00BF0919" w:rsidRDefault="00BF0919">
            <w:pPr>
              <w:jc w:val="center"/>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55775086" w14:textId="77777777" w:rsidR="00BF0919" w:rsidRDefault="00BF0919">
            <w:pPr>
              <w:widowControl/>
              <w:jc w:val="center"/>
              <w:rPr>
                <w:rFonts w:ascii="Times New Roman" w:eastAsia="等线" w:hAnsi="Times New Roman" w:cs="Times New Roman"/>
                <w:color w:val="000000"/>
                <w:kern w:val="0"/>
                <w:sz w:val="16"/>
                <w:szCs w:val="16"/>
              </w:rPr>
            </w:pPr>
            <w:bookmarkStart w:id="5" w:name="_Hlk99489826"/>
            <w:r>
              <w:rPr>
                <w:rFonts w:ascii="Times New Roman" w:eastAsia="等线" w:hAnsi="Times New Roman" w:cs="Times New Roman"/>
                <w:color w:val="000000"/>
                <w:kern w:val="0"/>
                <w:sz w:val="16"/>
                <w:szCs w:val="16"/>
              </w:rPr>
              <w:t>Recycled concrete aggregates</w:t>
            </w:r>
            <w:bookmarkEnd w:id="5"/>
          </w:p>
        </w:tc>
        <w:tc>
          <w:tcPr>
            <w:tcW w:w="647" w:type="dxa"/>
            <w:tcBorders>
              <w:top w:val="nil"/>
              <w:left w:val="nil"/>
              <w:right w:val="nil"/>
            </w:tcBorders>
            <w:shd w:val="clear" w:color="E7E6E6" w:fill="FFFFFF"/>
            <w:vAlign w:val="center"/>
          </w:tcPr>
          <w:p w14:paraId="5D591A51"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C7</w:t>
            </w:r>
          </w:p>
        </w:tc>
      </w:tr>
      <w:tr w:rsidR="00BF0919" w14:paraId="2E812C48" w14:textId="77777777" w:rsidTr="00326AE9">
        <w:trPr>
          <w:trHeight w:val="20"/>
        </w:trPr>
        <w:tc>
          <w:tcPr>
            <w:tcW w:w="2327" w:type="dxa"/>
            <w:vMerge/>
            <w:tcBorders>
              <w:top w:val="nil"/>
              <w:left w:val="nil"/>
              <w:bottom w:val="single" w:sz="4" w:space="0" w:color="auto"/>
              <w:right w:val="nil"/>
            </w:tcBorders>
            <w:vAlign w:val="center"/>
          </w:tcPr>
          <w:p w14:paraId="22E309BD"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bottom w:val="single" w:sz="4" w:space="0" w:color="auto"/>
            </w:tcBorders>
            <w:shd w:val="clear" w:color="E7E6E6" w:fill="FFFFFF"/>
            <w:vAlign w:val="center"/>
          </w:tcPr>
          <w:p w14:paraId="7AF9576C" w14:textId="77777777" w:rsidR="00BF0919" w:rsidRDefault="00BF0919">
            <w:pPr>
              <w:widowControl/>
              <w:jc w:val="center"/>
              <w:rPr>
                <w:rFonts w:ascii="Times New Roman" w:eastAsia="等线" w:hAnsi="Times New Roman" w:cs="Times New Roman"/>
                <w:color w:val="000000"/>
                <w:kern w:val="0"/>
                <w:sz w:val="18"/>
                <w:szCs w:val="18"/>
              </w:rPr>
            </w:pPr>
          </w:p>
        </w:tc>
        <w:tc>
          <w:tcPr>
            <w:tcW w:w="1927" w:type="dxa"/>
            <w:tcBorders>
              <w:left w:val="nil"/>
              <w:bottom w:val="nil"/>
              <w:right w:val="nil"/>
            </w:tcBorders>
            <w:shd w:val="clear" w:color="E7E6E6" w:fill="FFFFFF"/>
            <w:vAlign w:val="center"/>
          </w:tcPr>
          <w:p w14:paraId="4A9BBA2D" w14:textId="77777777" w:rsidR="00BF0919" w:rsidRDefault="00BF0919">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color w:val="000000"/>
                <w:kern w:val="0"/>
                <w:sz w:val="18"/>
                <w:szCs w:val="18"/>
              </w:rPr>
              <w:t>High strength concrete</w:t>
            </w:r>
          </w:p>
        </w:tc>
        <w:tc>
          <w:tcPr>
            <w:tcW w:w="647" w:type="dxa"/>
            <w:tcBorders>
              <w:left w:val="nil"/>
              <w:bottom w:val="nil"/>
              <w:right w:val="nil"/>
            </w:tcBorders>
            <w:shd w:val="clear" w:color="E7E6E6" w:fill="FFFFFF"/>
            <w:vAlign w:val="center"/>
          </w:tcPr>
          <w:p w14:paraId="5342389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C8</w:t>
            </w:r>
          </w:p>
        </w:tc>
      </w:tr>
      <w:tr w:rsidR="00BF0919" w14:paraId="0A104498" w14:textId="77777777" w:rsidTr="00326AE9">
        <w:trPr>
          <w:trHeight w:val="20"/>
        </w:trPr>
        <w:tc>
          <w:tcPr>
            <w:tcW w:w="2327" w:type="dxa"/>
            <w:vMerge w:val="restart"/>
            <w:tcBorders>
              <w:top w:val="single" w:sz="4" w:space="0" w:color="auto"/>
              <w:left w:val="nil"/>
              <w:right w:val="nil"/>
            </w:tcBorders>
            <w:shd w:val="clear" w:color="E7E6E6" w:fill="FFFFFF"/>
            <w:vAlign w:val="center"/>
          </w:tcPr>
          <w:p w14:paraId="2C8C8792" w14:textId="77777777" w:rsidR="00BF0919" w:rsidRDefault="00BF0919">
            <w:pPr>
              <w:jc w:val="left"/>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Methodology dimension</w:t>
            </w:r>
          </w:p>
        </w:tc>
        <w:tc>
          <w:tcPr>
            <w:tcW w:w="1619" w:type="dxa"/>
            <w:vMerge w:val="restart"/>
            <w:tcBorders>
              <w:top w:val="single" w:sz="4" w:space="0" w:color="auto"/>
              <w:left w:val="nil"/>
            </w:tcBorders>
            <w:shd w:val="clear" w:color="E7E6E6" w:fill="FFFFFF"/>
            <w:vAlign w:val="center"/>
          </w:tcPr>
          <w:p w14:paraId="2639B578"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LCA method</w:t>
            </w:r>
          </w:p>
        </w:tc>
        <w:tc>
          <w:tcPr>
            <w:tcW w:w="1927" w:type="dxa"/>
            <w:tcBorders>
              <w:top w:val="single" w:sz="4" w:space="0" w:color="auto"/>
              <w:left w:val="nil"/>
              <w:bottom w:val="nil"/>
              <w:right w:val="nil"/>
            </w:tcBorders>
            <w:shd w:val="clear" w:color="E7E6E6" w:fill="FFFFFF"/>
            <w:vAlign w:val="center"/>
          </w:tcPr>
          <w:p w14:paraId="0EF396B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Process based</w:t>
            </w:r>
          </w:p>
        </w:tc>
        <w:tc>
          <w:tcPr>
            <w:tcW w:w="647" w:type="dxa"/>
            <w:tcBorders>
              <w:top w:val="single" w:sz="4" w:space="0" w:color="auto"/>
              <w:left w:val="nil"/>
              <w:bottom w:val="nil"/>
              <w:right w:val="nil"/>
            </w:tcBorders>
            <w:shd w:val="clear" w:color="E7E6E6" w:fill="FFFFFF"/>
            <w:vAlign w:val="center"/>
          </w:tcPr>
          <w:p w14:paraId="31EA717B"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D1</w:t>
            </w:r>
          </w:p>
        </w:tc>
      </w:tr>
      <w:tr w:rsidR="00BF0919" w14:paraId="6A167934" w14:textId="77777777" w:rsidTr="00326AE9">
        <w:trPr>
          <w:trHeight w:val="20"/>
        </w:trPr>
        <w:tc>
          <w:tcPr>
            <w:tcW w:w="2327" w:type="dxa"/>
            <w:vMerge/>
            <w:tcBorders>
              <w:left w:val="nil"/>
              <w:right w:val="nil"/>
            </w:tcBorders>
            <w:shd w:val="clear" w:color="E7E6E6" w:fill="FFFFFF"/>
            <w:vAlign w:val="center"/>
          </w:tcPr>
          <w:p w14:paraId="2D242495" w14:textId="77777777" w:rsidR="00BF0919" w:rsidRDefault="00BF0919">
            <w:pPr>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5E9C25CB"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2762C965"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Input-output (I-O)</w:t>
            </w:r>
          </w:p>
        </w:tc>
        <w:tc>
          <w:tcPr>
            <w:tcW w:w="647" w:type="dxa"/>
            <w:tcBorders>
              <w:top w:val="nil"/>
              <w:left w:val="nil"/>
              <w:right w:val="nil"/>
            </w:tcBorders>
            <w:shd w:val="clear" w:color="E7E6E6" w:fill="FFFFFF"/>
            <w:vAlign w:val="center"/>
          </w:tcPr>
          <w:p w14:paraId="13D4E9B5"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D2</w:t>
            </w:r>
          </w:p>
        </w:tc>
      </w:tr>
      <w:tr w:rsidR="00BF0919" w14:paraId="514CD157" w14:textId="77777777" w:rsidTr="00326AE9">
        <w:trPr>
          <w:trHeight w:val="20"/>
        </w:trPr>
        <w:tc>
          <w:tcPr>
            <w:tcW w:w="2327" w:type="dxa"/>
            <w:vMerge/>
            <w:tcBorders>
              <w:left w:val="nil"/>
              <w:right w:val="nil"/>
            </w:tcBorders>
            <w:shd w:val="clear" w:color="E7E6E6" w:fill="FFFFFF"/>
            <w:vAlign w:val="center"/>
          </w:tcPr>
          <w:p w14:paraId="7B349F6C" w14:textId="77777777" w:rsidR="00BF0919" w:rsidRDefault="00BF0919">
            <w:pPr>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2CD4E2C7"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single" w:sz="4" w:space="0" w:color="auto"/>
              <w:right w:val="nil"/>
            </w:tcBorders>
            <w:shd w:val="clear" w:color="E7E6E6" w:fill="FFFFFF"/>
            <w:vAlign w:val="center"/>
          </w:tcPr>
          <w:p w14:paraId="7E0CBF8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Hybrid</w:t>
            </w:r>
          </w:p>
        </w:tc>
        <w:tc>
          <w:tcPr>
            <w:tcW w:w="647" w:type="dxa"/>
            <w:tcBorders>
              <w:top w:val="nil"/>
              <w:left w:val="nil"/>
              <w:bottom w:val="single" w:sz="4" w:space="0" w:color="auto"/>
              <w:right w:val="nil"/>
            </w:tcBorders>
            <w:shd w:val="clear" w:color="E7E6E6" w:fill="FFFFFF"/>
            <w:vAlign w:val="center"/>
          </w:tcPr>
          <w:p w14:paraId="4A1CE367"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D3</w:t>
            </w:r>
          </w:p>
        </w:tc>
      </w:tr>
      <w:tr w:rsidR="00BF0919" w14:paraId="688A00C6" w14:textId="77777777" w:rsidTr="00326AE9">
        <w:trPr>
          <w:trHeight w:val="20"/>
        </w:trPr>
        <w:tc>
          <w:tcPr>
            <w:tcW w:w="2327" w:type="dxa"/>
            <w:vMerge/>
            <w:tcBorders>
              <w:left w:val="nil"/>
              <w:right w:val="nil"/>
            </w:tcBorders>
            <w:shd w:val="clear" w:color="E7E6E6" w:fill="FFFFFF"/>
            <w:vAlign w:val="center"/>
          </w:tcPr>
          <w:p w14:paraId="0B07D82A" w14:textId="77777777" w:rsidR="00BF0919" w:rsidRDefault="00BF0919">
            <w:pPr>
              <w:jc w:val="left"/>
              <w:rPr>
                <w:rFonts w:ascii="Times New Roman" w:eastAsia="等线" w:hAnsi="Times New Roman" w:cs="Times New Roman"/>
                <w:color w:val="000000"/>
                <w:kern w:val="0"/>
                <w:sz w:val="18"/>
                <w:szCs w:val="18"/>
              </w:rPr>
            </w:pPr>
          </w:p>
        </w:tc>
        <w:tc>
          <w:tcPr>
            <w:tcW w:w="1619" w:type="dxa"/>
            <w:vMerge w:val="restart"/>
            <w:tcBorders>
              <w:left w:val="nil"/>
            </w:tcBorders>
            <w:shd w:val="clear" w:color="E7E6E6" w:fill="FFFFFF"/>
            <w:vAlign w:val="center"/>
          </w:tcPr>
          <w:p w14:paraId="46FC89C4" w14:textId="77777777" w:rsidR="00BF0919" w:rsidRDefault="00BF0919">
            <w:pPr>
              <w:widowControl/>
              <w:jc w:val="center"/>
              <w:rPr>
                <w:rFonts w:ascii="Times New Roman" w:eastAsia="等线" w:hAnsi="Times New Roman" w:cs="Times New Roman"/>
                <w:color w:val="000000"/>
                <w:kern w:val="0"/>
                <w:sz w:val="18"/>
                <w:szCs w:val="18"/>
              </w:rPr>
            </w:pPr>
            <w:bookmarkStart w:id="6" w:name="_Hlk99920493"/>
            <w:r>
              <w:rPr>
                <w:rFonts w:ascii="Times New Roman" w:eastAsia="等线" w:hAnsi="Times New Roman" w:cs="Times New Roman"/>
                <w:color w:val="000000"/>
                <w:kern w:val="0"/>
                <w:sz w:val="18"/>
                <w:szCs w:val="18"/>
              </w:rPr>
              <w:t xml:space="preserve">Unit of analysis </w:t>
            </w:r>
            <w:bookmarkEnd w:id="6"/>
          </w:p>
        </w:tc>
        <w:tc>
          <w:tcPr>
            <w:tcW w:w="1927" w:type="dxa"/>
            <w:tcBorders>
              <w:top w:val="single" w:sz="4" w:space="0" w:color="auto"/>
              <w:left w:val="nil"/>
              <w:bottom w:val="nil"/>
              <w:right w:val="nil"/>
            </w:tcBorders>
            <w:shd w:val="clear" w:color="E7E6E6" w:fill="FFFFFF"/>
            <w:vAlign w:val="center"/>
          </w:tcPr>
          <w:p w14:paraId="613DFB1E"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Per unit of material</w:t>
            </w:r>
          </w:p>
        </w:tc>
        <w:tc>
          <w:tcPr>
            <w:tcW w:w="647" w:type="dxa"/>
            <w:tcBorders>
              <w:top w:val="single" w:sz="4" w:space="0" w:color="auto"/>
              <w:left w:val="nil"/>
              <w:bottom w:val="nil"/>
              <w:right w:val="nil"/>
            </w:tcBorders>
            <w:shd w:val="clear" w:color="E7E6E6" w:fill="FFFFFF"/>
            <w:vAlign w:val="center"/>
          </w:tcPr>
          <w:p w14:paraId="21D7A2B7"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E1</w:t>
            </w:r>
          </w:p>
        </w:tc>
      </w:tr>
      <w:tr w:rsidR="00BF0919" w14:paraId="4E88114E" w14:textId="77777777" w:rsidTr="00326AE9">
        <w:trPr>
          <w:trHeight w:val="20"/>
        </w:trPr>
        <w:tc>
          <w:tcPr>
            <w:tcW w:w="2327" w:type="dxa"/>
            <w:vMerge/>
            <w:tcBorders>
              <w:left w:val="nil"/>
              <w:right w:val="nil"/>
            </w:tcBorders>
            <w:shd w:val="clear" w:color="E7E6E6" w:fill="FFFFFF"/>
            <w:vAlign w:val="center"/>
          </w:tcPr>
          <w:p w14:paraId="114C91E9" w14:textId="77777777" w:rsidR="00BF0919" w:rsidRDefault="00BF0919">
            <w:pPr>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4186534A"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593607D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Per unit of component</w:t>
            </w:r>
          </w:p>
        </w:tc>
        <w:tc>
          <w:tcPr>
            <w:tcW w:w="647" w:type="dxa"/>
            <w:tcBorders>
              <w:top w:val="nil"/>
              <w:left w:val="nil"/>
              <w:bottom w:val="nil"/>
              <w:right w:val="nil"/>
            </w:tcBorders>
            <w:shd w:val="clear" w:color="E7E6E6" w:fill="FFFFFF"/>
            <w:vAlign w:val="center"/>
          </w:tcPr>
          <w:p w14:paraId="08D7814D"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E2</w:t>
            </w:r>
          </w:p>
        </w:tc>
      </w:tr>
      <w:tr w:rsidR="00BF0919" w14:paraId="313702E3" w14:textId="77777777" w:rsidTr="00326AE9">
        <w:trPr>
          <w:trHeight w:val="20"/>
        </w:trPr>
        <w:tc>
          <w:tcPr>
            <w:tcW w:w="2327" w:type="dxa"/>
            <w:vMerge/>
            <w:tcBorders>
              <w:left w:val="nil"/>
              <w:right w:val="nil"/>
            </w:tcBorders>
            <w:shd w:val="clear" w:color="E7E6E6" w:fill="FFFFFF"/>
            <w:vAlign w:val="center"/>
          </w:tcPr>
          <w:p w14:paraId="550CCF3A"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6776C181"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right w:val="nil"/>
            </w:tcBorders>
            <w:shd w:val="clear" w:color="E7E6E6" w:fill="FFFFFF"/>
            <w:vAlign w:val="center"/>
          </w:tcPr>
          <w:p w14:paraId="51EA5F1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1 m</w:t>
            </w:r>
            <w:r>
              <w:rPr>
                <w:rFonts w:ascii="Times New Roman" w:eastAsia="等线" w:hAnsi="Times New Roman" w:cs="Times New Roman"/>
                <w:color w:val="000000"/>
                <w:kern w:val="0"/>
                <w:sz w:val="18"/>
                <w:szCs w:val="18"/>
                <w:vertAlign w:val="superscript"/>
              </w:rPr>
              <w:t>2</w:t>
            </w:r>
            <w:r>
              <w:rPr>
                <w:rFonts w:ascii="Times New Roman" w:eastAsia="等线" w:hAnsi="Times New Roman" w:cs="Times New Roman"/>
                <w:color w:val="000000"/>
                <w:kern w:val="0"/>
                <w:sz w:val="18"/>
                <w:szCs w:val="18"/>
              </w:rPr>
              <w:t xml:space="preserve"> floor area</w:t>
            </w:r>
            <w:r w:rsidDel="004151D4">
              <w:rPr>
                <w:rFonts w:ascii="Times New Roman" w:eastAsia="等线" w:hAnsi="Times New Roman" w:cs="Times New Roman"/>
                <w:color w:val="000000"/>
                <w:kern w:val="0"/>
                <w:sz w:val="18"/>
                <w:szCs w:val="18"/>
              </w:rPr>
              <w:t xml:space="preserve"> </w:t>
            </w:r>
          </w:p>
        </w:tc>
        <w:tc>
          <w:tcPr>
            <w:tcW w:w="647" w:type="dxa"/>
            <w:tcBorders>
              <w:top w:val="nil"/>
              <w:left w:val="nil"/>
              <w:right w:val="nil"/>
            </w:tcBorders>
            <w:shd w:val="clear" w:color="E7E6E6" w:fill="FFFFFF"/>
            <w:vAlign w:val="center"/>
          </w:tcPr>
          <w:p w14:paraId="274F889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E3</w:t>
            </w:r>
          </w:p>
        </w:tc>
      </w:tr>
      <w:tr w:rsidR="00BF0919" w14:paraId="7E60E240" w14:textId="77777777" w:rsidTr="00326AE9">
        <w:trPr>
          <w:trHeight w:val="20"/>
        </w:trPr>
        <w:tc>
          <w:tcPr>
            <w:tcW w:w="2327" w:type="dxa"/>
            <w:vMerge/>
            <w:tcBorders>
              <w:left w:val="nil"/>
              <w:right w:val="nil"/>
            </w:tcBorders>
            <w:shd w:val="clear" w:color="E7E6E6" w:fill="FFFFFF"/>
            <w:vAlign w:val="center"/>
          </w:tcPr>
          <w:p w14:paraId="26767AA2"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2A4B6D39"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single" w:sz="4" w:space="0" w:color="auto"/>
              <w:right w:val="nil"/>
            </w:tcBorders>
            <w:shd w:val="clear" w:color="E7E6E6" w:fill="FFFFFF"/>
            <w:vAlign w:val="center"/>
          </w:tcPr>
          <w:p w14:paraId="2AA9EB6A"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Whole building</w:t>
            </w:r>
            <w:r w:rsidDel="004151D4">
              <w:rPr>
                <w:rFonts w:ascii="Times New Roman" w:eastAsia="等线" w:hAnsi="Times New Roman" w:cs="Times New Roman"/>
                <w:color w:val="000000"/>
                <w:kern w:val="0"/>
                <w:sz w:val="18"/>
                <w:szCs w:val="18"/>
              </w:rPr>
              <w:t xml:space="preserve"> </w:t>
            </w:r>
          </w:p>
        </w:tc>
        <w:tc>
          <w:tcPr>
            <w:tcW w:w="647" w:type="dxa"/>
            <w:tcBorders>
              <w:top w:val="nil"/>
              <w:left w:val="nil"/>
              <w:bottom w:val="single" w:sz="4" w:space="0" w:color="auto"/>
              <w:right w:val="nil"/>
            </w:tcBorders>
            <w:shd w:val="clear" w:color="E7E6E6" w:fill="FFFFFF"/>
            <w:vAlign w:val="center"/>
          </w:tcPr>
          <w:p w14:paraId="53B914D4"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E4</w:t>
            </w:r>
          </w:p>
        </w:tc>
      </w:tr>
      <w:tr w:rsidR="00BF0919" w14:paraId="56B37CCC" w14:textId="77777777" w:rsidTr="00326AE9">
        <w:trPr>
          <w:trHeight w:val="189"/>
        </w:trPr>
        <w:tc>
          <w:tcPr>
            <w:tcW w:w="2327" w:type="dxa"/>
            <w:vMerge/>
            <w:tcBorders>
              <w:left w:val="nil"/>
              <w:right w:val="nil"/>
            </w:tcBorders>
            <w:shd w:val="clear" w:color="E7E6E6" w:fill="FFFFFF"/>
            <w:vAlign w:val="center"/>
          </w:tcPr>
          <w:p w14:paraId="65D4BE43"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val="restart"/>
            <w:tcBorders>
              <w:left w:val="nil"/>
            </w:tcBorders>
            <w:shd w:val="clear" w:color="E7E6E6" w:fill="FFFFFF"/>
            <w:vAlign w:val="center"/>
          </w:tcPr>
          <w:p w14:paraId="2D940AD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 xml:space="preserve">Research method </w:t>
            </w:r>
          </w:p>
        </w:tc>
        <w:tc>
          <w:tcPr>
            <w:tcW w:w="1927" w:type="dxa"/>
            <w:vMerge w:val="restart"/>
            <w:tcBorders>
              <w:top w:val="single" w:sz="4" w:space="0" w:color="auto"/>
              <w:left w:val="nil"/>
              <w:right w:val="nil"/>
            </w:tcBorders>
            <w:shd w:val="clear" w:color="E7E6E6" w:fill="FFFFFF"/>
            <w:vAlign w:val="center"/>
          </w:tcPr>
          <w:p w14:paraId="2371000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Material testing (Durability)</w:t>
            </w:r>
          </w:p>
          <w:p w14:paraId="4119B95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Material testing (Splitting)</w:t>
            </w:r>
          </w:p>
          <w:p w14:paraId="12E756E8"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Material testing (Compressive)</w:t>
            </w:r>
          </w:p>
        </w:tc>
        <w:tc>
          <w:tcPr>
            <w:tcW w:w="647" w:type="dxa"/>
            <w:tcBorders>
              <w:top w:val="single" w:sz="4" w:space="0" w:color="auto"/>
              <w:left w:val="nil"/>
              <w:right w:val="nil"/>
            </w:tcBorders>
            <w:shd w:val="clear" w:color="E7E6E6" w:fill="FFFFFF"/>
            <w:vAlign w:val="center"/>
          </w:tcPr>
          <w:p w14:paraId="4FFDCD2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F1</w:t>
            </w:r>
          </w:p>
        </w:tc>
      </w:tr>
      <w:tr w:rsidR="00BF0919" w14:paraId="265B9862" w14:textId="77777777" w:rsidTr="00326AE9">
        <w:trPr>
          <w:trHeight w:val="188"/>
        </w:trPr>
        <w:tc>
          <w:tcPr>
            <w:tcW w:w="2327" w:type="dxa"/>
            <w:vMerge/>
            <w:tcBorders>
              <w:left w:val="nil"/>
              <w:right w:val="nil"/>
            </w:tcBorders>
            <w:shd w:val="clear" w:color="E7E6E6" w:fill="FFFFFF"/>
            <w:vAlign w:val="center"/>
          </w:tcPr>
          <w:p w14:paraId="3EC78A15"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shd w:val="clear" w:color="E7E6E6" w:fill="FFFFFF"/>
            <w:vAlign w:val="center"/>
          </w:tcPr>
          <w:p w14:paraId="080917A8" w14:textId="77777777" w:rsidR="00BF0919" w:rsidRDefault="00BF0919">
            <w:pPr>
              <w:widowControl/>
              <w:jc w:val="center"/>
              <w:rPr>
                <w:rFonts w:ascii="Times New Roman" w:eastAsia="等线" w:hAnsi="Times New Roman" w:cs="Times New Roman"/>
                <w:color w:val="000000"/>
                <w:kern w:val="0"/>
                <w:sz w:val="18"/>
                <w:szCs w:val="18"/>
              </w:rPr>
            </w:pPr>
          </w:p>
        </w:tc>
        <w:tc>
          <w:tcPr>
            <w:tcW w:w="1927" w:type="dxa"/>
            <w:vMerge/>
            <w:tcBorders>
              <w:left w:val="nil"/>
              <w:right w:val="nil"/>
            </w:tcBorders>
            <w:shd w:val="clear" w:color="E7E6E6" w:fill="FFFFFF"/>
            <w:vAlign w:val="center"/>
          </w:tcPr>
          <w:p w14:paraId="5FDD3B35" w14:textId="77777777" w:rsidR="00BF0919" w:rsidRDefault="00BF0919">
            <w:pPr>
              <w:widowControl/>
              <w:jc w:val="center"/>
              <w:rPr>
                <w:rFonts w:ascii="Times New Roman" w:eastAsia="等线" w:hAnsi="Times New Roman" w:cs="Times New Roman"/>
                <w:color w:val="000000"/>
                <w:kern w:val="0"/>
                <w:sz w:val="18"/>
                <w:szCs w:val="18"/>
              </w:rPr>
            </w:pPr>
          </w:p>
        </w:tc>
        <w:tc>
          <w:tcPr>
            <w:tcW w:w="647" w:type="dxa"/>
            <w:tcBorders>
              <w:left w:val="nil"/>
              <w:right w:val="nil"/>
            </w:tcBorders>
            <w:shd w:val="clear" w:color="E7E6E6" w:fill="FFFFFF"/>
            <w:vAlign w:val="center"/>
          </w:tcPr>
          <w:p w14:paraId="45353C6A"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F2</w:t>
            </w:r>
          </w:p>
        </w:tc>
      </w:tr>
      <w:tr w:rsidR="00BF0919" w14:paraId="63347960" w14:textId="77777777" w:rsidTr="00326AE9">
        <w:trPr>
          <w:trHeight w:val="188"/>
        </w:trPr>
        <w:tc>
          <w:tcPr>
            <w:tcW w:w="2327" w:type="dxa"/>
            <w:vMerge/>
            <w:tcBorders>
              <w:left w:val="nil"/>
              <w:right w:val="nil"/>
            </w:tcBorders>
            <w:shd w:val="clear" w:color="E7E6E6" w:fill="FFFFFF"/>
            <w:vAlign w:val="center"/>
          </w:tcPr>
          <w:p w14:paraId="22F1B455"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shd w:val="clear" w:color="E7E6E6" w:fill="FFFFFF"/>
            <w:vAlign w:val="center"/>
          </w:tcPr>
          <w:p w14:paraId="2D9FD45B" w14:textId="77777777" w:rsidR="00BF0919" w:rsidRDefault="00BF0919">
            <w:pPr>
              <w:widowControl/>
              <w:jc w:val="center"/>
              <w:rPr>
                <w:rFonts w:ascii="Times New Roman" w:eastAsia="等线" w:hAnsi="Times New Roman" w:cs="Times New Roman"/>
                <w:color w:val="000000"/>
                <w:kern w:val="0"/>
                <w:sz w:val="18"/>
                <w:szCs w:val="18"/>
              </w:rPr>
            </w:pPr>
          </w:p>
        </w:tc>
        <w:tc>
          <w:tcPr>
            <w:tcW w:w="1927" w:type="dxa"/>
            <w:vMerge/>
            <w:tcBorders>
              <w:left w:val="nil"/>
              <w:bottom w:val="nil"/>
              <w:right w:val="nil"/>
            </w:tcBorders>
            <w:shd w:val="clear" w:color="E7E6E6" w:fill="FFFFFF"/>
            <w:vAlign w:val="center"/>
          </w:tcPr>
          <w:p w14:paraId="67A278BA" w14:textId="77777777" w:rsidR="00BF0919" w:rsidRDefault="00BF0919">
            <w:pPr>
              <w:widowControl/>
              <w:jc w:val="center"/>
              <w:rPr>
                <w:rFonts w:ascii="Times New Roman" w:eastAsia="等线" w:hAnsi="Times New Roman" w:cs="Times New Roman"/>
                <w:color w:val="000000"/>
                <w:kern w:val="0"/>
                <w:sz w:val="18"/>
                <w:szCs w:val="18"/>
              </w:rPr>
            </w:pPr>
          </w:p>
        </w:tc>
        <w:tc>
          <w:tcPr>
            <w:tcW w:w="647" w:type="dxa"/>
            <w:tcBorders>
              <w:left w:val="nil"/>
              <w:right w:val="nil"/>
            </w:tcBorders>
            <w:shd w:val="clear" w:color="E7E6E6" w:fill="FFFFFF"/>
            <w:vAlign w:val="center"/>
          </w:tcPr>
          <w:p w14:paraId="5EFE7752"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F3</w:t>
            </w:r>
          </w:p>
        </w:tc>
      </w:tr>
      <w:tr w:rsidR="00BF0919" w14:paraId="2FEECD4F" w14:textId="77777777" w:rsidTr="00326AE9">
        <w:trPr>
          <w:trHeight w:val="20"/>
        </w:trPr>
        <w:tc>
          <w:tcPr>
            <w:tcW w:w="2327" w:type="dxa"/>
            <w:vMerge/>
            <w:tcBorders>
              <w:left w:val="nil"/>
              <w:right w:val="nil"/>
            </w:tcBorders>
            <w:shd w:val="clear" w:color="E7E6E6" w:fill="FFFFFF"/>
            <w:vAlign w:val="center"/>
          </w:tcPr>
          <w:p w14:paraId="6F2149FD"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6B206140"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single" w:sz="4" w:space="0" w:color="auto"/>
              <w:right w:val="nil"/>
            </w:tcBorders>
            <w:shd w:val="clear" w:color="E7E6E6" w:fill="FFFFFF"/>
            <w:vAlign w:val="center"/>
          </w:tcPr>
          <w:p w14:paraId="543FB548" w14:textId="77777777" w:rsidR="00BF0919" w:rsidRDefault="00BF0919">
            <w:pPr>
              <w:widowControl/>
              <w:jc w:val="center"/>
              <w:rPr>
                <w:rFonts w:ascii="Times New Roman" w:eastAsia="等线" w:hAnsi="Times New Roman" w:cs="Times New Roman"/>
                <w:color w:val="000000"/>
                <w:kern w:val="0"/>
                <w:sz w:val="18"/>
                <w:szCs w:val="18"/>
              </w:rPr>
            </w:pPr>
            <w:bookmarkStart w:id="7" w:name="_Hlk98417369"/>
            <w:r>
              <w:rPr>
                <w:rFonts w:ascii="Times New Roman" w:eastAsia="等线" w:hAnsi="Times New Roman" w:cs="Times New Roman"/>
                <w:color w:val="000000"/>
                <w:kern w:val="0"/>
                <w:sz w:val="18"/>
                <w:szCs w:val="18"/>
              </w:rPr>
              <w:t>Scenario analysis</w:t>
            </w:r>
            <w:bookmarkEnd w:id="7"/>
          </w:p>
        </w:tc>
        <w:tc>
          <w:tcPr>
            <w:tcW w:w="647" w:type="dxa"/>
            <w:tcBorders>
              <w:top w:val="nil"/>
              <w:left w:val="nil"/>
              <w:bottom w:val="single" w:sz="4" w:space="0" w:color="auto"/>
              <w:right w:val="nil"/>
            </w:tcBorders>
            <w:shd w:val="clear" w:color="E7E6E6" w:fill="FFFFFF"/>
            <w:vAlign w:val="center"/>
          </w:tcPr>
          <w:p w14:paraId="2B1A6DB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F4</w:t>
            </w:r>
          </w:p>
        </w:tc>
      </w:tr>
      <w:tr w:rsidR="00BF0919" w14:paraId="455B0703" w14:textId="77777777" w:rsidTr="00326AE9">
        <w:trPr>
          <w:trHeight w:val="20"/>
        </w:trPr>
        <w:tc>
          <w:tcPr>
            <w:tcW w:w="2327" w:type="dxa"/>
            <w:vMerge/>
            <w:tcBorders>
              <w:left w:val="nil"/>
              <w:right w:val="nil"/>
            </w:tcBorders>
            <w:shd w:val="clear" w:color="E7E6E6" w:fill="FFFFFF"/>
            <w:vAlign w:val="center"/>
          </w:tcPr>
          <w:p w14:paraId="77471767"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val="restart"/>
            <w:tcBorders>
              <w:left w:val="nil"/>
            </w:tcBorders>
            <w:shd w:val="clear" w:color="E7E6E6" w:fill="FFFFFF"/>
            <w:vAlign w:val="center"/>
          </w:tcPr>
          <w:p w14:paraId="7D59C419" w14:textId="77777777" w:rsidR="00BF0919" w:rsidRDefault="00BF0919">
            <w:pPr>
              <w:widowControl/>
              <w:jc w:val="center"/>
              <w:rPr>
                <w:rFonts w:ascii="Times New Roman" w:eastAsia="等线" w:hAnsi="Times New Roman" w:cs="Times New Roman"/>
                <w:color w:val="000000"/>
                <w:kern w:val="0"/>
                <w:sz w:val="18"/>
                <w:szCs w:val="18"/>
              </w:rPr>
            </w:pPr>
            <w:bookmarkStart w:id="8" w:name="_Hlk98414038"/>
            <w:r>
              <w:rPr>
                <w:rFonts w:ascii="Times New Roman" w:eastAsia="等线" w:hAnsi="Times New Roman" w:cs="Times New Roman"/>
                <w:color w:val="000000"/>
                <w:kern w:val="0"/>
                <w:sz w:val="18"/>
                <w:szCs w:val="18"/>
              </w:rPr>
              <w:t>Sources of emissions</w:t>
            </w:r>
            <w:bookmarkEnd w:id="8"/>
          </w:p>
        </w:tc>
        <w:tc>
          <w:tcPr>
            <w:tcW w:w="1927" w:type="dxa"/>
            <w:tcBorders>
              <w:top w:val="single" w:sz="4" w:space="0" w:color="auto"/>
              <w:left w:val="nil"/>
              <w:bottom w:val="nil"/>
              <w:right w:val="nil"/>
            </w:tcBorders>
            <w:shd w:val="clear" w:color="E7E6E6" w:fill="FFFFFF"/>
            <w:vAlign w:val="center"/>
          </w:tcPr>
          <w:p w14:paraId="77C4F2AF"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Product involved</w:t>
            </w:r>
          </w:p>
        </w:tc>
        <w:tc>
          <w:tcPr>
            <w:tcW w:w="647" w:type="dxa"/>
            <w:tcBorders>
              <w:top w:val="single" w:sz="4" w:space="0" w:color="auto"/>
              <w:left w:val="nil"/>
              <w:bottom w:val="nil"/>
              <w:right w:val="nil"/>
            </w:tcBorders>
            <w:shd w:val="clear" w:color="E7E6E6" w:fill="FFFFFF"/>
            <w:vAlign w:val="center"/>
          </w:tcPr>
          <w:p w14:paraId="599F0A4D"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G1</w:t>
            </w:r>
          </w:p>
        </w:tc>
      </w:tr>
      <w:tr w:rsidR="00BF0919" w14:paraId="34A94512" w14:textId="77777777" w:rsidTr="00326AE9">
        <w:trPr>
          <w:trHeight w:val="20"/>
        </w:trPr>
        <w:tc>
          <w:tcPr>
            <w:tcW w:w="2327" w:type="dxa"/>
            <w:vMerge/>
            <w:tcBorders>
              <w:left w:val="nil"/>
              <w:bottom w:val="single" w:sz="4" w:space="0" w:color="auto"/>
              <w:right w:val="nil"/>
            </w:tcBorders>
            <w:shd w:val="clear" w:color="E7E6E6" w:fill="FFFFFF"/>
            <w:vAlign w:val="center"/>
          </w:tcPr>
          <w:p w14:paraId="5028CC2A"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left w:val="nil"/>
            </w:tcBorders>
            <w:vAlign w:val="center"/>
          </w:tcPr>
          <w:p w14:paraId="482D4B70"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0CB3DBE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Process involved</w:t>
            </w:r>
          </w:p>
        </w:tc>
        <w:tc>
          <w:tcPr>
            <w:tcW w:w="647" w:type="dxa"/>
            <w:tcBorders>
              <w:top w:val="nil"/>
              <w:left w:val="nil"/>
              <w:bottom w:val="nil"/>
              <w:right w:val="nil"/>
            </w:tcBorders>
            <w:shd w:val="clear" w:color="E7E6E6" w:fill="FFFFFF"/>
            <w:vAlign w:val="center"/>
          </w:tcPr>
          <w:p w14:paraId="6B083369"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G2</w:t>
            </w:r>
          </w:p>
        </w:tc>
      </w:tr>
      <w:tr w:rsidR="00BF0919" w14:paraId="59745BFC" w14:textId="77777777" w:rsidTr="00326AE9">
        <w:trPr>
          <w:trHeight w:val="20"/>
        </w:trPr>
        <w:tc>
          <w:tcPr>
            <w:tcW w:w="2327" w:type="dxa"/>
            <w:vMerge w:val="restart"/>
            <w:tcBorders>
              <w:top w:val="single" w:sz="4" w:space="0" w:color="auto"/>
              <w:left w:val="nil"/>
              <w:right w:val="nil"/>
            </w:tcBorders>
            <w:shd w:val="clear" w:color="E7E6E6" w:fill="FFFFFF"/>
            <w:vAlign w:val="center"/>
          </w:tcPr>
          <w:p w14:paraId="5CCB9C2E" w14:textId="77777777" w:rsidR="00BF0919" w:rsidRDefault="00BF0919">
            <w:pPr>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Value dimension</w:t>
            </w:r>
          </w:p>
        </w:tc>
        <w:tc>
          <w:tcPr>
            <w:tcW w:w="1619" w:type="dxa"/>
            <w:tcBorders>
              <w:top w:val="single" w:sz="4" w:space="0" w:color="auto"/>
              <w:left w:val="nil"/>
            </w:tcBorders>
            <w:shd w:val="clear" w:color="E7E6E6" w:fill="FFFFFF"/>
            <w:vAlign w:val="center"/>
          </w:tcPr>
          <w:p w14:paraId="0A3365FC"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Binders’ combination</w:t>
            </w:r>
          </w:p>
        </w:tc>
        <w:tc>
          <w:tcPr>
            <w:tcW w:w="1927" w:type="dxa"/>
            <w:tcBorders>
              <w:top w:val="single" w:sz="4" w:space="0" w:color="auto"/>
              <w:left w:val="nil"/>
              <w:bottom w:val="nil"/>
              <w:right w:val="nil"/>
            </w:tcBorders>
            <w:shd w:val="clear" w:color="E7E6E6" w:fill="FFFFFF"/>
            <w:vAlign w:val="center"/>
          </w:tcPr>
          <w:p w14:paraId="70DC1CC8"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D</w:t>
            </w:r>
            <w:r>
              <w:rPr>
                <w:rFonts w:ascii="Times New Roman" w:eastAsia="等线" w:hAnsi="Times New Roman" w:cs="Times New Roman"/>
                <w:color w:val="000000"/>
                <w:kern w:val="0"/>
                <w:sz w:val="18"/>
                <w:szCs w:val="18"/>
              </w:rPr>
              <w:t xml:space="preserve">etailed combinations </w:t>
            </w:r>
          </w:p>
        </w:tc>
        <w:tc>
          <w:tcPr>
            <w:tcW w:w="647" w:type="dxa"/>
            <w:tcBorders>
              <w:top w:val="single" w:sz="4" w:space="0" w:color="auto"/>
              <w:left w:val="nil"/>
              <w:bottom w:val="nil"/>
              <w:right w:val="nil"/>
            </w:tcBorders>
            <w:shd w:val="clear" w:color="E7E6E6" w:fill="FFFFFF"/>
            <w:vAlign w:val="center"/>
          </w:tcPr>
          <w:p w14:paraId="4749134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H</w:t>
            </w:r>
          </w:p>
        </w:tc>
      </w:tr>
      <w:tr w:rsidR="00BF0919" w14:paraId="0A29FD70" w14:textId="77777777" w:rsidTr="00326AE9">
        <w:trPr>
          <w:trHeight w:val="20"/>
        </w:trPr>
        <w:tc>
          <w:tcPr>
            <w:tcW w:w="2327" w:type="dxa"/>
            <w:vMerge/>
            <w:tcBorders>
              <w:left w:val="nil"/>
              <w:right w:val="nil"/>
            </w:tcBorders>
            <w:vAlign w:val="center"/>
          </w:tcPr>
          <w:p w14:paraId="5FF9B54D"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val="restart"/>
            <w:tcBorders>
              <w:left w:val="nil"/>
              <w:bottom w:val="single" w:sz="4" w:space="0" w:color="auto"/>
            </w:tcBorders>
            <w:shd w:val="clear" w:color="E7E6E6" w:fill="FFFFFF"/>
            <w:vAlign w:val="center"/>
          </w:tcPr>
          <w:p w14:paraId="09AD344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EC reduction potential (%)</w:t>
            </w:r>
          </w:p>
        </w:tc>
        <w:tc>
          <w:tcPr>
            <w:tcW w:w="1927" w:type="dxa"/>
            <w:tcBorders>
              <w:top w:val="single" w:sz="4" w:space="0" w:color="auto"/>
              <w:left w:val="nil"/>
              <w:bottom w:val="nil"/>
              <w:right w:val="nil"/>
            </w:tcBorders>
            <w:shd w:val="clear" w:color="E7E6E6" w:fill="FFFFFF"/>
            <w:vAlign w:val="center"/>
          </w:tcPr>
          <w:p w14:paraId="54BA3698"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[0,20]</w:t>
            </w:r>
          </w:p>
        </w:tc>
        <w:tc>
          <w:tcPr>
            <w:tcW w:w="647" w:type="dxa"/>
            <w:tcBorders>
              <w:top w:val="single" w:sz="4" w:space="0" w:color="auto"/>
              <w:left w:val="nil"/>
              <w:bottom w:val="nil"/>
              <w:right w:val="nil"/>
            </w:tcBorders>
            <w:shd w:val="clear" w:color="E7E6E6" w:fill="FFFFFF"/>
            <w:vAlign w:val="center"/>
          </w:tcPr>
          <w:p w14:paraId="06CD39AB"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I1</w:t>
            </w:r>
          </w:p>
        </w:tc>
      </w:tr>
      <w:tr w:rsidR="00BF0919" w14:paraId="320F5597" w14:textId="77777777" w:rsidTr="00326AE9">
        <w:trPr>
          <w:trHeight w:val="20"/>
        </w:trPr>
        <w:tc>
          <w:tcPr>
            <w:tcW w:w="2327" w:type="dxa"/>
            <w:vMerge/>
            <w:tcBorders>
              <w:left w:val="nil"/>
              <w:right w:val="nil"/>
            </w:tcBorders>
            <w:vAlign w:val="center"/>
          </w:tcPr>
          <w:p w14:paraId="07EC5A87"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top w:val="single" w:sz="4" w:space="0" w:color="000000"/>
              <w:left w:val="nil"/>
              <w:bottom w:val="single" w:sz="4" w:space="0" w:color="auto"/>
            </w:tcBorders>
            <w:vAlign w:val="center"/>
          </w:tcPr>
          <w:p w14:paraId="1159A04C"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36674061"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(20,40]</w:t>
            </w:r>
          </w:p>
        </w:tc>
        <w:tc>
          <w:tcPr>
            <w:tcW w:w="647" w:type="dxa"/>
            <w:tcBorders>
              <w:top w:val="nil"/>
              <w:left w:val="nil"/>
              <w:bottom w:val="nil"/>
              <w:right w:val="nil"/>
            </w:tcBorders>
            <w:shd w:val="clear" w:color="E7E6E6" w:fill="FFFFFF"/>
            <w:vAlign w:val="center"/>
          </w:tcPr>
          <w:p w14:paraId="321D88A1"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I2</w:t>
            </w:r>
          </w:p>
        </w:tc>
      </w:tr>
      <w:tr w:rsidR="00BF0919" w14:paraId="16FF3EAE" w14:textId="77777777" w:rsidTr="00326AE9">
        <w:trPr>
          <w:trHeight w:val="20"/>
        </w:trPr>
        <w:tc>
          <w:tcPr>
            <w:tcW w:w="2327" w:type="dxa"/>
            <w:vMerge/>
            <w:tcBorders>
              <w:left w:val="nil"/>
              <w:right w:val="nil"/>
            </w:tcBorders>
            <w:vAlign w:val="center"/>
          </w:tcPr>
          <w:p w14:paraId="1153582D"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top w:val="single" w:sz="4" w:space="0" w:color="000000"/>
              <w:left w:val="nil"/>
              <w:bottom w:val="single" w:sz="4" w:space="0" w:color="auto"/>
            </w:tcBorders>
            <w:vAlign w:val="center"/>
          </w:tcPr>
          <w:p w14:paraId="456A736A"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1FDA84C6"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(40,60]</w:t>
            </w:r>
          </w:p>
        </w:tc>
        <w:tc>
          <w:tcPr>
            <w:tcW w:w="647" w:type="dxa"/>
            <w:tcBorders>
              <w:top w:val="nil"/>
              <w:left w:val="nil"/>
              <w:bottom w:val="nil"/>
              <w:right w:val="nil"/>
            </w:tcBorders>
            <w:shd w:val="clear" w:color="E7E6E6" w:fill="FFFFFF"/>
            <w:vAlign w:val="center"/>
          </w:tcPr>
          <w:p w14:paraId="1D245C8D"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I3</w:t>
            </w:r>
          </w:p>
        </w:tc>
      </w:tr>
      <w:tr w:rsidR="00BF0919" w14:paraId="6512201D" w14:textId="77777777" w:rsidTr="00326AE9">
        <w:trPr>
          <w:trHeight w:val="20"/>
        </w:trPr>
        <w:tc>
          <w:tcPr>
            <w:tcW w:w="2327" w:type="dxa"/>
            <w:vMerge/>
            <w:tcBorders>
              <w:left w:val="nil"/>
              <w:right w:val="nil"/>
            </w:tcBorders>
            <w:vAlign w:val="center"/>
          </w:tcPr>
          <w:p w14:paraId="59144831"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top w:val="single" w:sz="4" w:space="0" w:color="000000"/>
              <w:left w:val="nil"/>
              <w:bottom w:val="single" w:sz="4" w:space="0" w:color="auto"/>
            </w:tcBorders>
            <w:vAlign w:val="center"/>
          </w:tcPr>
          <w:p w14:paraId="7A22555E"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nil"/>
              <w:right w:val="nil"/>
            </w:tcBorders>
            <w:shd w:val="clear" w:color="E7E6E6" w:fill="FFFFFF"/>
            <w:vAlign w:val="center"/>
          </w:tcPr>
          <w:p w14:paraId="1231E1A0"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(60,80]</w:t>
            </w:r>
          </w:p>
        </w:tc>
        <w:tc>
          <w:tcPr>
            <w:tcW w:w="647" w:type="dxa"/>
            <w:tcBorders>
              <w:top w:val="nil"/>
              <w:left w:val="nil"/>
              <w:bottom w:val="nil"/>
              <w:right w:val="nil"/>
            </w:tcBorders>
            <w:shd w:val="clear" w:color="E7E6E6" w:fill="FFFFFF"/>
            <w:vAlign w:val="center"/>
          </w:tcPr>
          <w:p w14:paraId="1EA96EF3"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I4</w:t>
            </w:r>
          </w:p>
        </w:tc>
      </w:tr>
      <w:tr w:rsidR="00BF0919" w14:paraId="4DB11A3E" w14:textId="77777777" w:rsidTr="00326AE9">
        <w:trPr>
          <w:trHeight w:val="20"/>
        </w:trPr>
        <w:tc>
          <w:tcPr>
            <w:tcW w:w="2327" w:type="dxa"/>
            <w:vMerge/>
            <w:tcBorders>
              <w:left w:val="nil"/>
              <w:bottom w:val="single" w:sz="4" w:space="0" w:color="000000"/>
              <w:right w:val="nil"/>
            </w:tcBorders>
            <w:vAlign w:val="center"/>
          </w:tcPr>
          <w:p w14:paraId="0366EF73" w14:textId="77777777" w:rsidR="00BF0919" w:rsidRDefault="00BF0919">
            <w:pPr>
              <w:widowControl/>
              <w:jc w:val="left"/>
              <w:rPr>
                <w:rFonts w:ascii="Times New Roman" w:eastAsia="等线" w:hAnsi="Times New Roman" w:cs="Times New Roman"/>
                <w:color w:val="000000"/>
                <w:kern w:val="0"/>
                <w:sz w:val="18"/>
                <w:szCs w:val="18"/>
              </w:rPr>
            </w:pPr>
          </w:p>
        </w:tc>
        <w:tc>
          <w:tcPr>
            <w:tcW w:w="1619" w:type="dxa"/>
            <w:vMerge/>
            <w:tcBorders>
              <w:top w:val="single" w:sz="4" w:space="0" w:color="000000"/>
              <w:left w:val="nil"/>
              <w:bottom w:val="single" w:sz="4" w:space="0" w:color="auto"/>
            </w:tcBorders>
            <w:vAlign w:val="center"/>
          </w:tcPr>
          <w:p w14:paraId="1EFCCC5F" w14:textId="77777777" w:rsidR="00BF0919" w:rsidRDefault="00BF0919">
            <w:pPr>
              <w:widowControl/>
              <w:jc w:val="left"/>
              <w:rPr>
                <w:rFonts w:ascii="Times New Roman" w:eastAsia="等线" w:hAnsi="Times New Roman" w:cs="Times New Roman"/>
                <w:color w:val="000000"/>
                <w:kern w:val="0"/>
                <w:sz w:val="18"/>
                <w:szCs w:val="18"/>
              </w:rPr>
            </w:pPr>
          </w:p>
        </w:tc>
        <w:tc>
          <w:tcPr>
            <w:tcW w:w="1927" w:type="dxa"/>
            <w:tcBorders>
              <w:top w:val="nil"/>
              <w:left w:val="nil"/>
              <w:bottom w:val="single" w:sz="4" w:space="0" w:color="auto"/>
              <w:right w:val="nil"/>
            </w:tcBorders>
            <w:shd w:val="clear" w:color="E7E6E6" w:fill="FFFFFF"/>
            <w:vAlign w:val="center"/>
          </w:tcPr>
          <w:p w14:paraId="633917D3"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(80,100]</w:t>
            </w:r>
          </w:p>
        </w:tc>
        <w:tc>
          <w:tcPr>
            <w:tcW w:w="647" w:type="dxa"/>
            <w:tcBorders>
              <w:top w:val="nil"/>
              <w:left w:val="nil"/>
              <w:bottom w:val="single" w:sz="4" w:space="0" w:color="auto"/>
              <w:right w:val="nil"/>
            </w:tcBorders>
            <w:shd w:val="clear" w:color="E7E6E6" w:fill="FFFFFF"/>
            <w:vAlign w:val="center"/>
          </w:tcPr>
          <w:p w14:paraId="2053E627" w14:textId="77777777" w:rsidR="00BF0919" w:rsidRDefault="00BF0919">
            <w:pPr>
              <w:widowControl/>
              <w:jc w:val="center"/>
              <w:rPr>
                <w:rFonts w:ascii="Times New Roman" w:eastAsia="等线" w:hAnsi="Times New Roman" w:cs="Times New Roman"/>
                <w:color w:val="000000"/>
                <w:kern w:val="0"/>
                <w:sz w:val="18"/>
                <w:szCs w:val="18"/>
              </w:rPr>
            </w:pPr>
            <w:r>
              <w:rPr>
                <w:rFonts w:ascii="Times New Roman" w:eastAsia="等线" w:hAnsi="Times New Roman" w:cs="Times New Roman"/>
                <w:color w:val="000000"/>
                <w:kern w:val="0"/>
                <w:sz w:val="18"/>
                <w:szCs w:val="18"/>
              </w:rPr>
              <w:t>I5</w:t>
            </w:r>
          </w:p>
        </w:tc>
      </w:tr>
    </w:tbl>
    <w:p w14:paraId="631ECF8C" w14:textId="77777777" w:rsidR="00BF0919" w:rsidRPr="00A8541E" w:rsidRDefault="00BF0919">
      <w:pPr>
        <w:pStyle w:val="ListParagraph"/>
        <w:ind w:firstLineChars="0" w:firstLine="0"/>
        <w:rPr>
          <w:rFonts w:ascii="Times New Roman" w:hAnsi="Times New Roman" w:cs="Times New Roman"/>
        </w:rPr>
      </w:pPr>
    </w:p>
    <w:p w14:paraId="300D2572" w14:textId="77777777" w:rsidR="00BF0919" w:rsidRPr="00470C17" w:rsidRDefault="00BF0919">
      <w:pPr>
        <w:pStyle w:val="ListParagraph"/>
        <w:ind w:firstLineChars="0" w:firstLine="0"/>
        <w:rPr>
          <w:rFonts w:ascii="Times New Roman" w:eastAsia="等线" w:hAnsi="Times New Roman" w:cs="Times New Roman"/>
          <w:color w:val="000000"/>
          <w:kern w:val="0"/>
          <w:szCs w:val="21"/>
        </w:rPr>
      </w:pPr>
      <w:r>
        <w:rPr>
          <w:rFonts w:ascii="Times New Roman" w:hAnsi="Times New Roman" w:cs="Times New Roman" w:hint="eastAsia"/>
        </w:rPr>
        <w:t>I</w:t>
      </w:r>
      <w:r>
        <w:rPr>
          <w:rFonts w:ascii="Times New Roman" w:hAnsi="Times New Roman" w:cs="Times New Roman"/>
        </w:rPr>
        <w:t xml:space="preserve">n the concept dimension, </w:t>
      </w:r>
      <w:r>
        <w:rPr>
          <w:rFonts w:ascii="Times New Roman" w:hAnsi="Times New Roman" w:cs="Times New Roman" w:hint="eastAsia"/>
        </w:rPr>
        <w:t>the</w:t>
      </w:r>
      <w:r>
        <w:rPr>
          <w:rFonts w:ascii="Times New Roman" w:hAnsi="Times New Roman" w:cs="Times New Roman"/>
        </w:rPr>
        <w:t xml:space="preserve"> variables are analyzed in the temporal and spatial aspects. The temporal variables include </w:t>
      </w:r>
      <w:r>
        <w:rPr>
          <w:rFonts w:ascii="Times New Roman" w:eastAsia="等线" w:hAnsi="Times New Roman" w:cs="Times New Roman"/>
          <w:color w:val="000000"/>
          <w:kern w:val="0"/>
          <w:szCs w:val="21"/>
        </w:rPr>
        <w:t xml:space="preserve">life cycle stages (A) </w:t>
      </w:r>
      <w:r>
        <w:rPr>
          <w:rFonts w:ascii="Times New Roman" w:eastAsia="等线" w:hAnsi="Times New Roman" w:cs="Times New Roman" w:hint="eastAsia"/>
          <w:color w:val="000000"/>
          <w:kern w:val="0"/>
          <w:szCs w:val="21"/>
        </w:rPr>
        <w:t>f</w:t>
      </w:r>
      <w:r>
        <w:rPr>
          <w:rFonts w:ascii="Times New Roman" w:eastAsia="等线" w:hAnsi="Times New Roman" w:cs="Times New Roman"/>
          <w:color w:val="000000"/>
          <w:kern w:val="0"/>
          <w:szCs w:val="21"/>
        </w:rPr>
        <w:t>or calculating the EC, which is identified as a typical LCA system boundary in ISO (2006). It contains five scales, namely, cradle-to-gate (A1), cradle-to-site (A2), cradle-to-end-of-construction (A3), cradle-to-grave (A4), cradle-to-cradle (A5), and others (A6) according to the classification of EN 15978. The spatial variables include geographic scope (B) for reporting EC</w:t>
      </w:r>
      <w:r w:rsidRPr="00470C17">
        <w:rPr>
          <w:rFonts w:ascii="Times New Roman" w:eastAsia="等线" w:hAnsi="Times New Roman" w:cs="Times New Roman"/>
          <w:color w:val="000000"/>
          <w:kern w:val="0"/>
          <w:szCs w:val="21"/>
        </w:rPr>
        <w:t xml:space="preserve"> </w:t>
      </w:r>
      <w:r>
        <w:rPr>
          <w:rFonts w:ascii="Times New Roman" w:eastAsia="等线" w:hAnsi="Times New Roman" w:cs="Times New Roman"/>
          <w:color w:val="000000"/>
          <w:kern w:val="0"/>
          <w:szCs w:val="21"/>
        </w:rPr>
        <w:t xml:space="preserve">and the specific compositions of the LCCMs </w:t>
      </w:r>
      <w:r>
        <w:rPr>
          <w:rFonts w:ascii="Times New Roman" w:eastAsia="等线" w:hAnsi="Times New Roman" w:cs="Times New Roman" w:hint="eastAsia"/>
          <w:color w:val="000000"/>
          <w:kern w:val="0"/>
          <w:szCs w:val="21"/>
        </w:rPr>
        <w:t>(</w:t>
      </w:r>
      <w:r>
        <w:rPr>
          <w:rFonts w:ascii="Times New Roman" w:eastAsia="等线" w:hAnsi="Times New Roman" w:cs="Times New Roman"/>
          <w:color w:val="000000"/>
          <w:kern w:val="0"/>
          <w:szCs w:val="21"/>
        </w:rPr>
        <w:t xml:space="preserve">C). The geographic scope describes five scales of measuring the EC of LCCMs, comprising of binders (B1), concrete and mortar (B2), components (B3), and the whole building (B4). The compositions of LCCMs </w:t>
      </w:r>
      <w:bookmarkStart w:id="9" w:name="_Hlk99668995"/>
      <w:r>
        <w:rPr>
          <w:rFonts w:ascii="Times New Roman" w:eastAsia="等线" w:hAnsi="Times New Roman" w:cs="Times New Roman"/>
          <w:color w:val="000000"/>
          <w:kern w:val="0"/>
          <w:szCs w:val="21"/>
        </w:rPr>
        <w:t>are categorized into four major divisions, namely, s</w:t>
      </w:r>
      <w:r>
        <w:rPr>
          <w:rFonts w:ascii="Times New Roman" w:hAnsi="Times New Roman" w:cs="Times New Roman"/>
          <w:szCs w:val="21"/>
        </w:rPr>
        <w:t xml:space="preserve">upplementary cementitious materials (SCMs), </w:t>
      </w:r>
      <w:r>
        <w:rPr>
          <w:rFonts w:ascii="Times New Roman" w:hAnsi="Times New Roman" w:cs="Times New Roman"/>
        </w:rPr>
        <w:t xml:space="preserve">low-carbon </w:t>
      </w:r>
      <w:r>
        <w:rPr>
          <w:rFonts w:ascii="Times New Roman" w:hAnsi="Times New Roman" w:cs="Times New Roman"/>
          <w:szCs w:val="21"/>
        </w:rPr>
        <w:t>cementitious</w:t>
      </w:r>
      <w:r>
        <w:rPr>
          <w:rFonts w:ascii="Times New Roman" w:hAnsi="Times New Roman" w:cs="Times New Roman"/>
        </w:rPr>
        <w:t xml:space="preserve"> binders</w:t>
      </w:r>
      <w:r>
        <w:rPr>
          <w:rFonts w:ascii="Times New Roman" w:hAnsi="Times New Roman" w:cs="Times New Roman"/>
          <w:szCs w:val="21"/>
        </w:rPr>
        <w:t xml:space="preserve"> (LCBs), </w:t>
      </w:r>
      <w:bookmarkStart w:id="10" w:name="_Hlk100182743"/>
      <w:r>
        <w:rPr>
          <w:rFonts w:ascii="Times New Roman" w:hAnsi="Times New Roman" w:cs="Times New Roman"/>
          <w:szCs w:val="21"/>
        </w:rPr>
        <w:t>r</w:t>
      </w:r>
      <w:r w:rsidRPr="005F4EC5">
        <w:rPr>
          <w:rFonts w:ascii="Times New Roman" w:hAnsi="Times New Roman" w:cs="Times New Roman"/>
          <w:szCs w:val="21"/>
        </w:rPr>
        <w:t>ecycled concrete aggregates</w:t>
      </w:r>
      <w:bookmarkEnd w:id="10"/>
      <w:r>
        <w:rPr>
          <w:rFonts w:ascii="Times New Roman" w:hAnsi="Times New Roman" w:cs="Times New Roman"/>
          <w:szCs w:val="21"/>
        </w:rPr>
        <w:t xml:space="preserve"> (RCAs), and high strength concrete (HSC).</w:t>
      </w:r>
      <w:bookmarkEnd w:id="9"/>
      <w:r>
        <w:rPr>
          <w:rFonts w:ascii="Times New Roman" w:hAnsi="Times New Roman" w:cs="Times New Roman"/>
          <w:szCs w:val="21"/>
        </w:rPr>
        <w:t xml:space="preserve"> They are further compartmentalized into eight sub-divisions, i.e., </w:t>
      </w:r>
      <w:r>
        <w:rPr>
          <w:rFonts w:ascii="Times New Roman" w:hAnsi="Times New Roman" w:cs="Times New Roman" w:hint="eastAsia"/>
          <w:szCs w:val="21"/>
        </w:rPr>
        <w:t>f</w:t>
      </w:r>
      <w:r>
        <w:rPr>
          <w:rFonts w:ascii="Times New Roman" w:hAnsi="Times New Roman" w:cs="Times New Roman"/>
          <w:szCs w:val="21"/>
        </w:rPr>
        <w:t>ly ash (FA)</w:t>
      </w:r>
      <w:r w:rsidRPr="009F62B8">
        <w:rPr>
          <w:rFonts w:ascii="Times New Roman" w:hAnsi="Times New Roman" w:cs="Times New Roman"/>
          <w:szCs w:val="21"/>
        </w:rPr>
        <w:t xml:space="preserve"> </w:t>
      </w:r>
      <w:r>
        <w:rPr>
          <w:rFonts w:ascii="Times New Roman" w:hAnsi="Times New Roman" w:cs="Times New Roman"/>
          <w:szCs w:val="21"/>
        </w:rPr>
        <w:t>(C1), ground granulated blast-furnace slag (GGBS)</w:t>
      </w:r>
      <w:r w:rsidRPr="009F62B8">
        <w:rPr>
          <w:rFonts w:ascii="Times New Roman" w:hAnsi="Times New Roman" w:cs="Times New Roman"/>
          <w:szCs w:val="21"/>
        </w:rPr>
        <w:t xml:space="preserve"> </w:t>
      </w:r>
      <w:r>
        <w:rPr>
          <w:rFonts w:ascii="Times New Roman" w:hAnsi="Times New Roman" w:cs="Times New Roman"/>
          <w:szCs w:val="21"/>
        </w:rPr>
        <w:t>(C2), silica fume (SF)</w:t>
      </w:r>
      <w:r w:rsidRPr="009F62B8">
        <w:rPr>
          <w:rFonts w:ascii="Times New Roman" w:hAnsi="Times New Roman" w:cs="Times New Roman"/>
          <w:szCs w:val="21"/>
        </w:rPr>
        <w:t xml:space="preserve"> </w:t>
      </w:r>
      <w:r>
        <w:rPr>
          <w:rFonts w:ascii="Times New Roman" w:hAnsi="Times New Roman" w:cs="Times New Roman"/>
          <w:szCs w:val="21"/>
        </w:rPr>
        <w:t>(C2), other SCMs (C4), alkali-activated binders (</w:t>
      </w:r>
      <w:proofErr w:type="spellStart"/>
      <w:r>
        <w:rPr>
          <w:rFonts w:ascii="Times New Roman" w:hAnsi="Times New Roman" w:cs="Times New Roman"/>
          <w:szCs w:val="21"/>
        </w:rPr>
        <w:t>AABs</w:t>
      </w:r>
      <w:proofErr w:type="spellEnd"/>
      <w:r>
        <w:rPr>
          <w:rFonts w:ascii="Times New Roman" w:hAnsi="Times New Roman" w:cs="Times New Roman"/>
          <w:szCs w:val="21"/>
        </w:rPr>
        <w:t>) (</w:t>
      </w:r>
      <w:proofErr w:type="spellStart"/>
      <w:r>
        <w:rPr>
          <w:rFonts w:ascii="Times New Roman" w:hAnsi="Times New Roman" w:cs="Times New Roman"/>
          <w:szCs w:val="21"/>
        </w:rPr>
        <w:t>C5</w:t>
      </w:r>
      <w:proofErr w:type="spellEnd"/>
      <w:r>
        <w:rPr>
          <w:rFonts w:ascii="Times New Roman" w:hAnsi="Times New Roman" w:cs="Times New Roman"/>
          <w:szCs w:val="21"/>
        </w:rPr>
        <w:t xml:space="preserve">), calcium </w:t>
      </w:r>
      <w:proofErr w:type="spellStart"/>
      <w:r>
        <w:rPr>
          <w:rFonts w:ascii="Times New Roman" w:hAnsi="Times New Roman" w:cs="Times New Roman"/>
          <w:szCs w:val="21"/>
        </w:rPr>
        <w:t>sulfoaluminate</w:t>
      </w:r>
      <w:proofErr w:type="spellEnd"/>
      <w:r>
        <w:rPr>
          <w:rFonts w:ascii="Times New Roman" w:hAnsi="Times New Roman" w:cs="Times New Roman"/>
          <w:szCs w:val="21"/>
        </w:rPr>
        <w:t xml:space="preserve"> binders (</w:t>
      </w:r>
      <w:proofErr w:type="spellStart"/>
      <w:r>
        <w:rPr>
          <w:rFonts w:ascii="Times New Roman" w:hAnsi="Times New Roman" w:cs="Times New Roman"/>
          <w:szCs w:val="21"/>
        </w:rPr>
        <w:t>CSABs</w:t>
      </w:r>
      <w:proofErr w:type="spellEnd"/>
      <w:r>
        <w:rPr>
          <w:rFonts w:ascii="Times New Roman" w:hAnsi="Times New Roman" w:cs="Times New Roman"/>
          <w:szCs w:val="21"/>
        </w:rPr>
        <w:t>)</w:t>
      </w:r>
      <w:r w:rsidRPr="009F62B8">
        <w:rPr>
          <w:rFonts w:ascii="Times New Roman" w:hAnsi="Times New Roman" w:cs="Times New Roman"/>
          <w:szCs w:val="21"/>
        </w:rPr>
        <w:t xml:space="preserve"> </w:t>
      </w:r>
      <w:r>
        <w:rPr>
          <w:rFonts w:ascii="Times New Roman" w:hAnsi="Times New Roman" w:cs="Times New Roman"/>
          <w:szCs w:val="21"/>
        </w:rPr>
        <w:t>(</w:t>
      </w:r>
      <w:proofErr w:type="spellStart"/>
      <w:r>
        <w:rPr>
          <w:rFonts w:ascii="Times New Roman" w:hAnsi="Times New Roman" w:cs="Times New Roman"/>
          <w:szCs w:val="21"/>
        </w:rPr>
        <w:t>C6</w:t>
      </w:r>
      <w:proofErr w:type="spellEnd"/>
      <w:r>
        <w:rPr>
          <w:rFonts w:ascii="Times New Roman" w:hAnsi="Times New Roman" w:cs="Times New Roman"/>
          <w:szCs w:val="21"/>
        </w:rPr>
        <w:t>), recycled concrete aggregates (RCAs)</w:t>
      </w:r>
      <w:r w:rsidRPr="009F62B8">
        <w:rPr>
          <w:rFonts w:ascii="Times New Roman" w:hAnsi="Times New Roman" w:cs="Times New Roman"/>
          <w:szCs w:val="21"/>
        </w:rPr>
        <w:t xml:space="preserve"> </w:t>
      </w:r>
      <w:r>
        <w:rPr>
          <w:rFonts w:ascii="Times New Roman" w:hAnsi="Times New Roman" w:cs="Times New Roman"/>
          <w:szCs w:val="21"/>
        </w:rPr>
        <w:t>(C7), and high strength concrete (HSC)</w:t>
      </w:r>
      <w:r w:rsidRPr="009F62B8">
        <w:rPr>
          <w:rFonts w:ascii="Times New Roman" w:hAnsi="Times New Roman" w:cs="Times New Roman"/>
          <w:szCs w:val="21"/>
        </w:rPr>
        <w:t xml:space="preserve"> </w:t>
      </w:r>
      <w:r>
        <w:rPr>
          <w:rFonts w:ascii="Times New Roman" w:hAnsi="Times New Roman" w:cs="Times New Roman"/>
          <w:szCs w:val="21"/>
        </w:rPr>
        <w:t xml:space="preserve">(C8). </w:t>
      </w:r>
    </w:p>
    <w:p w14:paraId="03625C5C" w14:textId="77777777" w:rsidR="00BF0919" w:rsidRDefault="00BF0919">
      <w:pPr>
        <w:pStyle w:val="ListParagraph"/>
        <w:ind w:firstLineChars="0" w:firstLine="0"/>
        <w:rPr>
          <w:rFonts w:ascii="Times New Roman" w:hAnsi="Times New Roman" w:cs="Times New Roman"/>
          <w:szCs w:val="21"/>
        </w:rPr>
      </w:pPr>
    </w:p>
    <w:p w14:paraId="6F7DF602" w14:textId="77777777" w:rsidR="00BF0919" w:rsidRDefault="00BF0919">
      <w:pPr>
        <w:pStyle w:val="ListParagraph"/>
        <w:ind w:firstLineChars="0" w:firstLine="0"/>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n the methodology dimension, four variables are included: the LCA method (D), unit of analysis (E), research method (F), and sources of emissions (G). There are typically three types of methods for conducting LCA studies </w:t>
      </w:r>
      <w:r>
        <w:rPr>
          <w:rFonts w:ascii="Times New Roman" w:hAnsi="Times New Roman" w:cs="Times New Roman"/>
          <w:noProof/>
        </w:rPr>
        <w:t>(Glass et al., 2013)</w:t>
      </w:r>
      <w:r>
        <w:rPr>
          <w:rFonts w:ascii="Times New Roman" w:hAnsi="Times New Roman" w:cs="Times New Roman"/>
        </w:rPr>
        <w:t xml:space="preserve">, i.e., process-based (D1), input-output (I-O) (D2) </w:t>
      </w:r>
      <w:r>
        <w:rPr>
          <w:rFonts w:ascii="Times New Roman" w:hAnsi="Times New Roman" w:cs="Times New Roman"/>
          <w:noProof/>
        </w:rPr>
        <w:t>(Xu &amp; Liang, 2019)</w:t>
      </w:r>
      <w:r>
        <w:rPr>
          <w:rFonts w:ascii="Times New Roman" w:hAnsi="Times New Roman" w:cs="Times New Roman"/>
        </w:rPr>
        <w:t xml:space="preserve">, and hybrid (D3). The unit of analysis describes the primary entities for EC assessment, including per unit of materials (E1), per unit of components (E2), per square meters of the floor area (E3), and the whole building (E4). The research method </w:t>
      </w:r>
      <w:r>
        <w:rPr>
          <w:rFonts w:ascii="Times New Roman" w:hAnsi="Times New Roman" w:cs="Times New Roman" w:hint="eastAsia"/>
        </w:rPr>
        <w:t>i</w:t>
      </w:r>
      <w:r>
        <w:rPr>
          <w:rFonts w:ascii="Times New Roman" w:hAnsi="Times New Roman" w:cs="Times New Roman"/>
        </w:rPr>
        <w:t xml:space="preserve">ndicates how to assess the EC reduction potential of different types of </w:t>
      </w:r>
      <w:r>
        <w:rPr>
          <w:rFonts w:ascii="Times New Roman" w:hAnsi="Times New Roman" w:cs="Times New Roman"/>
          <w:color w:val="000000" w:themeColor="text1"/>
        </w:rPr>
        <w:t>LCCMs</w:t>
      </w:r>
      <w:r>
        <w:rPr>
          <w:rFonts w:ascii="Times New Roman" w:hAnsi="Times New Roman" w:cs="Times New Roman"/>
        </w:rPr>
        <w:t>, including material testing</w:t>
      </w:r>
      <w:r w:rsidDel="003E3B21">
        <w:rPr>
          <w:rFonts w:ascii="Times New Roman" w:hAnsi="Times New Roman" w:cs="Times New Roman"/>
        </w:rPr>
        <w:t xml:space="preserve"> </w:t>
      </w:r>
      <w:r>
        <w:rPr>
          <w:rFonts w:ascii="Times New Roman" w:hAnsi="Times New Roman" w:cs="Times New Roman"/>
        </w:rPr>
        <w:t>and scenario analysis</w:t>
      </w:r>
      <w:r w:rsidDel="003E3B21">
        <w:rPr>
          <w:rFonts w:ascii="Times New Roman" w:hAnsi="Times New Roman" w:cs="Times New Roman"/>
        </w:rPr>
        <w:t>.</w:t>
      </w:r>
      <w:r>
        <w:rPr>
          <w:rFonts w:ascii="Times New Roman" w:hAnsi="Times New Roman" w:cs="Times New Roman"/>
        </w:rPr>
        <w:t xml:space="preserve"> The material testing in this paper includes the durability test, the splitting strength test, and the compressive strength test. The sources of emissions consider the </w:t>
      </w:r>
      <w:r>
        <w:rPr>
          <w:rFonts w:ascii="Times New Roman" w:hAnsi="Times New Roman" w:cs="Times New Roman" w:hint="eastAsia"/>
        </w:rPr>
        <w:t>typ</w:t>
      </w:r>
      <w:r>
        <w:rPr>
          <w:rFonts w:ascii="Times New Roman" w:hAnsi="Times New Roman" w:cs="Times New Roman"/>
        </w:rPr>
        <w:t xml:space="preserve">es of EC emissions of LCCMs, being categorized into product involved emissions and process involved emissions. </w:t>
      </w:r>
    </w:p>
    <w:p w14:paraId="4E539A98" w14:textId="77777777" w:rsidR="00BF0919" w:rsidRDefault="00BF0919">
      <w:pPr>
        <w:pStyle w:val="ListParagraph"/>
        <w:ind w:firstLineChars="0" w:firstLine="0"/>
        <w:rPr>
          <w:rFonts w:ascii="Times New Roman" w:hAnsi="Times New Roman" w:cs="Times New Roman"/>
        </w:rPr>
      </w:pPr>
    </w:p>
    <w:p w14:paraId="785E9A66" w14:textId="77777777" w:rsidR="00BF0919" w:rsidRDefault="00BF0919">
      <w:pPr>
        <w:pStyle w:val="ListParagraph"/>
        <w:ind w:firstLineChars="0" w:firstLine="0"/>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n the value dimensions, the influences of different concrete composition proportions of the binders in SCMs and LCBs on EC reduction are calculated. The EC reduction percentage is expressed as figures ranging from 0% to 100% with a 20% </w:t>
      </w:r>
      <w:r w:rsidRPr="00124454">
        <w:rPr>
          <w:rFonts w:ascii="Times New Roman" w:hAnsi="Times New Roman" w:cs="Times New Roman"/>
        </w:rPr>
        <w:t>interval</w:t>
      </w:r>
      <w:r>
        <w:rPr>
          <w:rFonts w:ascii="Times New Roman" w:hAnsi="Times New Roman" w:cs="Times New Roman"/>
        </w:rPr>
        <w:t xml:space="preserve">. The specific EC reduction potential is measured using the following methods: </w:t>
      </w:r>
    </w:p>
    <w:p w14:paraId="60562B72" w14:textId="77777777" w:rsidR="00BF0919" w:rsidRPr="004233BB" w:rsidRDefault="00BF0919" w:rsidP="00F332EE">
      <w:pPr>
        <w:pStyle w:val="ListParagraph"/>
        <w:numPr>
          <w:ilvl w:val="0"/>
          <w:numId w:val="3"/>
        </w:numPr>
        <w:ind w:firstLineChars="0"/>
        <w:rPr>
          <w:rFonts w:ascii="Times New Roman" w:hAnsi="Times New Roman" w:cs="Times New Roman"/>
        </w:rPr>
      </w:pPr>
      <w:r w:rsidRPr="00F332EE">
        <w:rPr>
          <w:rFonts w:ascii="Times New Roman" w:hAnsi="Times New Roman" w:cs="Times New Roman"/>
          <w:szCs w:val="21"/>
        </w:rPr>
        <w:t xml:space="preserve">For cases adopting </w:t>
      </w:r>
      <w:r w:rsidRPr="004233BB">
        <w:rPr>
          <w:rFonts w:ascii="Times New Roman" w:hAnsi="Times New Roman" w:cs="Times New Roman"/>
        </w:rPr>
        <w:t xml:space="preserve">SCMs or LCBs, the EC reduction </w:t>
      </w:r>
      <w:r w:rsidRPr="00562132">
        <w:rPr>
          <w:rFonts w:ascii="Times New Roman" w:hAnsi="Times New Roman" w:cs="Times New Roman"/>
        </w:rPr>
        <w:t xml:space="preserve">potential is measured as the differences between calculation units, e.g., </w:t>
      </w:r>
      <w:r>
        <w:rPr>
          <w:rFonts w:ascii="Times New Roman" w:hAnsi="Times New Roman" w:cs="Times New Roman"/>
        </w:rPr>
        <w:t>1 m</w:t>
      </w:r>
      <w:r w:rsidRPr="00DF3739">
        <w:rPr>
          <w:rFonts w:ascii="Times New Roman" w:hAnsi="Times New Roman" w:cs="Times New Roman"/>
          <w:vertAlign w:val="superscript"/>
        </w:rPr>
        <w:t>3</w:t>
      </w:r>
      <w:r>
        <w:rPr>
          <w:rFonts w:ascii="Times New Roman" w:hAnsi="Times New Roman" w:cs="Times New Roman"/>
        </w:rPr>
        <w:t xml:space="preserve"> </w:t>
      </w:r>
      <w:r w:rsidRPr="00562132">
        <w:rPr>
          <w:rFonts w:ascii="Times New Roman" w:hAnsi="Times New Roman" w:cs="Times New Roman"/>
        </w:rPr>
        <w:t>cement or concrete, specific components, or the whole building, using 100 % OPC and the novel binders</w:t>
      </w:r>
      <w:r w:rsidRPr="00F332EE">
        <w:rPr>
          <w:rFonts w:ascii="Times New Roman" w:hAnsi="Times New Roman" w:cs="Times New Roman"/>
        </w:rPr>
        <w:t xml:space="preserve">. If two or more binders’ combinations </w:t>
      </w:r>
      <w:r w:rsidRPr="004233BB">
        <w:rPr>
          <w:rFonts w:ascii="Times New Roman" w:hAnsi="Times New Roman" w:cs="Times New Roman"/>
        </w:rPr>
        <w:t>have been used in one paper, all</w:t>
      </w:r>
      <w:r>
        <w:rPr>
          <w:rFonts w:ascii="Times New Roman" w:hAnsi="Times New Roman" w:cs="Times New Roman"/>
        </w:rPr>
        <w:t xml:space="preserve"> of the</w:t>
      </w:r>
      <w:r w:rsidRPr="00F332EE">
        <w:rPr>
          <w:rFonts w:ascii="Times New Roman" w:hAnsi="Times New Roman" w:cs="Times New Roman"/>
        </w:rPr>
        <w:t xml:space="preserve"> reduction </w:t>
      </w:r>
      <w:r w:rsidRPr="004233BB">
        <w:rPr>
          <w:rFonts w:ascii="Times New Roman" w:hAnsi="Times New Roman" w:cs="Times New Roman"/>
        </w:rPr>
        <w:t xml:space="preserve">potentials would be </w:t>
      </w:r>
      <w:r>
        <w:rPr>
          <w:rFonts w:ascii="Times New Roman" w:hAnsi="Times New Roman" w:cs="Times New Roman"/>
        </w:rPr>
        <w:lastRenderedPageBreak/>
        <w:t>calculated separately</w:t>
      </w:r>
      <w:r w:rsidRPr="00F332EE">
        <w:rPr>
          <w:rFonts w:ascii="Times New Roman" w:hAnsi="Times New Roman" w:cs="Times New Roman"/>
        </w:rPr>
        <w:t xml:space="preserve">. </w:t>
      </w:r>
    </w:p>
    <w:p w14:paraId="64CD9FEF" w14:textId="7A8148D4" w:rsidR="00BF0919" w:rsidRDefault="00BF0919" w:rsidP="001A5DBC">
      <w:pPr>
        <w:pStyle w:val="ListParagraph"/>
        <w:numPr>
          <w:ilvl w:val="0"/>
          <w:numId w:val="3"/>
        </w:numPr>
        <w:ind w:firstLineChars="0"/>
        <w:rPr>
          <w:rFonts w:ascii="Times New Roman" w:hAnsi="Times New Roman" w:cs="Times New Roman"/>
        </w:rPr>
      </w:pPr>
      <w:r w:rsidRPr="004233BB">
        <w:rPr>
          <w:rFonts w:ascii="Times New Roman" w:hAnsi="Times New Roman" w:cs="Times New Roman"/>
        </w:rPr>
        <w:t>For</w:t>
      </w:r>
      <w:r w:rsidRPr="00940711">
        <w:rPr>
          <w:rFonts w:ascii="Times New Roman" w:hAnsi="Times New Roman" w:cs="Times New Roman"/>
        </w:rPr>
        <w:t xml:space="preserve"> </w:t>
      </w:r>
      <w:r w:rsidRPr="00940711">
        <w:rPr>
          <w:rFonts w:ascii="Times New Roman" w:hAnsi="Times New Roman" w:cs="Times New Roman"/>
          <w:szCs w:val="21"/>
        </w:rPr>
        <w:t>cases</w:t>
      </w:r>
      <w:r w:rsidRPr="00940711">
        <w:rPr>
          <w:rFonts w:ascii="Times New Roman" w:hAnsi="Times New Roman" w:cs="Times New Roman"/>
        </w:rPr>
        <w:t xml:space="preserve"> that </w:t>
      </w:r>
      <w:r>
        <w:rPr>
          <w:rFonts w:ascii="Times New Roman" w:hAnsi="Times New Roman" w:cs="Times New Roman"/>
        </w:rPr>
        <w:t>have</w:t>
      </w:r>
      <w:r w:rsidRPr="00940711">
        <w:rPr>
          <w:rFonts w:ascii="Times New Roman" w:hAnsi="Times New Roman" w:cs="Times New Roman"/>
        </w:rPr>
        <w:t xml:space="preserve"> used recycled concrete aggregates, the EC reduction potential is denoted as the discrepancies between calculation units using natural and recycled aggregates. </w:t>
      </w:r>
      <w:r>
        <w:rPr>
          <w:rFonts w:ascii="Times New Roman" w:hAnsi="Times New Roman" w:cs="Times New Roman"/>
        </w:rPr>
        <w:t xml:space="preserve">It is noted that some </w:t>
      </w:r>
      <w:r w:rsidRPr="00962144">
        <w:rPr>
          <w:rFonts w:ascii="Times New Roman" w:hAnsi="Times New Roman" w:cs="Times New Roman"/>
        </w:rPr>
        <w:t>RCAs</w:t>
      </w:r>
      <w:r>
        <w:rPr>
          <w:rFonts w:ascii="Times New Roman" w:hAnsi="Times New Roman" w:cs="Times New Roman"/>
        </w:rPr>
        <w:t xml:space="preserve"> may result in an increased EC, which are also considered in the paper. </w:t>
      </w:r>
    </w:p>
    <w:p w14:paraId="3F7D86C4" w14:textId="7ED23736" w:rsidR="00BF0919" w:rsidRDefault="00BF0919" w:rsidP="001A5DBC">
      <w:pPr>
        <w:pStyle w:val="ListParagraph"/>
        <w:numPr>
          <w:ilvl w:val="0"/>
          <w:numId w:val="3"/>
        </w:numPr>
        <w:ind w:firstLineChars="0"/>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cases</w:t>
      </w:r>
      <w:r>
        <w:rPr>
          <w:rFonts w:ascii="Times New Roman" w:hAnsi="Times New Roman" w:cs="Times New Roman"/>
        </w:rPr>
        <w:t xml:space="preserve"> selecting high strength concrete, the EC reductions are measured by comparing the EC values of the new structural design using HSC and the design using original concrete, which utilize other materials of the same strength and satisfy the same structural needs.  The balance between the increased emission factors and reduced material usage of the HSC-adopted design is addressed. </w:t>
      </w:r>
    </w:p>
    <w:p w14:paraId="4DA7D91B" w14:textId="77777777" w:rsidR="00BF0919" w:rsidRDefault="00BF0919">
      <w:pPr>
        <w:rPr>
          <w:rFonts w:ascii="Times New Roman" w:hAnsi="Times New Roman" w:cs="Times New Roman"/>
        </w:rPr>
      </w:pPr>
    </w:p>
    <w:p w14:paraId="3B40BAB9" w14:textId="77777777" w:rsidR="00BF0919" w:rsidRDefault="00BF0919" w:rsidP="00D5302F">
      <w:pPr>
        <w:pStyle w:val="Heading1"/>
        <w:numPr>
          <w:ilvl w:val="0"/>
          <w:numId w:val="17"/>
        </w:numPr>
      </w:pPr>
      <w:r>
        <w:t xml:space="preserve">Results and Analyses </w:t>
      </w:r>
    </w:p>
    <w:p w14:paraId="3D4823D9" w14:textId="4E6FB0BE" w:rsidR="00BF0919" w:rsidRPr="00AF0F57" w:rsidRDefault="00BF0919">
      <w:pPr>
        <w:rPr>
          <w:rStyle w:val="fontstyle01"/>
          <w:rFonts w:ascii="Times New Roman" w:hAnsi="Times New Roman" w:cs="Times New Roman"/>
          <w:sz w:val="21"/>
          <w:szCs w:val="21"/>
        </w:rPr>
      </w:pPr>
      <w:r w:rsidRPr="00A66D74">
        <w:rPr>
          <w:rFonts w:ascii="Times New Roman" w:hAnsi="Times New Roman" w:cs="Times New Roman"/>
          <w:szCs w:val="21"/>
        </w:rPr>
        <w:t xml:space="preserve">Following the three-dimensional theoretical framework, an in-depth content analysis is conducted </w:t>
      </w:r>
      <w:r>
        <w:rPr>
          <w:rFonts w:ascii="Times New Roman" w:hAnsi="Times New Roman" w:cs="Times New Roman"/>
          <w:szCs w:val="21"/>
        </w:rPr>
        <w:t>by</w:t>
      </w:r>
      <w:r w:rsidRPr="00A66D74">
        <w:rPr>
          <w:rFonts w:ascii="Times New Roman" w:hAnsi="Times New Roman" w:cs="Times New Roman"/>
          <w:szCs w:val="21"/>
        </w:rPr>
        <w:t xml:space="preserve"> reviewing the 65 papers. The 9 </w:t>
      </w:r>
      <w:r w:rsidRPr="00AF0F57">
        <w:rPr>
          <w:rStyle w:val="fontstyle01"/>
          <w:rFonts w:ascii="Times New Roman" w:hAnsi="Times New Roman" w:cs="Times New Roman"/>
          <w:sz w:val="21"/>
          <w:szCs w:val="21"/>
        </w:rPr>
        <w:t>v</w:t>
      </w:r>
      <w:r w:rsidRPr="00AF0F57">
        <w:rPr>
          <w:rStyle w:val="fontstyle01"/>
          <w:rFonts w:hint="eastAsia"/>
          <w:sz w:val="21"/>
          <w:szCs w:val="21"/>
        </w:rPr>
        <w:t xml:space="preserve">ariables of system </w:t>
      </w:r>
      <w:r w:rsidRPr="00AF0F57">
        <w:rPr>
          <w:rStyle w:val="fontstyle01"/>
          <w:rFonts w:ascii="Times New Roman" w:hAnsi="Times New Roman" w:cs="Times New Roman"/>
          <w:sz w:val="21"/>
          <w:szCs w:val="21"/>
        </w:rPr>
        <w:t xml:space="preserve">boundaries of the LCCMs are thoroughly collected and analyzed. After then, the EC reduction of the cases in these 65 papers are adjusted so that they can be compared effectively at the same level. The appended Table 5 provides details of the 65 papers. </w:t>
      </w:r>
    </w:p>
    <w:p w14:paraId="1394111A" w14:textId="77777777" w:rsidR="00BF0919" w:rsidRDefault="00BF0919" w:rsidP="00AF0F57">
      <w:pPr>
        <w:pStyle w:val="Heading2"/>
        <w:numPr>
          <w:ilvl w:val="1"/>
          <w:numId w:val="17"/>
        </w:numPr>
      </w:pPr>
      <w:r>
        <w:t xml:space="preserve"> </w:t>
      </w:r>
      <w:r w:rsidRPr="00E00124">
        <w:t>Bibliometric analysis</w:t>
      </w:r>
    </w:p>
    <w:p w14:paraId="3260E10C" w14:textId="1BF6220B" w:rsidR="00BF0919" w:rsidRDefault="00BF0919">
      <w:r w:rsidRPr="00E00124">
        <w:t xml:space="preserve">Fig.2 demonstrates the yearly publications outputs of the selected </w:t>
      </w:r>
      <w:r>
        <w:rPr>
          <w:rFonts w:hint="eastAsia"/>
        </w:rPr>
        <w:t>papers</w:t>
      </w:r>
      <w:r w:rsidRPr="00E00124">
        <w:t xml:space="preserve">. </w:t>
      </w:r>
      <w:r w:rsidRPr="00C52F35">
        <w:t>Indeed, nearly 80% of the remained papers are published following the year 2015. This could be primarily ascribed to that the research subject, the embodied carbon (EC) of concretes, is generally gaining popularity in academia in recent years. An increasing number of research</w:t>
      </w:r>
      <w:r>
        <w:t xml:space="preserve"> was</w:t>
      </w:r>
      <w:r w:rsidRPr="00C52F35">
        <w:t xml:space="preserve"> conducted to study the EC reduction potential of different concrete constituents, especially after the year 2015 when the Paris Agreement </w:t>
      </w:r>
      <w:r>
        <w:t>was</w:t>
      </w:r>
      <w:r w:rsidRPr="00C52F35">
        <w:t xml:space="preserve"> adopted internationally, and governments were making timetables for achieving carbon neutrality</w:t>
      </w:r>
      <w:r>
        <w:t>.</w:t>
      </w:r>
    </w:p>
    <w:p w14:paraId="49A65197" w14:textId="2DDC505A" w:rsidR="00BF0919" w:rsidRDefault="00BF0919" w:rsidP="00AF0F57">
      <w:pPr>
        <w:jc w:val="center"/>
      </w:pPr>
      <w:r>
        <w:object w:dxaOrig="14841" w:dyaOrig="5281" w14:anchorId="162D8A9E">
          <v:shape id="_x0000_i1026" type="#_x0000_t75" style="width:308.5pt;height:128.5pt" o:ole="">
            <v:imagedata r:id="rId8" o:title="" croptop="4942f" cropbottom="2549f" cropleft="8438f" cropright="8566f"/>
          </v:shape>
          <o:OLEObject Type="Embed" ProgID="Origin95.Graph" ShapeID="_x0000_i1026" DrawAspect="Content" ObjectID="_1775568117" r:id="rId9"/>
        </w:object>
      </w:r>
    </w:p>
    <w:p w14:paraId="0C94EB98" w14:textId="77777777" w:rsidR="00BF0919" w:rsidRDefault="00BF0919" w:rsidP="00FA0BCD">
      <w:pPr>
        <w:pStyle w:val="Caption"/>
        <w:jc w:val="center"/>
        <w:rPr>
          <w:rFonts w:ascii="Times New Roman" w:hAnsi="Times New Roman" w:cs="Times New Roman"/>
        </w:rPr>
      </w:pPr>
      <w:r w:rsidRPr="0067238F">
        <w:rPr>
          <w:rFonts w:ascii="Times New Roman" w:hAnsi="Times New Roman" w:cs="Times New Roman"/>
          <w:b/>
          <w:bCs/>
        </w:rPr>
        <w:t xml:space="preserve">Fig. </w:t>
      </w:r>
      <w:r w:rsidRPr="0067238F">
        <w:rPr>
          <w:rFonts w:ascii="Times New Roman" w:hAnsi="Times New Roman" w:cs="Times New Roman"/>
          <w:b/>
          <w:bCs/>
        </w:rPr>
        <w:fldChar w:fldCharType="begin"/>
      </w:r>
      <w:r w:rsidRPr="0067238F">
        <w:rPr>
          <w:rFonts w:ascii="Times New Roman" w:hAnsi="Times New Roman" w:cs="Times New Roman"/>
          <w:b/>
          <w:bCs/>
        </w:rPr>
        <w:instrText xml:space="preserve"> SEQ Figure \* ARABIC </w:instrText>
      </w:r>
      <w:r w:rsidRPr="0067238F">
        <w:rPr>
          <w:rFonts w:ascii="Times New Roman" w:hAnsi="Times New Roman" w:cs="Times New Roman"/>
          <w:b/>
          <w:bCs/>
        </w:rPr>
        <w:fldChar w:fldCharType="separate"/>
      </w:r>
      <w:r w:rsidRPr="0067238F">
        <w:rPr>
          <w:rFonts w:ascii="Times New Roman" w:hAnsi="Times New Roman" w:cs="Times New Roman"/>
          <w:b/>
          <w:bCs/>
          <w:noProof/>
        </w:rPr>
        <w:t>2</w:t>
      </w:r>
      <w:r w:rsidRPr="0067238F">
        <w:rPr>
          <w:rFonts w:ascii="Times New Roman" w:hAnsi="Times New Roman" w:cs="Times New Roman"/>
          <w:b/>
          <w:bCs/>
        </w:rPr>
        <w:fldChar w:fldCharType="end"/>
      </w:r>
      <w:r w:rsidRPr="0067238F">
        <w:rPr>
          <w:rFonts w:ascii="Times New Roman" w:hAnsi="Times New Roman" w:cs="Times New Roman"/>
          <w:b/>
          <w:bCs/>
        </w:rPr>
        <w:t xml:space="preserve"> </w:t>
      </w:r>
      <w:r>
        <w:rPr>
          <w:rFonts w:ascii="Times New Roman" w:hAnsi="Times New Roman" w:cs="Times New Roman"/>
        </w:rPr>
        <w:t>Yearly publications outputs of selected papers</w:t>
      </w:r>
    </w:p>
    <w:p w14:paraId="481EE29C" w14:textId="77777777" w:rsidR="00BF0919" w:rsidRPr="00AF0F57" w:rsidRDefault="00BF0919" w:rsidP="00AF0F57"/>
    <w:p w14:paraId="63E863F2" w14:textId="77777777" w:rsidR="00BF0919" w:rsidRPr="00E5491A" w:rsidRDefault="00BF0919" w:rsidP="00AF0F57">
      <w:pPr>
        <w:pStyle w:val="Heading3"/>
      </w:pPr>
      <w:r>
        <w:rPr>
          <w:rFonts w:hint="eastAsia"/>
        </w:rPr>
        <w:t>3</w:t>
      </w:r>
      <w:r>
        <w:t xml:space="preserve">.1.1 </w:t>
      </w:r>
      <w:r w:rsidRPr="00E5491A">
        <w:t>Co-occurrence of keywords</w:t>
      </w:r>
    </w:p>
    <w:p w14:paraId="654F1C9E" w14:textId="77777777" w:rsidR="00BF0919" w:rsidRDefault="00BF0919">
      <w:r w:rsidRPr="00C92C37">
        <w:t xml:space="preserve">Co-occurrence analysis </w:t>
      </w:r>
      <w:r>
        <w:t>is</w:t>
      </w:r>
      <w:r w:rsidRPr="00C92C37">
        <w:t xml:space="preserve"> conducted on keywords from the selected </w:t>
      </w:r>
      <w:r>
        <w:t>papers</w:t>
      </w:r>
      <w:r w:rsidRPr="00C92C37">
        <w:t xml:space="preserve">. To diminish the ambiguity, keywords that possess the same meaning but were termed in different words </w:t>
      </w:r>
      <w:r>
        <w:t>are</w:t>
      </w:r>
      <w:r w:rsidRPr="00C92C37">
        <w:t xml:space="preserve"> unified and counted together, e.g., “LCA” and “Life cycle </w:t>
      </w:r>
      <w:r>
        <w:rPr>
          <w:rFonts w:ascii="Times New Roman" w:hAnsi="Times New Roman" w:cs="Times New Roman"/>
          <w:szCs w:val="21"/>
        </w:rPr>
        <w:t>assessment</w:t>
      </w:r>
      <w:r w:rsidRPr="00C92C37">
        <w:t>,” “Recycled aggregates,” and “Recycled aggregate,” “Carbon dioxide,” and “CO2”, to name but a few. As numerated in Table</w:t>
      </w:r>
      <w:r>
        <w:t xml:space="preserve"> 2</w:t>
      </w:r>
      <w:r w:rsidRPr="00C92C37">
        <w:t xml:space="preserve">, </w:t>
      </w:r>
      <w:r w:rsidRPr="00C92C37">
        <w:lastRenderedPageBreak/>
        <w:t xml:space="preserve">the top </w:t>
      </w:r>
      <w:r>
        <w:t>five</w:t>
      </w:r>
      <w:r w:rsidRPr="00C92C37">
        <w:t xml:space="preserve"> occurred keywords are “Life cycle </w:t>
      </w:r>
      <w:r>
        <w:rPr>
          <w:rFonts w:ascii="Times New Roman" w:hAnsi="Times New Roman" w:cs="Times New Roman"/>
          <w:szCs w:val="21"/>
        </w:rPr>
        <w:t>assessment</w:t>
      </w:r>
      <w:r w:rsidRPr="00C92C37">
        <w:t xml:space="preserve">,” “CO2”, “Recycled aggregate,” “Concrete,” and “Fly ash.” Keywords with more than </w:t>
      </w:r>
      <w:r>
        <w:t>four</w:t>
      </w:r>
      <w:r w:rsidRPr="00C92C37">
        <w:t xml:space="preserve"> occurrences </w:t>
      </w:r>
      <w:r>
        <w:t>are</w:t>
      </w:r>
      <w:r w:rsidRPr="00C92C37">
        <w:t xml:space="preserve"> sorted out to construct a co-occurrences network in Fig.3. A larger icon signifies a higher prevalence of the keywords in selected </w:t>
      </w:r>
      <w:r>
        <w:rPr>
          <w:rFonts w:hint="eastAsia"/>
        </w:rPr>
        <w:t>papers</w:t>
      </w:r>
      <w:r w:rsidRPr="00C92C37">
        <w:t xml:space="preserve">, while a thicker line denotes a stronger co-occurrence association between these keywords. Stronger co-occurrence associations </w:t>
      </w:r>
      <w:r>
        <w:t>are</w:t>
      </w:r>
      <w:r w:rsidRPr="00C92C37">
        <w:t xml:space="preserve"> found between “Life cycle </w:t>
      </w:r>
      <w:r>
        <w:rPr>
          <w:rFonts w:ascii="Times New Roman" w:hAnsi="Times New Roman" w:cs="Times New Roman"/>
          <w:szCs w:val="21"/>
        </w:rPr>
        <w:t>assessment</w:t>
      </w:r>
      <w:r w:rsidRPr="00C92C37">
        <w:t>,” “Environmental Impact,” “Recycle aggregate,” and “Concrete.”</w:t>
      </w:r>
    </w:p>
    <w:p w14:paraId="2709D435" w14:textId="77777777" w:rsidR="00BF0919" w:rsidRDefault="00BF0919" w:rsidP="001771F4">
      <w:pPr>
        <w:snapToGrid w:val="0"/>
        <w:rPr>
          <w:rFonts w:ascii="Times New Roman" w:hAnsi="Times New Roman" w:cs="Times New Roman"/>
          <w:sz w:val="20"/>
          <w:szCs w:val="20"/>
        </w:rPr>
      </w:pPr>
    </w:p>
    <w:p w14:paraId="3F1EC3EE" w14:textId="77777777" w:rsidR="00BF0919" w:rsidRPr="006F2C46" w:rsidRDefault="00BF0919" w:rsidP="00AF0F57">
      <w:pPr>
        <w:jc w:val="center"/>
        <w:rPr>
          <w:rFonts w:ascii="Times New Roman" w:hAnsi="Times New Roman" w:cs="Times New Roman"/>
          <w:sz w:val="20"/>
          <w:szCs w:val="20"/>
        </w:rPr>
      </w:pPr>
      <w:r w:rsidRPr="006F2C46">
        <w:rPr>
          <w:rFonts w:ascii="Times New Roman" w:eastAsia="Times New Roman" w:hAnsi="Times New Roman" w:cs="Times New Roman"/>
          <w:b/>
          <w:bCs/>
          <w:sz w:val="20"/>
          <w:szCs w:val="20"/>
        </w:rPr>
        <w:t xml:space="preserve">Table 2 </w:t>
      </w:r>
      <w:r w:rsidRPr="006F2C46">
        <w:rPr>
          <w:rFonts w:ascii="Times New Roman" w:eastAsia="Times New Roman" w:hAnsi="Times New Roman" w:cs="Times New Roman"/>
          <w:sz w:val="20"/>
          <w:szCs w:val="20"/>
        </w:rPr>
        <w:t>Keywords and their occurrences from selected papers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1138"/>
        <w:gridCol w:w="1694"/>
      </w:tblGrid>
      <w:tr w:rsidR="00BF0919" w:rsidRPr="0018037A" w14:paraId="6130AF62" w14:textId="77777777" w:rsidTr="00B41A14">
        <w:trPr>
          <w:jc w:val="center"/>
        </w:trPr>
        <w:tc>
          <w:tcPr>
            <w:tcW w:w="0" w:type="auto"/>
            <w:tcBorders>
              <w:top w:val="single" w:sz="8" w:space="0" w:color="auto"/>
              <w:bottom w:val="single" w:sz="8" w:space="0" w:color="auto"/>
            </w:tcBorders>
          </w:tcPr>
          <w:p w14:paraId="1A4F50AA" w14:textId="780352AD" w:rsidR="00BF0919" w:rsidRPr="0018037A" w:rsidRDefault="00BF0919" w:rsidP="00B41A14">
            <w:pPr>
              <w:jc w:val="center"/>
              <w:rPr>
                <w:rFonts w:ascii="Times New Roman" w:hAnsi="Times New Roman" w:cs="Times New Roman"/>
                <w:bCs/>
                <w:szCs w:val="21"/>
              </w:rPr>
            </w:pPr>
            <w:r w:rsidRPr="0018037A">
              <w:rPr>
                <w:rFonts w:ascii="Times New Roman" w:hAnsi="Times New Roman" w:cs="Times New Roman"/>
                <w:bCs/>
                <w:szCs w:val="21"/>
              </w:rPr>
              <w:t>Keywords</w:t>
            </w:r>
          </w:p>
        </w:tc>
        <w:tc>
          <w:tcPr>
            <w:tcW w:w="0" w:type="auto"/>
            <w:tcBorders>
              <w:top w:val="single" w:sz="8" w:space="0" w:color="auto"/>
              <w:bottom w:val="single" w:sz="8" w:space="0" w:color="auto"/>
            </w:tcBorders>
          </w:tcPr>
          <w:p w14:paraId="6FD63D02" w14:textId="77777777" w:rsidR="00BF0919" w:rsidRPr="0018037A" w:rsidRDefault="00BF0919" w:rsidP="00B41A14">
            <w:pPr>
              <w:jc w:val="center"/>
              <w:rPr>
                <w:rFonts w:ascii="Times New Roman" w:hAnsi="Times New Roman" w:cs="Times New Roman"/>
                <w:bCs/>
                <w:szCs w:val="21"/>
              </w:rPr>
            </w:pPr>
            <w:r w:rsidRPr="0018037A">
              <w:rPr>
                <w:rFonts w:ascii="Times New Roman" w:hAnsi="Times New Roman" w:cs="Times New Roman"/>
                <w:bCs/>
                <w:szCs w:val="21"/>
              </w:rPr>
              <w:t>Occurrence</w:t>
            </w:r>
          </w:p>
        </w:tc>
        <w:tc>
          <w:tcPr>
            <w:tcW w:w="0" w:type="auto"/>
            <w:tcBorders>
              <w:top w:val="single" w:sz="8" w:space="0" w:color="auto"/>
              <w:bottom w:val="single" w:sz="8" w:space="0" w:color="auto"/>
            </w:tcBorders>
          </w:tcPr>
          <w:p w14:paraId="08EF58DC" w14:textId="77777777" w:rsidR="00BF0919" w:rsidRPr="0018037A" w:rsidRDefault="00BF0919" w:rsidP="00B41A14">
            <w:pPr>
              <w:jc w:val="center"/>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otal link strength</w:t>
            </w:r>
          </w:p>
        </w:tc>
      </w:tr>
      <w:tr w:rsidR="00BF0919" w:rsidRPr="0018037A" w14:paraId="5F0E5A02" w14:textId="77777777" w:rsidTr="00B41A14">
        <w:trPr>
          <w:jc w:val="center"/>
        </w:trPr>
        <w:tc>
          <w:tcPr>
            <w:tcW w:w="0" w:type="auto"/>
            <w:tcBorders>
              <w:top w:val="single" w:sz="8" w:space="0" w:color="auto"/>
            </w:tcBorders>
          </w:tcPr>
          <w:p w14:paraId="23C53D09"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Life cycle assessment</w:t>
            </w:r>
          </w:p>
        </w:tc>
        <w:tc>
          <w:tcPr>
            <w:tcW w:w="0" w:type="auto"/>
            <w:tcBorders>
              <w:top w:val="single" w:sz="8" w:space="0" w:color="auto"/>
            </w:tcBorders>
            <w:vAlign w:val="bottom"/>
          </w:tcPr>
          <w:p w14:paraId="60C35477"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27</w:t>
            </w:r>
          </w:p>
        </w:tc>
        <w:tc>
          <w:tcPr>
            <w:tcW w:w="0" w:type="auto"/>
            <w:tcBorders>
              <w:top w:val="single" w:sz="8" w:space="0" w:color="auto"/>
            </w:tcBorders>
          </w:tcPr>
          <w:p w14:paraId="408C3D09" w14:textId="77777777" w:rsidR="00BF0919" w:rsidRDefault="00BF0919" w:rsidP="00B41A14">
            <w:pPr>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w:t>
            </w:r>
          </w:p>
        </w:tc>
      </w:tr>
      <w:tr w:rsidR="00BF0919" w:rsidRPr="0018037A" w14:paraId="7A053739" w14:textId="77777777" w:rsidTr="00B41A14">
        <w:trPr>
          <w:jc w:val="center"/>
        </w:trPr>
        <w:tc>
          <w:tcPr>
            <w:tcW w:w="0" w:type="auto"/>
          </w:tcPr>
          <w:p w14:paraId="449FF377"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CO</w:t>
            </w:r>
            <w:r w:rsidRPr="0067238F">
              <w:rPr>
                <w:rFonts w:ascii="Times New Roman" w:hAnsi="Times New Roman" w:cs="Times New Roman"/>
                <w:szCs w:val="21"/>
                <w:vertAlign w:val="subscript"/>
              </w:rPr>
              <w:t>2</w:t>
            </w:r>
          </w:p>
        </w:tc>
        <w:tc>
          <w:tcPr>
            <w:tcW w:w="0" w:type="auto"/>
            <w:vAlign w:val="bottom"/>
          </w:tcPr>
          <w:p w14:paraId="474BF5EB"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15</w:t>
            </w:r>
          </w:p>
        </w:tc>
        <w:tc>
          <w:tcPr>
            <w:tcW w:w="0" w:type="auto"/>
          </w:tcPr>
          <w:p w14:paraId="48262278" w14:textId="77777777" w:rsidR="00BF0919" w:rsidRDefault="00BF0919" w:rsidP="00B41A14">
            <w:pPr>
              <w:jc w:val="center"/>
              <w:rPr>
                <w:rFonts w:ascii="Times New Roman" w:hAnsi="Times New Roman" w:cs="Times New Roman"/>
                <w:szCs w:val="21"/>
              </w:rPr>
            </w:pPr>
            <w:r>
              <w:rPr>
                <w:rFonts w:ascii="Times New Roman" w:hAnsi="Times New Roman" w:cs="Times New Roman"/>
                <w:szCs w:val="21"/>
              </w:rPr>
              <w:t>19</w:t>
            </w:r>
          </w:p>
        </w:tc>
      </w:tr>
      <w:tr w:rsidR="00BF0919" w:rsidRPr="0018037A" w14:paraId="6FEA0379" w14:textId="77777777" w:rsidTr="00B41A14">
        <w:trPr>
          <w:jc w:val="center"/>
        </w:trPr>
        <w:tc>
          <w:tcPr>
            <w:tcW w:w="0" w:type="auto"/>
          </w:tcPr>
          <w:p w14:paraId="3524798C"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hint="eastAsia"/>
                <w:szCs w:val="21"/>
              </w:rPr>
              <w:t>R</w:t>
            </w:r>
            <w:r>
              <w:rPr>
                <w:rFonts w:ascii="Times New Roman" w:hAnsi="Times New Roman" w:cs="Times New Roman"/>
                <w:szCs w:val="21"/>
              </w:rPr>
              <w:t>ecycled aggregate</w:t>
            </w:r>
          </w:p>
        </w:tc>
        <w:tc>
          <w:tcPr>
            <w:tcW w:w="0" w:type="auto"/>
            <w:vAlign w:val="bottom"/>
          </w:tcPr>
          <w:p w14:paraId="5357C2CE" w14:textId="77777777" w:rsidR="00BF0919" w:rsidRPr="0018037A" w:rsidRDefault="00BF0919" w:rsidP="00B41A14">
            <w:pPr>
              <w:jc w:val="center"/>
              <w:rPr>
                <w:rFonts w:ascii="Times New Roman" w:hAnsi="Times New Roman" w:cs="Times New Roman"/>
                <w:szCs w:val="21"/>
              </w:rPr>
            </w:pPr>
            <w:r w:rsidRPr="0018037A">
              <w:rPr>
                <w:rFonts w:ascii="Times New Roman" w:hAnsi="Times New Roman" w:cs="Times New Roman"/>
                <w:szCs w:val="21"/>
              </w:rPr>
              <w:t>12</w:t>
            </w:r>
          </w:p>
        </w:tc>
        <w:tc>
          <w:tcPr>
            <w:tcW w:w="0" w:type="auto"/>
          </w:tcPr>
          <w:p w14:paraId="68D93598"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18</w:t>
            </w:r>
          </w:p>
        </w:tc>
      </w:tr>
      <w:tr w:rsidR="00BF0919" w:rsidRPr="0018037A" w14:paraId="55D3FC76" w14:textId="77777777" w:rsidTr="00B41A14">
        <w:trPr>
          <w:jc w:val="center"/>
        </w:trPr>
        <w:tc>
          <w:tcPr>
            <w:tcW w:w="0" w:type="auto"/>
          </w:tcPr>
          <w:p w14:paraId="7F943170"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Concrete</w:t>
            </w:r>
          </w:p>
        </w:tc>
        <w:tc>
          <w:tcPr>
            <w:tcW w:w="0" w:type="auto"/>
            <w:vAlign w:val="bottom"/>
          </w:tcPr>
          <w:p w14:paraId="733998E2"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11</w:t>
            </w:r>
          </w:p>
        </w:tc>
        <w:tc>
          <w:tcPr>
            <w:tcW w:w="0" w:type="auto"/>
          </w:tcPr>
          <w:p w14:paraId="03AB1868" w14:textId="77777777" w:rsidR="00BF0919" w:rsidRDefault="00BF0919" w:rsidP="00B41A14">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2</w:t>
            </w:r>
          </w:p>
        </w:tc>
      </w:tr>
      <w:tr w:rsidR="00BF0919" w:rsidRPr="0018037A" w14:paraId="4FF50BF7" w14:textId="77777777" w:rsidTr="00B41A14">
        <w:trPr>
          <w:jc w:val="center"/>
        </w:trPr>
        <w:tc>
          <w:tcPr>
            <w:tcW w:w="0" w:type="auto"/>
          </w:tcPr>
          <w:p w14:paraId="40891AED"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Fly ash</w:t>
            </w:r>
          </w:p>
        </w:tc>
        <w:tc>
          <w:tcPr>
            <w:tcW w:w="0" w:type="auto"/>
            <w:vAlign w:val="bottom"/>
          </w:tcPr>
          <w:p w14:paraId="66DACAB1"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9</w:t>
            </w:r>
          </w:p>
        </w:tc>
        <w:tc>
          <w:tcPr>
            <w:tcW w:w="0" w:type="auto"/>
          </w:tcPr>
          <w:p w14:paraId="729EC4E9" w14:textId="77777777" w:rsidR="00BF0919" w:rsidRDefault="00BF0919" w:rsidP="00B41A14">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r>
      <w:tr w:rsidR="00BF0919" w:rsidRPr="0018037A" w14:paraId="23741C13" w14:textId="77777777" w:rsidTr="00B41A14">
        <w:trPr>
          <w:jc w:val="center"/>
        </w:trPr>
        <w:tc>
          <w:tcPr>
            <w:tcW w:w="0" w:type="auto"/>
          </w:tcPr>
          <w:p w14:paraId="06D8DD2C"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Geopolymer</w:t>
            </w:r>
          </w:p>
        </w:tc>
        <w:tc>
          <w:tcPr>
            <w:tcW w:w="0" w:type="auto"/>
            <w:vAlign w:val="bottom"/>
          </w:tcPr>
          <w:p w14:paraId="48A99DAD"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szCs w:val="21"/>
              </w:rPr>
              <w:t>8</w:t>
            </w:r>
          </w:p>
        </w:tc>
        <w:tc>
          <w:tcPr>
            <w:tcW w:w="0" w:type="auto"/>
          </w:tcPr>
          <w:p w14:paraId="2E12D4A2" w14:textId="77777777" w:rsidR="00BF0919" w:rsidRDefault="00BF0919" w:rsidP="00B41A14">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r>
      <w:tr w:rsidR="00BF0919" w:rsidRPr="0018037A" w14:paraId="5948BAC4" w14:textId="77777777" w:rsidTr="00B41A14">
        <w:trPr>
          <w:jc w:val="center"/>
        </w:trPr>
        <w:tc>
          <w:tcPr>
            <w:tcW w:w="0" w:type="auto"/>
          </w:tcPr>
          <w:p w14:paraId="3865DAD9"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Cement</w:t>
            </w:r>
          </w:p>
        </w:tc>
        <w:tc>
          <w:tcPr>
            <w:tcW w:w="0" w:type="auto"/>
            <w:vAlign w:val="bottom"/>
          </w:tcPr>
          <w:p w14:paraId="3689776C" w14:textId="77777777" w:rsidR="00BF0919" w:rsidRPr="0018037A" w:rsidRDefault="00BF0919" w:rsidP="00B41A14">
            <w:pPr>
              <w:jc w:val="center"/>
              <w:rPr>
                <w:rFonts w:ascii="Times New Roman" w:hAnsi="Times New Roman" w:cs="Times New Roman"/>
                <w:szCs w:val="21"/>
              </w:rPr>
            </w:pPr>
            <w:r w:rsidRPr="0018037A">
              <w:rPr>
                <w:rFonts w:ascii="Times New Roman" w:hAnsi="Times New Roman" w:cs="Times New Roman"/>
                <w:szCs w:val="21"/>
              </w:rPr>
              <w:t>7</w:t>
            </w:r>
          </w:p>
        </w:tc>
        <w:tc>
          <w:tcPr>
            <w:tcW w:w="0" w:type="auto"/>
          </w:tcPr>
          <w:p w14:paraId="52B733BD"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5</w:t>
            </w:r>
          </w:p>
        </w:tc>
      </w:tr>
      <w:tr w:rsidR="00BF0919" w:rsidRPr="0018037A" w14:paraId="77D8F4FD" w14:textId="77777777" w:rsidTr="00B41A14">
        <w:trPr>
          <w:jc w:val="center"/>
        </w:trPr>
        <w:tc>
          <w:tcPr>
            <w:tcW w:w="0" w:type="auto"/>
          </w:tcPr>
          <w:p w14:paraId="5631DAA0" w14:textId="77777777" w:rsidR="00BF0919" w:rsidRPr="0018037A" w:rsidRDefault="00BF0919" w:rsidP="00B41A14">
            <w:pPr>
              <w:jc w:val="left"/>
              <w:rPr>
                <w:rFonts w:ascii="Times New Roman" w:hAnsi="Times New Roman" w:cs="Times New Roman"/>
                <w:szCs w:val="21"/>
              </w:rPr>
            </w:pPr>
            <w:r>
              <w:rPr>
                <w:rFonts w:ascii="Times New Roman" w:hAnsi="Times New Roman" w:cs="Times New Roman"/>
                <w:szCs w:val="21"/>
              </w:rPr>
              <w:t>Carbon footprint</w:t>
            </w:r>
          </w:p>
        </w:tc>
        <w:tc>
          <w:tcPr>
            <w:tcW w:w="0" w:type="auto"/>
            <w:vAlign w:val="bottom"/>
          </w:tcPr>
          <w:p w14:paraId="519D1BC4" w14:textId="77777777" w:rsidR="00BF0919" w:rsidRPr="0018037A" w:rsidRDefault="00BF0919" w:rsidP="00B41A14">
            <w:pPr>
              <w:jc w:val="center"/>
              <w:rPr>
                <w:rFonts w:ascii="Times New Roman" w:hAnsi="Times New Roman" w:cs="Times New Roman"/>
                <w:szCs w:val="21"/>
              </w:rPr>
            </w:pPr>
            <w:r w:rsidRPr="0018037A">
              <w:rPr>
                <w:rFonts w:ascii="Times New Roman" w:hAnsi="Times New Roman" w:cs="Times New Roman"/>
                <w:szCs w:val="21"/>
              </w:rPr>
              <w:t>6</w:t>
            </w:r>
          </w:p>
        </w:tc>
        <w:tc>
          <w:tcPr>
            <w:tcW w:w="0" w:type="auto"/>
          </w:tcPr>
          <w:p w14:paraId="133F20C6" w14:textId="77777777" w:rsidR="00BF0919" w:rsidRPr="0018037A" w:rsidRDefault="00BF0919" w:rsidP="00B41A14">
            <w:pPr>
              <w:jc w:val="center"/>
              <w:rPr>
                <w:rFonts w:ascii="Times New Roman" w:hAnsi="Times New Roman" w:cs="Times New Roman"/>
                <w:szCs w:val="21"/>
              </w:rPr>
            </w:pPr>
            <w:r>
              <w:rPr>
                <w:rFonts w:ascii="Times New Roman" w:hAnsi="Times New Roman" w:cs="Times New Roman" w:hint="eastAsia"/>
                <w:szCs w:val="21"/>
              </w:rPr>
              <w:t>5</w:t>
            </w:r>
          </w:p>
        </w:tc>
      </w:tr>
      <w:tr w:rsidR="00BF0919" w:rsidRPr="0018037A" w14:paraId="7D312433" w14:textId="77777777" w:rsidTr="00B41A14">
        <w:trPr>
          <w:jc w:val="center"/>
        </w:trPr>
        <w:tc>
          <w:tcPr>
            <w:tcW w:w="0" w:type="auto"/>
          </w:tcPr>
          <w:p w14:paraId="593B7C6E" w14:textId="77777777" w:rsidR="00BF0919" w:rsidRPr="0018037A" w:rsidRDefault="00BF0919" w:rsidP="00D875FF">
            <w:pPr>
              <w:jc w:val="left"/>
              <w:rPr>
                <w:rFonts w:ascii="Times New Roman" w:hAnsi="Times New Roman" w:cs="Times New Roman"/>
                <w:szCs w:val="21"/>
              </w:rPr>
            </w:pPr>
            <w:r>
              <w:rPr>
                <w:rFonts w:ascii="Times New Roman" w:hAnsi="Times New Roman" w:cs="Times New Roman" w:hint="eastAsia"/>
                <w:szCs w:val="21"/>
              </w:rPr>
              <w:t>En</w:t>
            </w:r>
            <w:r>
              <w:rPr>
                <w:rFonts w:ascii="Times New Roman" w:hAnsi="Times New Roman" w:cs="Times New Roman"/>
                <w:szCs w:val="21"/>
              </w:rPr>
              <w:t>vironmental impact</w:t>
            </w:r>
          </w:p>
        </w:tc>
        <w:tc>
          <w:tcPr>
            <w:tcW w:w="0" w:type="auto"/>
            <w:vAlign w:val="bottom"/>
          </w:tcPr>
          <w:p w14:paraId="5A215ECD" w14:textId="77777777" w:rsidR="00BF0919" w:rsidRPr="0018037A" w:rsidRDefault="00BF0919" w:rsidP="00D875FF">
            <w:pPr>
              <w:jc w:val="center"/>
              <w:rPr>
                <w:rFonts w:ascii="Times New Roman" w:hAnsi="Times New Roman" w:cs="Times New Roman"/>
                <w:szCs w:val="21"/>
              </w:rPr>
            </w:pPr>
            <w:r>
              <w:rPr>
                <w:rFonts w:ascii="Times New Roman" w:hAnsi="Times New Roman" w:cs="Times New Roman" w:hint="eastAsia"/>
                <w:szCs w:val="21"/>
              </w:rPr>
              <w:t>5</w:t>
            </w:r>
          </w:p>
        </w:tc>
        <w:tc>
          <w:tcPr>
            <w:tcW w:w="0" w:type="auto"/>
          </w:tcPr>
          <w:p w14:paraId="4D3ECC51"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0</w:t>
            </w:r>
          </w:p>
        </w:tc>
      </w:tr>
      <w:tr w:rsidR="00BF0919" w:rsidRPr="0018037A" w14:paraId="08CF1F3E" w14:textId="77777777" w:rsidTr="00B41A14">
        <w:trPr>
          <w:jc w:val="center"/>
        </w:trPr>
        <w:tc>
          <w:tcPr>
            <w:tcW w:w="0" w:type="auto"/>
          </w:tcPr>
          <w:p w14:paraId="6146C47E" w14:textId="77777777" w:rsidR="00BF0919" w:rsidRPr="0018037A" w:rsidRDefault="00BF0919" w:rsidP="00D875FF">
            <w:pPr>
              <w:jc w:val="left"/>
              <w:rPr>
                <w:rFonts w:ascii="Times New Roman" w:hAnsi="Times New Roman" w:cs="Times New Roman"/>
                <w:szCs w:val="21"/>
              </w:rPr>
            </w:pPr>
            <w:r>
              <w:rPr>
                <w:rFonts w:ascii="Times New Roman" w:hAnsi="Times New Roman" w:cs="Times New Roman"/>
                <w:szCs w:val="21"/>
              </w:rPr>
              <w:t>Compressive strength</w:t>
            </w:r>
          </w:p>
        </w:tc>
        <w:tc>
          <w:tcPr>
            <w:tcW w:w="0" w:type="auto"/>
            <w:vAlign w:val="bottom"/>
          </w:tcPr>
          <w:p w14:paraId="72ECFB4C" w14:textId="77777777" w:rsidR="00BF0919" w:rsidRPr="0018037A" w:rsidRDefault="00BF0919" w:rsidP="00D875FF">
            <w:pPr>
              <w:jc w:val="center"/>
              <w:rPr>
                <w:rFonts w:ascii="Times New Roman" w:hAnsi="Times New Roman" w:cs="Times New Roman"/>
                <w:szCs w:val="21"/>
              </w:rPr>
            </w:pPr>
            <w:r>
              <w:rPr>
                <w:rFonts w:ascii="Times New Roman" w:hAnsi="Times New Roman" w:cs="Times New Roman"/>
                <w:szCs w:val="21"/>
              </w:rPr>
              <w:t>5</w:t>
            </w:r>
          </w:p>
        </w:tc>
        <w:tc>
          <w:tcPr>
            <w:tcW w:w="0" w:type="auto"/>
          </w:tcPr>
          <w:p w14:paraId="08719789"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9</w:t>
            </w:r>
          </w:p>
        </w:tc>
      </w:tr>
      <w:tr w:rsidR="00BF0919" w:rsidRPr="0018037A" w14:paraId="0E1DC56A" w14:textId="77777777" w:rsidTr="00B41A14">
        <w:trPr>
          <w:jc w:val="center"/>
        </w:trPr>
        <w:tc>
          <w:tcPr>
            <w:tcW w:w="0" w:type="auto"/>
          </w:tcPr>
          <w:p w14:paraId="0CEE310B" w14:textId="77777777" w:rsidR="00BF0919" w:rsidRDefault="00BF0919" w:rsidP="00D875FF">
            <w:pPr>
              <w:jc w:val="left"/>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ustainability</w:t>
            </w:r>
          </w:p>
        </w:tc>
        <w:tc>
          <w:tcPr>
            <w:tcW w:w="0" w:type="auto"/>
            <w:vAlign w:val="bottom"/>
          </w:tcPr>
          <w:p w14:paraId="28DC2A38"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5</w:t>
            </w:r>
          </w:p>
        </w:tc>
        <w:tc>
          <w:tcPr>
            <w:tcW w:w="0" w:type="auto"/>
          </w:tcPr>
          <w:p w14:paraId="214C7B2A"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9</w:t>
            </w:r>
          </w:p>
        </w:tc>
      </w:tr>
      <w:tr w:rsidR="00BF0919" w:rsidRPr="0018037A" w14:paraId="7B7FA1C8" w14:textId="77777777" w:rsidTr="00B41A14">
        <w:trPr>
          <w:jc w:val="center"/>
        </w:trPr>
        <w:tc>
          <w:tcPr>
            <w:tcW w:w="0" w:type="auto"/>
          </w:tcPr>
          <w:p w14:paraId="272B2E1B" w14:textId="77777777" w:rsidR="00BF0919" w:rsidRDefault="00BF0919" w:rsidP="00D875FF">
            <w:pPr>
              <w:jc w:val="left"/>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upplementary cementitious materials</w:t>
            </w:r>
          </w:p>
        </w:tc>
        <w:tc>
          <w:tcPr>
            <w:tcW w:w="0" w:type="auto"/>
            <w:vAlign w:val="bottom"/>
          </w:tcPr>
          <w:p w14:paraId="3E9476EF" w14:textId="77777777" w:rsidR="00BF0919" w:rsidRDefault="00BF0919" w:rsidP="00D875FF">
            <w:pPr>
              <w:jc w:val="center"/>
              <w:rPr>
                <w:rFonts w:ascii="Times New Roman" w:hAnsi="Times New Roman" w:cs="Times New Roman"/>
                <w:szCs w:val="21"/>
              </w:rPr>
            </w:pPr>
            <w:r>
              <w:rPr>
                <w:rFonts w:ascii="Times New Roman" w:hAnsi="Times New Roman" w:cs="Times New Roman"/>
                <w:szCs w:val="21"/>
              </w:rPr>
              <w:t>5</w:t>
            </w:r>
          </w:p>
        </w:tc>
        <w:tc>
          <w:tcPr>
            <w:tcW w:w="0" w:type="auto"/>
          </w:tcPr>
          <w:p w14:paraId="60A38058"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8</w:t>
            </w:r>
          </w:p>
        </w:tc>
      </w:tr>
      <w:tr w:rsidR="00BF0919" w:rsidRPr="0018037A" w14:paraId="72E0238D" w14:textId="77777777" w:rsidTr="00B41A14">
        <w:trPr>
          <w:jc w:val="center"/>
        </w:trPr>
        <w:tc>
          <w:tcPr>
            <w:tcW w:w="0" w:type="auto"/>
            <w:tcBorders>
              <w:bottom w:val="single" w:sz="8" w:space="0" w:color="auto"/>
            </w:tcBorders>
          </w:tcPr>
          <w:p w14:paraId="6A6E727C" w14:textId="77777777" w:rsidR="00BF0919" w:rsidRDefault="00BF0919" w:rsidP="00D875FF">
            <w:pPr>
              <w:jc w:val="left"/>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szCs w:val="21"/>
              </w:rPr>
              <w:t>igh-rise building</w:t>
            </w:r>
          </w:p>
        </w:tc>
        <w:tc>
          <w:tcPr>
            <w:tcW w:w="0" w:type="auto"/>
            <w:tcBorders>
              <w:bottom w:val="single" w:sz="8" w:space="0" w:color="auto"/>
            </w:tcBorders>
            <w:vAlign w:val="bottom"/>
          </w:tcPr>
          <w:p w14:paraId="2A2AF091"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5</w:t>
            </w:r>
          </w:p>
        </w:tc>
        <w:tc>
          <w:tcPr>
            <w:tcW w:w="0" w:type="auto"/>
            <w:tcBorders>
              <w:bottom w:val="single" w:sz="8" w:space="0" w:color="auto"/>
            </w:tcBorders>
          </w:tcPr>
          <w:p w14:paraId="4C5BA545" w14:textId="77777777" w:rsidR="00BF0919" w:rsidRDefault="00BF0919" w:rsidP="00D875FF">
            <w:pPr>
              <w:jc w:val="center"/>
              <w:rPr>
                <w:rFonts w:ascii="Times New Roman" w:hAnsi="Times New Roman" w:cs="Times New Roman"/>
                <w:szCs w:val="21"/>
              </w:rPr>
            </w:pPr>
            <w:r>
              <w:rPr>
                <w:rFonts w:ascii="Times New Roman" w:hAnsi="Times New Roman" w:cs="Times New Roman" w:hint="eastAsia"/>
                <w:szCs w:val="21"/>
              </w:rPr>
              <w:t>4</w:t>
            </w:r>
          </w:p>
        </w:tc>
      </w:tr>
    </w:tbl>
    <w:p w14:paraId="1BC0D01C" w14:textId="77777777" w:rsidR="00BF0919" w:rsidRPr="001771F4" w:rsidRDefault="00BF0919" w:rsidP="001771F4"/>
    <w:p w14:paraId="4EFC8DA0" w14:textId="77777777" w:rsidR="00BF0919" w:rsidRDefault="00BF0919" w:rsidP="00C92C37">
      <w:pPr>
        <w:jc w:val="center"/>
      </w:pPr>
      <w:r>
        <w:object w:dxaOrig="15420" w:dyaOrig="8341" w14:anchorId="6C2B9933">
          <v:shape id="_x0000_i1027" type="#_x0000_t75" style="width:324pt;height:175pt" o:ole="">
            <v:imagedata r:id="rId10" o:title=""/>
          </v:shape>
          <o:OLEObject Type="Embed" ProgID="Visio.Drawing.15" ShapeID="_x0000_i1027" DrawAspect="Content" ObjectID="_1775568118" r:id="rId11"/>
        </w:object>
      </w:r>
    </w:p>
    <w:p w14:paraId="49D20998" w14:textId="77777777" w:rsidR="00BF0919" w:rsidRDefault="00BF0919" w:rsidP="00C92C37">
      <w:pPr>
        <w:pStyle w:val="Caption"/>
        <w:jc w:val="center"/>
        <w:rPr>
          <w:rFonts w:ascii="Times New Roman" w:hAnsi="Times New Roman" w:cs="Times New Roman"/>
        </w:rPr>
      </w:pPr>
      <w:r w:rsidRPr="0067238F">
        <w:rPr>
          <w:rFonts w:ascii="Times New Roman" w:hAnsi="Times New Roman" w:cs="Times New Roman"/>
          <w:b/>
          <w:bCs/>
        </w:rPr>
        <w:t>Fig. 3</w:t>
      </w:r>
      <w:r>
        <w:rPr>
          <w:rFonts w:ascii="Times New Roman" w:hAnsi="Times New Roman" w:cs="Times New Roman"/>
        </w:rPr>
        <w:t xml:space="preserve"> </w:t>
      </w:r>
      <w:r w:rsidRPr="008B4F86">
        <w:rPr>
          <w:rFonts w:ascii="Times New Roman" w:hAnsi="Times New Roman" w:cs="Times New Roman"/>
        </w:rPr>
        <w:t>Diagram of co-occurrence of keywords analysis</w:t>
      </w:r>
    </w:p>
    <w:p w14:paraId="19C6D73A" w14:textId="77777777" w:rsidR="00BF0919" w:rsidRPr="00AF0F57" w:rsidRDefault="00BF0919" w:rsidP="00AF0F57"/>
    <w:p w14:paraId="7C3B78B9" w14:textId="77777777" w:rsidR="00BF0919" w:rsidRDefault="00BF0919" w:rsidP="00141C30">
      <w:pPr>
        <w:pStyle w:val="Heading3"/>
      </w:pPr>
      <w:r>
        <w:rPr>
          <w:rFonts w:hint="eastAsia"/>
        </w:rPr>
        <w:t>3</w:t>
      </w:r>
      <w:r>
        <w:t xml:space="preserve">.1.2 </w:t>
      </w:r>
      <w:r w:rsidRPr="00141C30">
        <w:t>Countries’ or regions’ activeness</w:t>
      </w:r>
    </w:p>
    <w:p w14:paraId="10935B4E" w14:textId="77777777" w:rsidR="00BF0919" w:rsidRDefault="00BF0919" w:rsidP="000D44CF">
      <w:r w:rsidRPr="00C52F35">
        <w:t>A statistical analysis of the authors’ countries or regions is conducted from the selected papers. With the minimum number of publications from a country set at two, 15 out of 28 countries or regions are listed in Table</w:t>
      </w:r>
      <w:r>
        <w:t xml:space="preserve"> </w:t>
      </w:r>
      <w:r w:rsidRPr="00C52F35">
        <w:t xml:space="preserve">3 and illustrated in Fig.4. Statistical analysis shows that Europe is a highly concentrated spot regarding the regional distributions. Meanwhile, Australia and China topped the list, followed by the United Kingdom, South Korea and Hong Kong, which indicates that these </w:t>
      </w:r>
      <w:r w:rsidRPr="00C52F35">
        <w:lastRenderedPageBreak/>
        <w:t>countries or regions have made a potent contribution to the research field. As for the four LCCMs, Australia leads concerning the numbers of SCMs or LCBs-related publications. RCAs are possibly the most widely studied LCCMs since related papers were identified in most countries or regions, while the HSC is generally the least</w:t>
      </w:r>
      <w:r>
        <w:t xml:space="preserve">. </w:t>
      </w:r>
    </w:p>
    <w:p w14:paraId="002269D3" w14:textId="77777777" w:rsidR="00BF0919" w:rsidRDefault="00BF0919" w:rsidP="000D44CF"/>
    <w:p w14:paraId="434276C1" w14:textId="77777777" w:rsidR="00BF0919" w:rsidRPr="006F2C46" w:rsidRDefault="00BF0919" w:rsidP="00141C30">
      <w:pPr>
        <w:jc w:val="center"/>
        <w:rPr>
          <w:rFonts w:ascii="Times New Roman" w:hAnsi="Times New Roman" w:cs="Times New Roman"/>
          <w:sz w:val="20"/>
          <w:szCs w:val="20"/>
        </w:rPr>
      </w:pPr>
      <w:r w:rsidRPr="006F2C46">
        <w:rPr>
          <w:rFonts w:ascii="Times New Roman" w:eastAsia="Times New Roman" w:hAnsi="Times New Roman" w:cs="Times New Roman"/>
          <w:b/>
          <w:bCs/>
          <w:sz w:val="20"/>
          <w:szCs w:val="20"/>
        </w:rPr>
        <w:t xml:space="preserve">Table 3 </w:t>
      </w:r>
      <w:r w:rsidRPr="006F2C46">
        <w:rPr>
          <w:rFonts w:ascii="Times New Roman" w:eastAsia="Times New Roman" w:hAnsi="Times New Roman" w:cs="Times New Roman"/>
          <w:sz w:val="20"/>
          <w:szCs w:val="20"/>
        </w:rPr>
        <w:t>Details of authors’ countries or regions regarding LCCMs papers. Note: SCMs (Supplementary cementitious materials), LCBs (Low carbon binders), RCAs (Recycled concrete aggregates), HSC (High strength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639"/>
        <w:gridCol w:w="717"/>
        <w:gridCol w:w="683"/>
        <w:gridCol w:w="706"/>
        <w:gridCol w:w="606"/>
      </w:tblGrid>
      <w:tr w:rsidR="00BF0919" w:rsidRPr="0018037A" w14:paraId="100AEF8A" w14:textId="77777777" w:rsidTr="00B41A14">
        <w:trPr>
          <w:jc w:val="center"/>
        </w:trPr>
        <w:tc>
          <w:tcPr>
            <w:tcW w:w="0" w:type="auto"/>
            <w:tcBorders>
              <w:top w:val="single" w:sz="8" w:space="0" w:color="auto"/>
              <w:bottom w:val="single" w:sz="8" w:space="0" w:color="auto"/>
            </w:tcBorders>
          </w:tcPr>
          <w:p w14:paraId="67D29F4E" w14:textId="77777777" w:rsidR="00BF0919" w:rsidRPr="0018037A" w:rsidRDefault="00BF0919" w:rsidP="00AD29E0">
            <w:pPr>
              <w:jc w:val="center"/>
              <w:rPr>
                <w:rFonts w:ascii="Times New Roman" w:hAnsi="Times New Roman" w:cs="Times New Roman"/>
                <w:bCs/>
                <w:szCs w:val="21"/>
              </w:rPr>
            </w:pPr>
            <w:r>
              <w:rPr>
                <w:rFonts w:ascii="Times New Roman" w:hAnsi="Times New Roman" w:cs="Times New Roman"/>
                <w:bCs/>
                <w:szCs w:val="21"/>
              </w:rPr>
              <w:t>Country or region</w:t>
            </w:r>
          </w:p>
        </w:tc>
        <w:tc>
          <w:tcPr>
            <w:tcW w:w="0" w:type="auto"/>
            <w:tcBorders>
              <w:top w:val="single" w:sz="8" w:space="0" w:color="auto"/>
              <w:bottom w:val="single" w:sz="8" w:space="0" w:color="auto"/>
            </w:tcBorders>
          </w:tcPr>
          <w:p w14:paraId="16366FB8" w14:textId="77777777" w:rsidR="00BF0919" w:rsidRPr="0018037A" w:rsidRDefault="00BF0919" w:rsidP="00AD29E0">
            <w:pPr>
              <w:jc w:val="center"/>
              <w:rPr>
                <w:rFonts w:ascii="Times New Roman" w:hAnsi="Times New Roman" w:cs="Times New Roman"/>
                <w:bCs/>
                <w:szCs w:val="21"/>
              </w:rPr>
            </w:pPr>
            <w:r>
              <w:rPr>
                <w:rFonts w:ascii="Times New Roman" w:hAnsi="Times New Roman" w:cs="Times New Roman"/>
                <w:bCs/>
                <w:szCs w:val="21"/>
              </w:rPr>
              <w:t>Total</w:t>
            </w:r>
          </w:p>
        </w:tc>
        <w:tc>
          <w:tcPr>
            <w:tcW w:w="0" w:type="auto"/>
            <w:tcBorders>
              <w:top w:val="single" w:sz="8" w:space="0" w:color="auto"/>
              <w:bottom w:val="single" w:sz="8" w:space="0" w:color="auto"/>
            </w:tcBorders>
          </w:tcPr>
          <w:p w14:paraId="4168AD67" w14:textId="77777777" w:rsidR="00BF0919" w:rsidRPr="0018037A" w:rsidRDefault="00BF0919" w:rsidP="00AD29E0">
            <w:pPr>
              <w:jc w:val="center"/>
              <w:rPr>
                <w:rFonts w:ascii="Times New Roman" w:hAnsi="Times New Roman" w:cs="Times New Roman"/>
                <w:bCs/>
                <w:szCs w:val="21"/>
              </w:rPr>
            </w:pPr>
            <w:r w:rsidRPr="00DE566A">
              <w:t>SCMs</w:t>
            </w:r>
          </w:p>
        </w:tc>
        <w:tc>
          <w:tcPr>
            <w:tcW w:w="0" w:type="auto"/>
            <w:tcBorders>
              <w:top w:val="single" w:sz="8" w:space="0" w:color="auto"/>
              <w:bottom w:val="single" w:sz="8" w:space="0" w:color="auto"/>
            </w:tcBorders>
          </w:tcPr>
          <w:p w14:paraId="67D10DCD" w14:textId="77777777" w:rsidR="00BF0919" w:rsidRPr="0018037A" w:rsidRDefault="00BF0919" w:rsidP="00AD29E0">
            <w:pPr>
              <w:jc w:val="center"/>
              <w:rPr>
                <w:rFonts w:ascii="Times New Roman" w:hAnsi="Times New Roman" w:cs="Times New Roman"/>
                <w:bCs/>
                <w:szCs w:val="21"/>
              </w:rPr>
            </w:pPr>
            <w:r w:rsidRPr="00DE566A">
              <w:t>LCBs</w:t>
            </w:r>
          </w:p>
        </w:tc>
        <w:tc>
          <w:tcPr>
            <w:tcW w:w="0" w:type="auto"/>
            <w:tcBorders>
              <w:top w:val="single" w:sz="8" w:space="0" w:color="auto"/>
              <w:bottom w:val="single" w:sz="8" w:space="0" w:color="auto"/>
            </w:tcBorders>
          </w:tcPr>
          <w:p w14:paraId="5A0B52F4" w14:textId="77777777" w:rsidR="00BF0919" w:rsidRPr="0018037A" w:rsidRDefault="00BF0919" w:rsidP="00AD29E0">
            <w:pPr>
              <w:jc w:val="center"/>
              <w:rPr>
                <w:rFonts w:ascii="Times New Roman" w:hAnsi="Times New Roman" w:cs="Times New Roman"/>
                <w:bCs/>
                <w:szCs w:val="21"/>
              </w:rPr>
            </w:pPr>
            <w:r w:rsidRPr="00DE566A">
              <w:t>RCAs</w:t>
            </w:r>
          </w:p>
        </w:tc>
        <w:tc>
          <w:tcPr>
            <w:tcW w:w="0" w:type="auto"/>
            <w:tcBorders>
              <w:top w:val="single" w:sz="8" w:space="0" w:color="auto"/>
              <w:bottom w:val="single" w:sz="8" w:space="0" w:color="auto"/>
            </w:tcBorders>
          </w:tcPr>
          <w:p w14:paraId="7F7A408A" w14:textId="77777777" w:rsidR="00BF0919" w:rsidRPr="0018037A" w:rsidRDefault="00BF0919" w:rsidP="00AD29E0">
            <w:pPr>
              <w:jc w:val="center"/>
              <w:rPr>
                <w:rFonts w:ascii="Times New Roman" w:hAnsi="Times New Roman" w:cs="Times New Roman"/>
                <w:bCs/>
                <w:szCs w:val="21"/>
              </w:rPr>
            </w:pPr>
            <w:r w:rsidRPr="00DE566A">
              <w:t>HSC</w:t>
            </w:r>
          </w:p>
        </w:tc>
      </w:tr>
      <w:tr w:rsidR="00BF0919" w:rsidRPr="0018037A" w14:paraId="2771D363" w14:textId="77777777" w:rsidTr="00B41A14">
        <w:trPr>
          <w:jc w:val="center"/>
        </w:trPr>
        <w:tc>
          <w:tcPr>
            <w:tcW w:w="0" w:type="auto"/>
            <w:tcBorders>
              <w:top w:val="single" w:sz="8" w:space="0" w:color="auto"/>
            </w:tcBorders>
          </w:tcPr>
          <w:p w14:paraId="0E9428EC" w14:textId="77777777" w:rsidR="00BF0919" w:rsidRPr="0018037A" w:rsidRDefault="00BF0919" w:rsidP="00AF0F57">
            <w:pPr>
              <w:jc w:val="center"/>
              <w:rPr>
                <w:rFonts w:ascii="Times New Roman" w:hAnsi="Times New Roman" w:cs="Times New Roman"/>
                <w:szCs w:val="21"/>
              </w:rPr>
            </w:pPr>
            <w:r w:rsidRPr="004D067F">
              <w:t>Australia</w:t>
            </w:r>
          </w:p>
        </w:tc>
        <w:tc>
          <w:tcPr>
            <w:tcW w:w="0" w:type="auto"/>
            <w:tcBorders>
              <w:top w:val="single" w:sz="8" w:space="0" w:color="auto"/>
            </w:tcBorders>
          </w:tcPr>
          <w:p w14:paraId="64F2AA84" w14:textId="77777777" w:rsidR="00BF0919" w:rsidRPr="0018037A" w:rsidRDefault="00BF0919" w:rsidP="00AD29E0">
            <w:pPr>
              <w:jc w:val="center"/>
              <w:rPr>
                <w:rFonts w:ascii="Times New Roman" w:hAnsi="Times New Roman" w:cs="Times New Roman"/>
                <w:szCs w:val="21"/>
              </w:rPr>
            </w:pPr>
            <w:r w:rsidRPr="00A54648">
              <w:t>13</w:t>
            </w:r>
          </w:p>
        </w:tc>
        <w:tc>
          <w:tcPr>
            <w:tcW w:w="0" w:type="auto"/>
            <w:tcBorders>
              <w:top w:val="single" w:sz="8" w:space="0" w:color="auto"/>
            </w:tcBorders>
          </w:tcPr>
          <w:p w14:paraId="4C84806A" w14:textId="77777777" w:rsidR="00BF0919" w:rsidRDefault="00BF0919" w:rsidP="00AD29E0">
            <w:pPr>
              <w:jc w:val="center"/>
              <w:rPr>
                <w:rFonts w:ascii="Times New Roman" w:hAnsi="Times New Roman" w:cs="Times New Roman"/>
                <w:szCs w:val="21"/>
              </w:rPr>
            </w:pPr>
            <w:r w:rsidRPr="00DE566A">
              <w:t>6</w:t>
            </w:r>
          </w:p>
        </w:tc>
        <w:tc>
          <w:tcPr>
            <w:tcW w:w="0" w:type="auto"/>
            <w:tcBorders>
              <w:top w:val="single" w:sz="8" w:space="0" w:color="auto"/>
            </w:tcBorders>
          </w:tcPr>
          <w:p w14:paraId="123F4305" w14:textId="77777777" w:rsidR="00BF0919" w:rsidRDefault="00BF0919" w:rsidP="00AD29E0">
            <w:pPr>
              <w:jc w:val="center"/>
              <w:rPr>
                <w:rFonts w:ascii="Times New Roman" w:hAnsi="Times New Roman" w:cs="Times New Roman"/>
                <w:szCs w:val="21"/>
              </w:rPr>
            </w:pPr>
            <w:r w:rsidRPr="00DE566A">
              <w:t>5</w:t>
            </w:r>
          </w:p>
        </w:tc>
        <w:tc>
          <w:tcPr>
            <w:tcW w:w="0" w:type="auto"/>
            <w:tcBorders>
              <w:top w:val="single" w:sz="8" w:space="0" w:color="auto"/>
            </w:tcBorders>
          </w:tcPr>
          <w:p w14:paraId="1FFAC87F" w14:textId="77777777" w:rsidR="00BF0919" w:rsidRDefault="00BF0919" w:rsidP="00AD29E0">
            <w:pPr>
              <w:jc w:val="center"/>
              <w:rPr>
                <w:rFonts w:ascii="Times New Roman" w:hAnsi="Times New Roman" w:cs="Times New Roman"/>
                <w:szCs w:val="21"/>
              </w:rPr>
            </w:pPr>
            <w:r w:rsidRPr="00DE566A">
              <w:t>2</w:t>
            </w:r>
          </w:p>
        </w:tc>
        <w:tc>
          <w:tcPr>
            <w:tcW w:w="0" w:type="auto"/>
            <w:tcBorders>
              <w:top w:val="single" w:sz="8" w:space="0" w:color="auto"/>
            </w:tcBorders>
          </w:tcPr>
          <w:p w14:paraId="72EA7405" w14:textId="77777777" w:rsidR="00BF0919" w:rsidRDefault="00BF0919" w:rsidP="00AD29E0">
            <w:pPr>
              <w:jc w:val="center"/>
              <w:rPr>
                <w:rFonts w:ascii="Times New Roman" w:hAnsi="Times New Roman" w:cs="Times New Roman"/>
                <w:szCs w:val="21"/>
              </w:rPr>
            </w:pPr>
          </w:p>
        </w:tc>
      </w:tr>
      <w:tr w:rsidR="00BF0919" w:rsidRPr="0018037A" w14:paraId="71EE883E" w14:textId="77777777" w:rsidTr="00B41A14">
        <w:trPr>
          <w:jc w:val="center"/>
        </w:trPr>
        <w:tc>
          <w:tcPr>
            <w:tcW w:w="0" w:type="auto"/>
          </w:tcPr>
          <w:p w14:paraId="54C74246" w14:textId="77777777" w:rsidR="00BF0919" w:rsidRPr="0018037A" w:rsidRDefault="00BF0919" w:rsidP="00AF0F57">
            <w:pPr>
              <w:jc w:val="center"/>
              <w:rPr>
                <w:rFonts w:ascii="Times New Roman" w:hAnsi="Times New Roman" w:cs="Times New Roman"/>
                <w:szCs w:val="21"/>
              </w:rPr>
            </w:pPr>
            <w:r w:rsidRPr="004D067F">
              <w:t>China</w:t>
            </w:r>
          </w:p>
        </w:tc>
        <w:tc>
          <w:tcPr>
            <w:tcW w:w="0" w:type="auto"/>
          </w:tcPr>
          <w:p w14:paraId="7B4651F1" w14:textId="77777777" w:rsidR="00BF0919" w:rsidRPr="0018037A" w:rsidRDefault="00BF0919" w:rsidP="00AD29E0">
            <w:pPr>
              <w:jc w:val="center"/>
              <w:rPr>
                <w:rFonts w:ascii="Times New Roman" w:hAnsi="Times New Roman" w:cs="Times New Roman"/>
                <w:szCs w:val="21"/>
              </w:rPr>
            </w:pPr>
            <w:r w:rsidRPr="00A54648">
              <w:t>11</w:t>
            </w:r>
          </w:p>
        </w:tc>
        <w:tc>
          <w:tcPr>
            <w:tcW w:w="0" w:type="auto"/>
          </w:tcPr>
          <w:p w14:paraId="53C27493" w14:textId="77777777" w:rsidR="00BF0919" w:rsidRDefault="00BF0919" w:rsidP="00AD29E0">
            <w:pPr>
              <w:jc w:val="center"/>
              <w:rPr>
                <w:rFonts w:ascii="Times New Roman" w:hAnsi="Times New Roman" w:cs="Times New Roman"/>
                <w:szCs w:val="21"/>
              </w:rPr>
            </w:pPr>
            <w:r w:rsidRPr="00DE566A">
              <w:t>5</w:t>
            </w:r>
          </w:p>
        </w:tc>
        <w:tc>
          <w:tcPr>
            <w:tcW w:w="0" w:type="auto"/>
          </w:tcPr>
          <w:p w14:paraId="65FF0623" w14:textId="77777777" w:rsidR="00BF0919" w:rsidRDefault="00BF0919" w:rsidP="00AD29E0">
            <w:pPr>
              <w:jc w:val="center"/>
              <w:rPr>
                <w:rFonts w:ascii="Times New Roman" w:hAnsi="Times New Roman" w:cs="Times New Roman"/>
                <w:szCs w:val="21"/>
              </w:rPr>
            </w:pPr>
            <w:r w:rsidRPr="00DE566A">
              <w:t>3</w:t>
            </w:r>
          </w:p>
        </w:tc>
        <w:tc>
          <w:tcPr>
            <w:tcW w:w="0" w:type="auto"/>
          </w:tcPr>
          <w:p w14:paraId="039B6BA6" w14:textId="77777777" w:rsidR="00BF0919" w:rsidRDefault="00BF0919" w:rsidP="00AD29E0">
            <w:pPr>
              <w:jc w:val="center"/>
              <w:rPr>
                <w:rFonts w:ascii="Times New Roman" w:hAnsi="Times New Roman" w:cs="Times New Roman"/>
                <w:szCs w:val="21"/>
              </w:rPr>
            </w:pPr>
            <w:r w:rsidRPr="00DE566A">
              <w:t>3</w:t>
            </w:r>
          </w:p>
        </w:tc>
        <w:tc>
          <w:tcPr>
            <w:tcW w:w="0" w:type="auto"/>
          </w:tcPr>
          <w:p w14:paraId="7C7D673D" w14:textId="77777777" w:rsidR="00BF0919" w:rsidRDefault="00BF0919" w:rsidP="00AD29E0">
            <w:pPr>
              <w:jc w:val="center"/>
              <w:rPr>
                <w:rFonts w:ascii="Times New Roman" w:hAnsi="Times New Roman" w:cs="Times New Roman"/>
                <w:szCs w:val="21"/>
              </w:rPr>
            </w:pPr>
          </w:p>
        </w:tc>
      </w:tr>
      <w:tr w:rsidR="00BF0919" w:rsidRPr="0018037A" w14:paraId="51D4BA3F" w14:textId="77777777" w:rsidTr="00B41A14">
        <w:trPr>
          <w:jc w:val="center"/>
        </w:trPr>
        <w:tc>
          <w:tcPr>
            <w:tcW w:w="0" w:type="auto"/>
          </w:tcPr>
          <w:p w14:paraId="66EDA0BE" w14:textId="77777777" w:rsidR="00BF0919" w:rsidRPr="0018037A" w:rsidRDefault="00BF0919" w:rsidP="00AF0F57">
            <w:pPr>
              <w:jc w:val="center"/>
              <w:rPr>
                <w:rFonts w:ascii="Times New Roman" w:hAnsi="Times New Roman" w:cs="Times New Roman"/>
                <w:szCs w:val="21"/>
              </w:rPr>
            </w:pPr>
            <w:r w:rsidRPr="004D067F">
              <w:t>United Kingdom</w:t>
            </w:r>
          </w:p>
        </w:tc>
        <w:tc>
          <w:tcPr>
            <w:tcW w:w="0" w:type="auto"/>
          </w:tcPr>
          <w:p w14:paraId="453C7A5B" w14:textId="77777777" w:rsidR="00BF0919" w:rsidRPr="0018037A" w:rsidRDefault="00BF0919" w:rsidP="00AD29E0">
            <w:pPr>
              <w:jc w:val="center"/>
              <w:rPr>
                <w:rFonts w:ascii="Times New Roman" w:hAnsi="Times New Roman" w:cs="Times New Roman"/>
                <w:szCs w:val="21"/>
              </w:rPr>
            </w:pPr>
            <w:r w:rsidRPr="00A54648">
              <w:t>8</w:t>
            </w:r>
          </w:p>
        </w:tc>
        <w:tc>
          <w:tcPr>
            <w:tcW w:w="0" w:type="auto"/>
          </w:tcPr>
          <w:p w14:paraId="3C2ECD06" w14:textId="77777777" w:rsidR="00BF0919" w:rsidRPr="0018037A" w:rsidRDefault="00BF0919" w:rsidP="00AD29E0">
            <w:pPr>
              <w:jc w:val="center"/>
              <w:rPr>
                <w:rFonts w:ascii="Times New Roman" w:hAnsi="Times New Roman" w:cs="Times New Roman"/>
                <w:szCs w:val="21"/>
              </w:rPr>
            </w:pPr>
            <w:r w:rsidRPr="00DE566A">
              <w:t>4</w:t>
            </w:r>
          </w:p>
        </w:tc>
        <w:tc>
          <w:tcPr>
            <w:tcW w:w="0" w:type="auto"/>
          </w:tcPr>
          <w:p w14:paraId="6A7C4275" w14:textId="77777777" w:rsidR="00BF0919" w:rsidRDefault="00BF0919" w:rsidP="00AD29E0">
            <w:pPr>
              <w:jc w:val="center"/>
              <w:rPr>
                <w:rFonts w:ascii="Times New Roman" w:hAnsi="Times New Roman" w:cs="Times New Roman"/>
                <w:szCs w:val="21"/>
              </w:rPr>
            </w:pPr>
            <w:r w:rsidRPr="00DE566A">
              <w:t>2</w:t>
            </w:r>
          </w:p>
        </w:tc>
        <w:tc>
          <w:tcPr>
            <w:tcW w:w="0" w:type="auto"/>
          </w:tcPr>
          <w:p w14:paraId="3C0E7632" w14:textId="77777777" w:rsidR="00BF0919" w:rsidRDefault="00BF0919" w:rsidP="00AD29E0">
            <w:pPr>
              <w:jc w:val="center"/>
              <w:rPr>
                <w:rFonts w:ascii="Times New Roman" w:hAnsi="Times New Roman" w:cs="Times New Roman"/>
                <w:szCs w:val="21"/>
              </w:rPr>
            </w:pPr>
            <w:r w:rsidRPr="00DE566A">
              <w:t>2</w:t>
            </w:r>
          </w:p>
        </w:tc>
        <w:tc>
          <w:tcPr>
            <w:tcW w:w="0" w:type="auto"/>
          </w:tcPr>
          <w:p w14:paraId="11D92107" w14:textId="77777777" w:rsidR="00BF0919" w:rsidRDefault="00BF0919" w:rsidP="00AD29E0">
            <w:pPr>
              <w:jc w:val="center"/>
              <w:rPr>
                <w:rFonts w:ascii="Times New Roman" w:hAnsi="Times New Roman" w:cs="Times New Roman"/>
                <w:szCs w:val="21"/>
              </w:rPr>
            </w:pPr>
          </w:p>
        </w:tc>
      </w:tr>
      <w:tr w:rsidR="00BF0919" w:rsidRPr="0018037A" w14:paraId="2CF43BAA" w14:textId="77777777" w:rsidTr="00B41A14">
        <w:trPr>
          <w:jc w:val="center"/>
        </w:trPr>
        <w:tc>
          <w:tcPr>
            <w:tcW w:w="0" w:type="auto"/>
          </w:tcPr>
          <w:p w14:paraId="68F9DF45" w14:textId="77777777" w:rsidR="00BF0919" w:rsidRPr="0018037A" w:rsidRDefault="00BF0919" w:rsidP="00AF0F57">
            <w:pPr>
              <w:jc w:val="center"/>
              <w:rPr>
                <w:rFonts w:ascii="Times New Roman" w:hAnsi="Times New Roman" w:cs="Times New Roman"/>
                <w:szCs w:val="21"/>
              </w:rPr>
            </w:pPr>
            <w:r>
              <w:t>South</w:t>
            </w:r>
            <w:r w:rsidRPr="004D067F">
              <w:t xml:space="preserve"> Korea</w:t>
            </w:r>
          </w:p>
        </w:tc>
        <w:tc>
          <w:tcPr>
            <w:tcW w:w="0" w:type="auto"/>
          </w:tcPr>
          <w:p w14:paraId="54F758D8" w14:textId="77777777" w:rsidR="00BF0919" w:rsidRPr="0018037A" w:rsidRDefault="00BF0919" w:rsidP="00AD29E0">
            <w:pPr>
              <w:jc w:val="center"/>
              <w:rPr>
                <w:rFonts w:ascii="Times New Roman" w:hAnsi="Times New Roman" w:cs="Times New Roman"/>
                <w:szCs w:val="21"/>
              </w:rPr>
            </w:pPr>
            <w:r w:rsidRPr="00A54648">
              <w:t>8</w:t>
            </w:r>
          </w:p>
        </w:tc>
        <w:tc>
          <w:tcPr>
            <w:tcW w:w="0" w:type="auto"/>
          </w:tcPr>
          <w:p w14:paraId="30183D32" w14:textId="77777777" w:rsidR="00BF0919" w:rsidRDefault="00BF0919" w:rsidP="00AD29E0">
            <w:pPr>
              <w:jc w:val="center"/>
              <w:rPr>
                <w:rFonts w:ascii="Times New Roman" w:hAnsi="Times New Roman" w:cs="Times New Roman"/>
                <w:szCs w:val="21"/>
              </w:rPr>
            </w:pPr>
            <w:r w:rsidRPr="00DE566A">
              <w:t>3</w:t>
            </w:r>
          </w:p>
        </w:tc>
        <w:tc>
          <w:tcPr>
            <w:tcW w:w="0" w:type="auto"/>
          </w:tcPr>
          <w:p w14:paraId="2CF08221" w14:textId="77777777" w:rsidR="00BF0919" w:rsidRDefault="00BF0919" w:rsidP="00AD29E0">
            <w:pPr>
              <w:jc w:val="center"/>
              <w:rPr>
                <w:rFonts w:ascii="Times New Roman" w:hAnsi="Times New Roman" w:cs="Times New Roman"/>
                <w:szCs w:val="21"/>
              </w:rPr>
            </w:pPr>
            <w:r w:rsidRPr="00DE566A">
              <w:t>1</w:t>
            </w:r>
          </w:p>
        </w:tc>
        <w:tc>
          <w:tcPr>
            <w:tcW w:w="0" w:type="auto"/>
          </w:tcPr>
          <w:p w14:paraId="21BCF319" w14:textId="77777777" w:rsidR="00BF0919" w:rsidRDefault="00BF0919" w:rsidP="00AD29E0">
            <w:pPr>
              <w:jc w:val="center"/>
              <w:rPr>
                <w:rFonts w:ascii="Times New Roman" w:hAnsi="Times New Roman" w:cs="Times New Roman"/>
                <w:szCs w:val="21"/>
              </w:rPr>
            </w:pPr>
            <w:r>
              <w:rPr>
                <w:rFonts w:ascii="Times New Roman" w:hAnsi="Times New Roman" w:cs="Times New Roman" w:hint="eastAsia"/>
                <w:szCs w:val="21"/>
              </w:rPr>
              <w:t>1</w:t>
            </w:r>
          </w:p>
        </w:tc>
        <w:tc>
          <w:tcPr>
            <w:tcW w:w="0" w:type="auto"/>
          </w:tcPr>
          <w:p w14:paraId="68C6C804" w14:textId="77777777" w:rsidR="00BF0919" w:rsidRDefault="00BF0919" w:rsidP="00AD29E0">
            <w:pPr>
              <w:jc w:val="center"/>
              <w:rPr>
                <w:rFonts w:ascii="Times New Roman" w:hAnsi="Times New Roman" w:cs="Times New Roman"/>
                <w:szCs w:val="21"/>
              </w:rPr>
            </w:pPr>
            <w:r>
              <w:t>3</w:t>
            </w:r>
          </w:p>
        </w:tc>
      </w:tr>
      <w:tr w:rsidR="00BF0919" w:rsidRPr="0018037A" w14:paraId="1F9CC83B" w14:textId="77777777" w:rsidTr="00B41A14">
        <w:trPr>
          <w:jc w:val="center"/>
        </w:trPr>
        <w:tc>
          <w:tcPr>
            <w:tcW w:w="0" w:type="auto"/>
          </w:tcPr>
          <w:p w14:paraId="30A1A60D" w14:textId="77777777" w:rsidR="00BF0919" w:rsidRPr="0018037A" w:rsidRDefault="00BF0919" w:rsidP="00AF0F57">
            <w:pPr>
              <w:jc w:val="center"/>
              <w:rPr>
                <w:rFonts w:ascii="Times New Roman" w:hAnsi="Times New Roman" w:cs="Times New Roman"/>
                <w:szCs w:val="21"/>
              </w:rPr>
            </w:pPr>
            <w:r w:rsidRPr="004D067F">
              <w:t>Hong Kong</w:t>
            </w:r>
          </w:p>
        </w:tc>
        <w:tc>
          <w:tcPr>
            <w:tcW w:w="0" w:type="auto"/>
          </w:tcPr>
          <w:p w14:paraId="446C0A87" w14:textId="77777777" w:rsidR="00BF0919" w:rsidRPr="0018037A" w:rsidRDefault="00BF0919" w:rsidP="00AD29E0">
            <w:pPr>
              <w:jc w:val="center"/>
              <w:rPr>
                <w:rFonts w:ascii="Times New Roman" w:hAnsi="Times New Roman" w:cs="Times New Roman"/>
                <w:szCs w:val="21"/>
              </w:rPr>
            </w:pPr>
            <w:r w:rsidRPr="00A54648">
              <w:t>8</w:t>
            </w:r>
          </w:p>
        </w:tc>
        <w:tc>
          <w:tcPr>
            <w:tcW w:w="0" w:type="auto"/>
          </w:tcPr>
          <w:p w14:paraId="7FDCB3A8" w14:textId="77777777" w:rsidR="00BF0919" w:rsidRDefault="00BF0919" w:rsidP="00AD29E0">
            <w:pPr>
              <w:jc w:val="center"/>
              <w:rPr>
                <w:rFonts w:ascii="Times New Roman" w:hAnsi="Times New Roman" w:cs="Times New Roman"/>
                <w:szCs w:val="21"/>
              </w:rPr>
            </w:pPr>
            <w:r w:rsidRPr="00DE566A">
              <w:t>6</w:t>
            </w:r>
          </w:p>
        </w:tc>
        <w:tc>
          <w:tcPr>
            <w:tcW w:w="0" w:type="auto"/>
          </w:tcPr>
          <w:p w14:paraId="50E53355" w14:textId="77777777" w:rsidR="00BF0919" w:rsidRDefault="00BF0919" w:rsidP="00AD29E0">
            <w:pPr>
              <w:jc w:val="center"/>
              <w:rPr>
                <w:rFonts w:ascii="Times New Roman" w:hAnsi="Times New Roman" w:cs="Times New Roman"/>
                <w:szCs w:val="21"/>
              </w:rPr>
            </w:pPr>
          </w:p>
        </w:tc>
        <w:tc>
          <w:tcPr>
            <w:tcW w:w="0" w:type="auto"/>
          </w:tcPr>
          <w:p w14:paraId="03EF3519" w14:textId="77777777" w:rsidR="00BF0919" w:rsidRDefault="00BF0919" w:rsidP="00AD29E0">
            <w:pPr>
              <w:jc w:val="center"/>
              <w:rPr>
                <w:rFonts w:ascii="Times New Roman" w:hAnsi="Times New Roman" w:cs="Times New Roman"/>
                <w:szCs w:val="21"/>
              </w:rPr>
            </w:pPr>
            <w:r w:rsidRPr="00DE566A">
              <w:t>1</w:t>
            </w:r>
          </w:p>
        </w:tc>
        <w:tc>
          <w:tcPr>
            <w:tcW w:w="0" w:type="auto"/>
          </w:tcPr>
          <w:p w14:paraId="0AD4C52B" w14:textId="77777777" w:rsidR="00BF0919" w:rsidRDefault="00BF0919" w:rsidP="00AD29E0">
            <w:pPr>
              <w:jc w:val="center"/>
              <w:rPr>
                <w:rFonts w:ascii="Times New Roman" w:hAnsi="Times New Roman" w:cs="Times New Roman"/>
                <w:szCs w:val="21"/>
              </w:rPr>
            </w:pPr>
            <w:r w:rsidRPr="00DE566A">
              <w:t>1</w:t>
            </w:r>
          </w:p>
        </w:tc>
      </w:tr>
      <w:tr w:rsidR="00BF0919" w:rsidRPr="0018037A" w14:paraId="56E6EC41" w14:textId="77777777" w:rsidTr="00B41A14">
        <w:trPr>
          <w:jc w:val="center"/>
        </w:trPr>
        <w:tc>
          <w:tcPr>
            <w:tcW w:w="0" w:type="auto"/>
          </w:tcPr>
          <w:p w14:paraId="5CBA4F75" w14:textId="77777777" w:rsidR="00BF0919" w:rsidRPr="0018037A" w:rsidRDefault="00BF0919" w:rsidP="00AF0F57">
            <w:pPr>
              <w:jc w:val="center"/>
              <w:rPr>
                <w:rFonts w:ascii="Times New Roman" w:hAnsi="Times New Roman" w:cs="Times New Roman"/>
                <w:szCs w:val="21"/>
              </w:rPr>
            </w:pPr>
            <w:r w:rsidRPr="004D067F">
              <w:t>Spain</w:t>
            </w:r>
          </w:p>
        </w:tc>
        <w:tc>
          <w:tcPr>
            <w:tcW w:w="0" w:type="auto"/>
          </w:tcPr>
          <w:p w14:paraId="7287150A" w14:textId="77777777" w:rsidR="00BF0919" w:rsidRPr="0018037A" w:rsidRDefault="00BF0919" w:rsidP="00AD29E0">
            <w:pPr>
              <w:jc w:val="center"/>
              <w:rPr>
                <w:rFonts w:ascii="Times New Roman" w:hAnsi="Times New Roman" w:cs="Times New Roman"/>
                <w:szCs w:val="21"/>
              </w:rPr>
            </w:pPr>
            <w:r w:rsidRPr="00A54648">
              <w:t>5</w:t>
            </w:r>
          </w:p>
        </w:tc>
        <w:tc>
          <w:tcPr>
            <w:tcW w:w="0" w:type="auto"/>
          </w:tcPr>
          <w:p w14:paraId="433F2328" w14:textId="77777777" w:rsidR="00BF0919" w:rsidRDefault="00BF0919" w:rsidP="00AD29E0">
            <w:pPr>
              <w:jc w:val="center"/>
              <w:rPr>
                <w:rFonts w:ascii="Times New Roman" w:hAnsi="Times New Roman" w:cs="Times New Roman"/>
                <w:szCs w:val="21"/>
              </w:rPr>
            </w:pPr>
          </w:p>
        </w:tc>
        <w:tc>
          <w:tcPr>
            <w:tcW w:w="0" w:type="auto"/>
          </w:tcPr>
          <w:p w14:paraId="68349F8D" w14:textId="77777777" w:rsidR="00BF0919" w:rsidRDefault="00BF0919" w:rsidP="00AD29E0">
            <w:pPr>
              <w:jc w:val="center"/>
              <w:rPr>
                <w:rFonts w:ascii="Times New Roman" w:hAnsi="Times New Roman" w:cs="Times New Roman"/>
                <w:szCs w:val="21"/>
              </w:rPr>
            </w:pPr>
            <w:r w:rsidRPr="00DE566A">
              <w:t>4</w:t>
            </w:r>
          </w:p>
        </w:tc>
        <w:tc>
          <w:tcPr>
            <w:tcW w:w="0" w:type="auto"/>
          </w:tcPr>
          <w:p w14:paraId="45D9E540" w14:textId="77777777" w:rsidR="00BF0919" w:rsidRDefault="00BF0919" w:rsidP="00AD29E0">
            <w:pPr>
              <w:jc w:val="center"/>
              <w:rPr>
                <w:rFonts w:ascii="Times New Roman" w:hAnsi="Times New Roman" w:cs="Times New Roman"/>
                <w:szCs w:val="21"/>
              </w:rPr>
            </w:pPr>
            <w:r w:rsidRPr="00DE566A">
              <w:t>1</w:t>
            </w:r>
          </w:p>
        </w:tc>
        <w:tc>
          <w:tcPr>
            <w:tcW w:w="0" w:type="auto"/>
          </w:tcPr>
          <w:p w14:paraId="533C99D9" w14:textId="77777777" w:rsidR="00BF0919" w:rsidRDefault="00BF0919" w:rsidP="00AD29E0">
            <w:pPr>
              <w:jc w:val="center"/>
              <w:rPr>
                <w:rFonts w:ascii="Times New Roman" w:hAnsi="Times New Roman" w:cs="Times New Roman"/>
                <w:szCs w:val="21"/>
              </w:rPr>
            </w:pPr>
          </w:p>
        </w:tc>
      </w:tr>
      <w:tr w:rsidR="00BF0919" w:rsidRPr="0018037A" w14:paraId="28460DDE" w14:textId="77777777" w:rsidTr="00B41A14">
        <w:trPr>
          <w:jc w:val="center"/>
        </w:trPr>
        <w:tc>
          <w:tcPr>
            <w:tcW w:w="0" w:type="auto"/>
          </w:tcPr>
          <w:p w14:paraId="74024BF5" w14:textId="77777777" w:rsidR="00BF0919" w:rsidRPr="0018037A" w:rsidRDefault="00BF0919" w:rsidP="00AF0F57">
            <w:pPr>
              <w:jc w:val="center"/>
              <w:rPr>
                <w:rFonts w:ascii="Times New Roman" w:hAnsi="Times New Roman" w:cs="Times New Roman"/>
                <w:szCs w:val="21"/>
              </w:rPr>
            </w:pPr>
            <w:r w:rsidRPr="004D067F">
              <w:t>Malaysia</w:t>
            </w:r>
          </w:p>
        </w:tc>
        <w:tc>
          <w:tcPr>
            <w:tcW w:w="0" w:type="auto"/>
          </w:tcPr>
          <w:p w14:paraId="1728E7BF" w14:textId="77777777" w:rsidR="00BF0919" w:rsidRPr="0018037A" w:rsidRDefault="00BF0919" w:rsidP="00AD29E0">
            <w:pPr>
              <w:jc w:val="center"/>
              <w:rPr>
                <w:rFonts w:ascii="Times New Roman" w:hAnsi="Times New Roman" w:cs="Times New Roman"/>
                <w:szCs w:val="21"/>
              </w:rPr>
            </w:pPr>
            <w:r w:rsidRPr="00A54648">
              <w:t>5</w:t>
            </w:r>
          </w:p>
        </w:tc>
        <w:tc>
          <w:tcPr>
            <w:tcW w:w="0" w:type="auto"/>
          </w:tcPr>
          <w:p w14:paraId="174F5A0A" w14:textId="77777777" w:rsidR="00BF0919" w:rsidRPr="0018037A" w:rsidRDefault="00BF0919" w:rsidP="00AD29E0">
            <w:pPr>
              <w:jc w:val="center"/>
              <w:rPr>
                <w:rFonts w:ascii="Times New Roman" w:hAnsi="Times New Roman" w:cs="Times New Roman"/>
                <w:szCs w:val="21"/>
              </w:rPr>
            </w:pPr>
            <w:r w:rsidRPr="00DE566A">
              <w:t>2</w:t>
            </w:r>
          </w:p>
        </w:tc>
        <w:tc>
          <w:tcPr>
            <w:tcW w:w="0" w:type="auto"/>
          </w:tcPr>
          <w:p w14:paraId="5A3DE854" w14:textId="77777777" w:rsidR="00BF0919" w:rsidRDefault="00BF0919" w:rsidP="00AD29E0">
            <w:pPr>
              <w:jc w:val="center"/>
              <w:rPr>
                <w:rFonts w:ascii="Times New Roman" w:hAnsi="Times New Roman" w:cs="Times New Roman"/>
                <w:szCs w:val="21"/>
              </w:rPr>
            </w:pPr>
            <w:r w:rsidRPr="00DE566A">
              <w:t>1</w:t>
            </w:r>
          </w:p>
        </w:tc>
        <w:tc>
          <w:tcPr>
            <w:tcW w:w="0" w:type="auto"/>
          </w:tcPr>
          <w:p w14:paraId="1406CF49" w14:textId="77777777" w:rsidR="00BF0919" w:rsidRDefault="00BF0919" w:rsidP="00AD29E0">
            <w:pPr>
              <w:jc w:val="center"/>
              <w:rPr>
                <w:rFonts w:ascii="Times New Roman" w:hAnsi="Times New Roman" w:cs="Times New Roman"/>
                <w:szCs w:val="21"/>
              </w:rPr>
            </w:pPr>
            <w:r w:rsidRPr="00DE566A">
              <w:t>1</w:t>
            </w:r>
          </w:p>
        </w:tc>
        <w:tc>
          <w:tcPr>
            <w:tcW w:w="0" w:type="auto"/>
          </w:tcPr>
          <w:p w14:paraId="644AE528" w14:textId="77777777" w:rsidR="00BF0919" w:rsidRDefault="00BF0919" w:rsidP="00AD29E0">
            <w:pPr>
              <w:jc w:val="center"/>
              <w:rPr>
                <w:rFonts w:ascii="Times New Roman" w:hAnsi="Times New Roman" w:cs="Times New Roman"/>
                <w:szCs w:val="21"/>
              </w:rPr>
            </w:pPr>
            <w:r w:rsidRPr="00DE566A">
              <w:t>1</w:t>
            </w:r>
          </w:p>
        </w:tc>
      </w:tr>
      <w:tr w:rsidR="00BF0919" w:rsidRPr="0018037A" w14:paraId="42BFD8F6" w14:textId="77777777" w:rsidTr="00B41A14">
        <w:trPr>
          <w:jc w:val="center"/>
        </w:trPr>
        <w:tc>
          <w:tcPr>
            <w:tcW w:w="0" w:type="auto"/>
          </w:tcPr>
          <w:p w14:paraId="228ECB6D" w14:textId="77777777" w:rsidR="00BF0919" w:rsidRPr="0018037A" w:rsidRDefault="00BF0919" w:rsidP="00AF0F57">
            <w:pPr>
              <w:jc w:val="center"/>
              <w:rPr>
                <w:rFonts w:ascii="Times New Roman" w:hAnsi="Times New Roman" w:cs="Times New Roman"/>
                <w:szCs w:val="21"/>
              </w:rPr>
            </w:pPr>
            <w:r w:rsidRPr="004D067F">
              <w:t>Switzerland</w:t>
            </w:r>
          </w:p>
        </w:tc>
        <w:tc>
          <w:tcPr>
            <w:tcW w:w="0" w:type="auto"/>
          </w:tcPr>
          <w:p w14:paraId="5B1EDCE7" w14:textId="77777777" w:rsidR="00BF0919" w:rsidRPr="0018037A" w:rsidRDefault="00BF0919" w:rsidP="00AD29E0">
            <w:pPr>
              <w:jc w:val="center"/>
              <w:rPr>
                <w:rFonts w:ascii="Times New Roman" w:hAnsi="Times New Roman" w:cs="Times New Roman"/>
                <w:szCs w:val="21"/>
              </w:rPr>
            </w:pPr>
            <w:r w:rsidRPr="00A54648">
              <w:t>3</w:t>
            </w:r>
          </w:p>
        </w:tc>
        <w:tc>
          <w:tcPr>
            <w:tcW w:w="0" w:type="auto"/>
          </w:tcPr>
          <w:p w14:paraId="4A0D6E9F" w14:textId="77777777" w:rsidR="00BF0919" w:rsidRPr="0018037A" w:rsidRDefault="00BF0919" w:rsidP="00AD29E0">
            <w:pPr>
              <w:jc w:val="center"/>
              <w:rPr>
                <w:rFonts w:ascii="Times New Roman" w:hAnsi="Times New Roman" w:cs="Times New Roman"/>
                <w:szCs w:val="21"/>
              </w:rPr>
            </w:pPr>
            <w:r w:rsidRPr="00DE566A">
              <w:t>1</w:t>
            </w:r>
          </w:p>
        </w:tc>
        <w:tc>
          <w:tcPr>
            <w:tcW w:w="0" w:type="auto"/>
          </w:tcPr>
          <w:p w14:paraId="0059A866" w14:textId="77777777" w:rsidR="00BF0919" w:rsidRDefault="00BF0919" w:rsidP="00AD29E0">
            <w:pPr>
              <w:jc w:val="center"/>
              <w:rPr>
                <w:rFonts w:ascii="Times New Roman" w:hAnsi="Times New Roman" w:cs="Times New Roman"/>
                <w:szCs w:val="21"/>
              </w:rPr>
            </w:pPr>
          </w:p>
        </w:tc>
        <w:tc>
          <w:tcPr>
            <w:tcW w:w="0" w:type="auto"/>
          </w:tcPr>
          <w:p w14:paraId="0A9E1458" w14:textId="77777777" w:rsidR="00BF0919" w:rsidRDefault="00BF0919" w:rsidP="00AD29E0">
            <w:pPr>
              <w:jc w:val="center"/>
              <w:rPr>
                <w:rFonts w:ascii="Times New Roman" w:hAnsi="Times New Roman" w:cs="Times New Roman"/>
                <w:szCs w:val="21"/>
              </w:rPr>
            </w:pPr>
            <w:r w:rsidRPr="00DE566A">
              <w:t>2</w:t>
            </w:r>
          </w:p>
        </w:tc>
        <w:tc>
          <w:tcPr>
            <w:tcW w:w="0" w:type="auto"/>
          </w:tcPr>
          <w:p w14:paraId="6D7F2BCA" w14:textId="77777777" w:rsidR="00BF0919" w:rsidRDefault="00BF0919" w:rsidP="00AD29E0">
            <w:pPr>
              <w:jc w:val="center"/>
              <w:rPr>
                <w:rFonts w:ascii="Times New Roman" w:hAnsi="Times New Roman" w:cs="Times New Roman"/>
                <w:szCs w:val="21"/>
              </w:rPr>
            </w:pPr>
          </w:p>
        </w:tc>
      </w:tr>
      <w:tr w:rsidR="00BF0919" w:rsidRPr="0018037A" w14:paraId="785D2735" w14:textId="77777777" w:rsidTr="00B41A14">
        <w:trPr>
          <w:jc w:val="center"/>
        </w:trPr>
        <w:tc>
          <w:tcPr>
            <w:tcW w:w="0" w:type="auto"/>
          </w:tcPr>
          <w:p w14:paraId="54F33859" w14:textId="77777777" w:rsidR="00BF0919" w:rsidRPr="0018037A" w:rsidRDefault="00BF0919" w:rsidP="00AF0F57">
            <w:pPr>
              <w:jc w:val="center"/>
              <w:rPr>
                <w:rFonts w:ascii="Times New Roman" w:hAnsi="Times New Roman" w:cs="Times New Roman"/>
                <w:szCs w:val="21"/>
              </w:rPr>
            </w:pPr>
            <w:r w:rsidRPr="004D067F">
              <w:t>France</w:t>
            </w:r>
          </w:p>
        </w:tc>
        <w:tc>
          <w:tcPr>
            <w:tcW w:w="0" w:type="auto"/>
          </w:tcPr>
          <w:p w14:paraId="11C58627" w14:textId="77777777" w:rsidR="00BF0919" w:rsidRPr="0018037A" w:rsidRDefault="00BF0919" w:rsidP="00AD29E0">
            <w:pPr>
              <w:jc w:val="center"/>
              <w:rPr>
                <w:rFonts w:ascii="Times New Roman" w:hAnsi="Times New Roman" w:cs="Times New Roman"/>
                <w:szCs w:val="21"/>
              </w:rPr>
            </w:pPr>
            <w:r w:rsidRPr="00A54648">
              <w:t>3</w:t>
            </w:r>
          </w:p>
        </w:tc>
        <w:tc>
          <w:tcPr>
            <w:tcW w:w="0" w:type="auto"/>
          </w:tcPr>
          <w:p w14:paraId="61B83525" w14:textId="77777777" w:rsidR="00BF0919" w:rsidRDefault="00BF0919" w:rsidP="00AD29E0">
            <w:pPr>
              <w:jc w:val="center"/>
              <w:rPr>
                <w:rFonts w:ascii="Times New Roman" w:hAnsi="Times New Roman" w:cs="Times New Roman"/>
                <w:szCs w:val="21"/>
              </w:rPr>
            </w:pPr>
          </w:p>
        </w:tc>
        <w:tc>
          <w:tcPr>
            <w:tcW w:w="0" w:type="auto"/>
          </w:tcPr>
          <w:p w14:paraId="72DBC85F" w14:textId="77777777" w:rsidR="00BF0919" w:rsidRDefault="00BF0919" w:rsidP="00AD29E0">
            <w:pPr>
              <w:jc w:val="center"/>
              <w:rPr>
                <w:rFonts w:ascii="Times New Roman" w:hAnsi="Times New Roman" w:cs="Times New Roman"/>
                <w:szCs w:val="21"/>
              </w:rPr>
            </w:pPr>
            <w:r w:rsidRPr="00DE566A">
              <w:t>1</w:t>
            </w:r>
          </w:p>
        </w:tc>
        <w:tc>
          <w:tcPr>
            <w:tcW w:w="0" w:type="auto"/>
          </w:tcPr>
          <w:p w14:paraId="74A2CEFB" w14:textId="77777777" w:rsidR="00BF0919" w:rsidRDefault="00BF0919" w:rsidP="00AD29E0">
            <w:pPr>
              <w:jc w:val="center"/>
              <w:rPr>
                <w:rFonts w:ascii="Times New Roman" w:hAnsi="Times New Roman" w:cs="Times New Roman"/>
                <w:szCs w:val="21"/>
              </w:rPr>
            </w:pPr>
            <w:r w:rsidRPr="00DE566A">
              <w:t>2</w:t>
            </w:r>
          </w:p>
        </w:tc>
        <w:tc>
          <w:tcPr>
            <w:tcW w:w="0" w:type="auto"/>
          </w:tcPr>
          <w:p w14:paraId="24EB77BC" w14:textId="77777777" w:rsidR="00BF0919" w:rsidRDefault="00BF0919" w:rsidP="00AD29E0">
            <w:pPr>
              <w:jc w:val="center"/>
              <w:rPr>
                <w:rFonts w:ascii="Times New Roman" w:hAnsi="Times New Roman" w:cs="Times New Roman"/>
                <w:szCs w:val="21"/>
              </w:rPr>
            </w:pPr>
          </w:p>
        </w:tc>
      </w:tr>
      <w:tr w:rsidR="00BF0919" w:rsidRPr="0018037A" w14:paraId="409EFB08" w14:textId="77777777" w:rsidTr="00B41A14">
        <w:trPr>
          <w:jc w:val="center"/>
        </w:trPr>
        <w:tc>
          <w:tcPr>
            <w:tcW w:w="0" w:type="auto"/>
          </w:tcPr>
          <w:p w14:paraId="28B61A23" w14:textId="77777777" w:rsidR="00BF0919" w:rsidRPr="0018037A" w:rsidRDefault="00BF0919" w:rsidP="00AF0F57">
            <w:pPr>
              <w:jc w:val="center"/>
              <w:rPr>
                <w:rFonts w:ascii="Times New Roman" w:hAnsi="Times New Roman" w:cs="Times New Roman"/>
                <w:szCs w:val="21"/>
              </w:rPr>
            </w:pPr>
            <w:r>
              <w:rPr>
                <w:rFonts w:hint="eastAsia"/>
              </w:rPr>
              <w:t>U</w:t>
            </w:r>
            <w:r>
              <w:t>nited States</w:t>
            </w:r>
          </w:p>
        </w:tc>
        <w:tc>
          <w:tcPr>
            <w:tcW w:w="0" w:type="auto"/>
          </w:tcPr>
          <w:p w14:paraId="6D156A2F" w14:textId="77777777" w:rsidR="00BF0919" w:rsidRPr="0018037A" w:rsidRDefault="00BF0919" w:rsidP="00AD29E0">
            <w:pPr>
              <w:jc w:val="center"/>
              <w:rPr>
                <w:rFonts w:ascii="Times New Roman" w:hAnsi="Times New Roman" w:cs="Times New Roman"/>
                <w:szCs w:val="21"/>
              </w:rPr>
            </w:pPr>
            <w:r w:rsidRPr="00A54648">
              <w:t>2</w:t>
            </w:r>
          </w:p>
        </w:tc>
        <w:tc>
          <w:tcPr>
            <w:tcW w:w="0" w:type="auto"/>
          </w:tcPr>
          <w:p w14:paraId="69977320" w14:textId="77777777" w:rsidR="00BF0919" w:rsidRDefault="00BF0919" w:rsidP="00AD29E0">
            <w:pPr>
              <w:jc w:val="center"/>
              <w:rPr>
                <w:rFonts w:ascii="Times New Roman" w:hAnsi="Times New Roman" w:cs="Times New Roman"/>
                <w:szCs w:val="21"/>
              </w:rPr>
            </w:pPr>
          </w:p>
        </w:tc>
        <w:tc>
          <w:tcPr>
            <w:tcW w:w="0" w:type="auto"/>
          </w:tcPr>
          <w:p w14:paraId="72287BBF" w14:textId="77777777" w:rsidR="00BF0919" w:rsidRDefault="00BF0919" w:rsidP="00AD29E0">
            <w:pPr>
              <w:jc w:val="center"/>
              <w:rPr>
                <w:rFonts w:ascii="Times New Roman" w:hAnsi="Times New Roman" w:cs="Times New Roman"/>
                <w:szCs w:val="21"/>
              </w:rPr>
            </w:pPr>
          </w:p>
        </w:tc>
        <w:tc>
          <w:tcPr>
            <w:tcW w:w="0" w:type="auto"/>
          </w:tcPr>
          <w:p w14:paraId="16204886" w14:textId="77777777" w:rsidR="00BF0919" w:rsidRDefault="00BF0919" w:rsidP="00AD29E0">
            <w:pPr>
              <w:jc w:val="center"/>
              <w:rPr>
                <w:rFonts w:ascii="Times New Roman" w:hAnsi="Times New Roman" w:cs="Times New Roman"/>
                <w:szCs w:val="21"/>
              </w:rPr>
            </w:pPr>
            <w:r w:rsidRPr="00DE566A">
              <w:t>2</w:t>
            </w:r>
          </w:p>
        </w:tc>
        <w:tc>
          <w:tcPr>
            <w:tcW w:w="0" w:type="auto"/>
          </w:tcPr>
          <w:p w14:paraId="6F8AF326" w14:textId="77777777" w:rsidR="00BF0919" w:rsidRDefault="00BF0919" w:rsidP="00AD29E0">
            <w:pPr>
              <w:jc w:val="center"/>
              <w:rPr>
                <w:rFonts w:ascii="Times New Roman" w:hAnsi="Times New Roman" w:cs="Times New Roman"/>
                <w:szCs w:val="21"/>
              </w:rPr>
            </w:pPr>
          </w:p>
        </w:tc>
      </w:tr>
      <w:tr w:rsidR="00BF0919" w:rsidRPr="0018037A" w14:paraId="69A2F5CD" w14:textId="77777777" w:rsidTr="00B41A14">
        <w:trPr>
          <w:jc w:val="center"/>
        </w:trPr>
        <w:tc>
          <w:tcPr>
            <w:tcW w:w="0" w:type="auto"/>
          </w:tcPr>
          <w:p w14:paraId="2E11300F" w14:textId="77777777" w:rsidR="00BF0919" w:rsidRDefault="00BF0919" w:rsidP="00AF0F57">
            <w:pPr>
              <w:jc w:val="center"/>
              <w:rPr>
                <w:rFonts w:ascii="Times New Roman" w:hAnsi="Times New Roman" w:cs="Times New Roman"/>
                <w:szCs w:val="21"/>
              </w:rPr>
            </w:pPr>
            <w:r w:rsidRPr="004D067F">
              <w:t>Turkey</w:t>
            </w:r>
          </w:p>
        </w:tc>
        <w:tc>
          <w:tcPr>
            <w:tcW w:w="0" w:type="auto"/>
          </w:tcPr>
          <w:p w14:paraId="646D743B" w14:textId="77777777" w:rsidR="00BF0919" w:rsidRDefault="00BF0919" w:rsidP="00AD29E0">
            <w:pPr>
              <w:jc w:val="center"/>
              <w:rPr>
                <w:rFonts w:ascii="Times New Roman" w:hAnsi="Times New Roman" w:cs="Times New Roman"/>
                <w:szCs w:val="21"/>
              </w:rPr>
            </w:pPr>
            <w:r w:rsidRPr="00A54648">
              <w:t>2</w:t>
            </w:r>
          </w:p>
        </w:tc>
        <w:tc>
          <w:tcPr>
            <w:tcW w:w="0" w:type="auto"/>
          </w:tcPr>
          <w:p w14:paraId="5610F1E5" w14:textId="77777777" w:rsidR="00BF0919" w:rsidRDefault="00BF0919" w:rsidP="00AD29E0">
            <w:pPr>
              <w:jc w:val="center"/>
              <w:rPr>
                <w:rFonts w:ascii="Times New Roman" w:hAnsi="Times New Roman" w:cs="Times New Roman"/>
                <w:szCs w:val="21"/>
              </w:rPr>
            </w:pPr>
            <w:r w:rsidRPr="00DE566A">
              <w:t>1</w:t>
            </w:r>
          </w:p>
        </w:tc>
        <w:tc>
          <w:tcPr>
            <w:tcW w:w="0" w:type="auto"/>
          </w:tcPr>
          <w:p w14:paraId="631CBEB2" w14:textId="77777777" w:rsidR="00BF0919" w:rsidRDefault="00BF0919" w:rsidP="00AD29E0">
            <w:pPr>
              <w:jc w:val="center"/>
              <w:rPr>
                <w:rFonts w:ascii="Times New Roman" w:hAnsi="Times New Roman" w:cs="Times New Roman"/>
                <w:szCs w:val="21"/>
              </w:rPr>
            </w:pPr>
          </w:p>
        </w:tc>
        <w:tc>
          <w:tcPr>
            <w:tcW w:w="0" w:type="auto"/>
          </w:tcPr>
          <w:p w14:paraId="60CCB111" w14:textId="77777777" w:rsidR="00BF0919" w:rsidRDefault="00BF0919" w:rsidP="00AD29E0">
            <w:pPr>
              <w:jc w:val="center"/>
              <w:rPr>
                <w:rFonts w:ascii="Times New Roman" w:hAnsi="Times New Roman" w:cs="Times New Roman"/>
                <w:szCs w:val="21"/>
              </w:rPr>
            </w:pPr>
            <w:r w:rsidRPr="00DE566A">
              <w:t>1</w:t>
            </w:r>
          </w:p>
        </w:tc>
        <w:tc>
          <w:tcPr>
            <w:tcW w:w="0" w:type="auto"/>
          </w:tcPr>
          <w:p w14:paraId="27B1C36D" w14:textId="77777777" w:rsidR="00BF0919" w:rsidRDefault="00BF0919" w:rsidP="00AD29E0">
            <w:pPr>
              <w:jc w:val="center"/>
              <w:rPr>
                <w:rFonts w:ascii="Times New Roman" w:hAnsi="Times New Roman" w:cs="Times New Roman"/>
                <w:szCs w:val="21"/>
              </w:rPr>
            </w:pPr>
          </w:p>
        </w:tc>
      </w:tr>
      <w:tr w:rsidR="00BF0919" w:rsidRPr="0018037A" w14:paraId="589359F6" w14:textId="77777777" w:rsidTr="00B41A14">
        <w:trPr>
          <w:jc w:val="center"/>
        </w:trPr>
        <w:tc>
          <w:tcPr>
            <w:tcW w:w="0" w:type="auto"/>
          </w:tcPr>
          <w:p w14:paraId="2BBCA512" w14:textId="77777777" w:rsidR="00BF0919" w:rsidRDefault="00BF0919" w:rsidP="00AF0F57">
            <w:pPr>
              <w:jc w:val="center"/>
              <w:rPr>
                <w:rFonts w:ascii="Times New Roman" w:hAnsi="Times New Roman" w:cs="Times New Roman"/>
                <w:szCs w:val="21"/>
              </w:rPr>
            </w:pPr>
            <w:r w:rsidRPr="004D067F">
              <w:t>Serbia</w:t>
            </w:r>
          </w:p>
        </w:tc>
        <w:tc>
          <w:tcPr>
            <w:tcW w:w="0" w:type="auto"/>
          </w:tcPr>
          <w:p w14:paraId="7F157715" w14:textId="77777777" w:rsidR="00BF0919" w:rsidRDefault="00BF0919" w:rsidP="00AD29E0">
            <w:pPr>
              <w:jc w:val="center"/>
              <w:rPr>
                <w:rFonts w:ascii="Times New Roman" w:hAnsi="Times New Roman" w:cs="Times New Roman"/>
                <w:szCs w:val="21"/>
              </w:rPr>
            </w:pPr>
            <w:r w:rsidRPr="00A54648">
              <w:t>2</w:t>
            </w:r>
          </w:p>
        </w:tc>
        <w:tc>
          <w:tcPr>
            <w:tcW w:w="0" w:type="auto"/>
          </w:tcPr>
          <w:p w14:paraId="75864EC5" w14:textId="77777777" w:rsidR="00BF0919" w:rsidRDefault="00BF0919" w:rsidP="00AD29E0">
            <w:pPr>
              <w:jc w:val="center"/>
              <w:rPr>
                <w:rFonts w:ascii="Times New Roman" w:hAnsi="Times New Roman" w:cs="Times New Roman"/>
                <w:szCs w:val="21"/>
              </w:rPr>
            </w:pPr>
          </w:p>
        </w:tc>
        <w:tc>
          <w:tcPr>
            <w:tcW w:w="0" w:type="auto"/>
          </w:tcPr>
          <w:p w14:paraId="3C88DC5E" w14:textId="77777777" w:rsidR="00BF0919" w:rsidRDefault="00BF0919" w:rsidP="00AD29E0">
            <w:pPr>
              <w:jc w:val="center"/>
              <w:rPr>
                <w:rFonts w:ascii="Times New Roman" w:hAnsi="Times New Roman" w:cs="Times New Roman"/>
                <w:szCs w:val="21"/>
              </w:rPr>
            </w:pPr>
          </w:p>
        </w:tc>
        <w:tc>
          <w:tcPr>
            <w:tcW w:w="0" w:type="auto"/>
          </w:tcPr>
          <w:p w14:paraId="697AE547" w14:textId="77777777" w:rsidR="00BF0919" w:rsidRDefault="00BF0919" w:rsidP="00AD29E0">
            <w:pPr>
              <w:jc w:val="center"/>
              <w:rPr>
                <w:rFonts w:ascii="Times New Roman" w:hAnsi="Times New Roman" w:cs="Times New Roman"/>
                <w:szCs w:val="21"/>
              </w:rPr>
            </w:pPr>
            <w:r w:rsidRPr="00DE566A">
              <w:t>2</w:t>
            </w:r>
          </w:p>
        </w:tc>
        <w:tc>
          <w:tcPr>
            <w:tcW w:w="0" w:type="auto"/>
          </w:tcPr>
          <w:p w14:paraId="2ABABA8C" w14:textId="77777777" w:rsidR="00BF0919" w:rsidRDefault="00BF0919" w:rsidP="00AD29E0">
            <w:pPr>
              <w:jc w:val="center"/>
              <w:rPr>
                <w:rFonts w:ascii="Times New Roman" w:hAnsi="Times New Roman" w:cs="Times New Roman"/>
                <w:szCs w:val="21"/>
              </w:rPr>
            </w:pPr>
          </w:p>
        </w:tc>
      </w:tr>
      <w:tr w:rsidR="00BF0919" w:rsidRPr="0018037A" w14:paraId="46D00229" w14:textId="77777777" w:rsidTr="00B41A14">
        <w:trPr>
          <w:jc w:val="center"/>
        </w:trPr>
        <w:tc>
          <w:tcPr>
            <w:tcW w:w="0" w:type="auto"/>
          </w:tcPr>
          <w:p w14:paraId="27EF08B0" w14:textId="77777777" w:rsidR="00BF0919" w:rsidRDefault="00BF0919" w:rsidP="00AF0F57">
            <w:pPr>
              <w:jc w:val="center"/>
              <w:rPr>
                <w:rFonts w:ascii="Times New Roman" w:hAnsi="Times New Roman" w:cs="Times New Roman"/>
                <w:szCs w:val="21"/>
              </w:rPr>
            </w:pPr>
            <w:r w:rsidRPr="004D067F">
              <w:t>Pakistan</w:t>
            </w:r>
          </w:p>
        </w:tc>
        <w:tc>
          <w:tcPr>
            <w:tcW w:w="0" w:type="auto"/>
          </w:tcPr>
          <w:p w14:paraId="182D0502" w14:textId="77777777" w:rsidR="00BF0919" w:rsidRDefault="00BF0919" w:rsidP="00AD29E0">
            <w:pPr>
              <w:jc w:val="center"/>
              <w:rPr>
                <w:rFonts w:ascii="Times New Roman" w:hAnsi="Times New Roman" w:cs="Times New Roman"/>
                <w:szCs w:val="21"/>
              </w:rPr>
            </w:pPr>
            <w:r w:rsidRPr="00A54648">
              <w:t>2</w:t>
            </w:r>
          </w:p>
        </w:tc>
        <w:tc>
          <w:tcPr>
            <w:tcW w:w="0" w:type="auto"/>
          </w:tcPr>
          <w:p w14:paraId="1225D2A1" w14:textId="77777777" w:rsidR="00BF0919" w:rsidRDefault="00BF0919" w:rsidP="00AD29E0">
            <w:pPr>
              <w:jc w:val="center"/>
              <w:rPr>
                <w:rFonts w:ascii="Times New Roman" w:hAnsi="Times New Roman" w:cs="Times New Roman"/>
                <w:szCs w:val="21"/>
              </w:rPr>
            </w:pPr>
            <w:r w:rsidRPr="00DE566A">
              <w:t>1</w:t>
            </w:r>
          </w:p>
        </w:tc>
        <w:tc>
          <w:tcPr>
            <w:tcW w:w="0" w:type="auto"/>
          </w:tcPr>
          <w:p w14:paraId="500E271B" w14:textId="77777777" w:rsidR="00BF0919" w:rsidRDefault="00BF0919" w:rsidP="00AD29E0">
            <w:pPr>
              <w:jc w:val="center"/>
              <w:rPr>
                <w:rFonts w:ascii="Times New Roman" w:hAnsi="Times New Roman" w:cs="Times New Roman"/>
                <w:szCs w:val="21"/>
              </w:rPr>
            </w:pPr>
          </w:p>
        </w:tc>
        <w:tc>
          <w:tcPr>
            <w:tcW w:w="0" w:type="auto"/>
          </w:tcPr>
          <w:p w14:paraId="49FF0EA0" w14:textId="77777777" w:rsidR="00BF0919" w:rsidRDefault="00BF0919" w:rsidP="00AD29E0">
            <w:pPr>
              <w:jc w:val="center"/>
              <w:rPr>
                <w:rFonts w:ascii="Times New Roman" w:hAnsi="Times New Roman" w:cs="Times New Roman"/>
                <w:szCs w:val="21"/>
              </w:rPr>
            </w:pPr>
            <w:r w:rsidRPr="00DE566A">
              <w:t>1</w:t>
            </w:r>
          </w:p>
        </w:tc>
        <w:tc>
          <w:tcPr>
            <w:tcW w:w="0" w:type="auto"/>
          </w:tcPr>
          <w:p w14:paraId="58E0E578" w14:textId="77777777" w:rsidR="00BF0919" w:rsidRDefault="00BF0919" w:rsidP="00AD29E0">
            <w:pPr>
              <w:jc w:val="center"/>
              <w:rPr>
                <w:rFonts w:ascii="Times New Roman" w:hAnsi="Times New Roman" w:cs="Times New Roman"/>
                <w:szCs w:val="21"/>
              </w:rPr>
            </w:pPr>
          </w:p>
        </w:tc>
      </w:tr>
      <w:tr w:rsidR="00BF0919" w:rsidRPr="0018037A" w14:paraId="29BE3D65" w14:textId="77777777" w:rsidTr="00B41A14">
        <w:trPr>
          <w:jc w:val="center"/>
        </w:trPr>
        <w:tc>
          <w:tcPr>
            <w:tcW w:w="0" w:type="auto"/>
          </w:tcPr>
          <w:p w14:paraId="34EFC95E" w14:textId="77777777" w:rsidR="00BF0919" w:rsidRDefault="00BF0919" w:rsidP="00AF0F57">
            <w:pPr>
              <w:jc w:val="center"/>
              <w:rPr>
                <w:rFonts w:ascii="Times New Roman" w:hAnsi="Times New Roman" w:cs="Times New Roman"/>
                <w:szCs w:val="21"/>
              </w:rPr>
            </w:pPr>
            <w:r w:rsidRPr="004D067F">
              <w:t>Netherlands</w:t>
            </w:r>
          </w:p>
        </w:tc>
        <w:tc>
          <w:tcPr>
            <w:tcW w:w="0" w:type="auto"/>
          </w:tcPr>
          <w:p w14:paraId="6E0CF942" w14:textId="77777777" w:rsidR="00BF0919" w:rsidRDefault="00BF0919" w:rsidP="00AD29E0">
            <w:pPr>
              <w:jc w:val="center"/>
              <w:rPr>
                <w:rFonts w:ascii="Times New Roman" w:hAnsi="Times New Roman" w:cs="Times New Roman"/>
                <w:szCs w:val="21"/>
              </w:rPr>
            </w:pPr>
            <w:r w:rsidRPr="00A54648">
              <w:t>2</w:t>
            </w:r>
          </w:p>
        </w:tc>
        <w:tc>
          <w:tcPr>
            <w:tcW w:w="0" w:type="auto"/>
          </w:tcPr>
          <w:p w14:paraId="02C33837" w14:textId="77777777" w:rsidR="00BF0919" w:rsidRDefault="00BF0919" w:rsidP="00AD29E0">
            <w:pPr>
              <w:jc w:val="center"/>
              <w:rPr>
                <w:rFonts w:ascii="Times New Roman" w:hAnsi="Times New Roman" w:cs="Times New Roman"/>
                <w:szCs w:val="21"/>
              </w:rPr>
            </w:pPr>
            <w:r w:rsidRPr="00DE566A">
              <w:t>1</w:t>
            </w:r>
          </w:p>
        </w:tc>
        <w:tc>
          <w:tcPr>
            <w:tcW w:w="0" w:type="auto"/>
          </w:tcPr>
          <w:p w14:paraId="1650445D" w14:textId="77777777" w:rsidR="00BF0919" w:rsidRDefault="00BF0919" w:rsidP="00AD29E0">
            <w:pPr>
              <w:jc w:val="center"/>
              <w:rPr>
                <w:rFonts w:ascii="Times New Roman" w:hAnsi="Times New Roman" w:cs="Times New Roman"/>
                <w:szCs w:val="21"/>
              </w:rPr>
            </w:pPr>
            <w:r w:rsidRPr="00DE566A">
              <w:t>1</w:t>
            </w:r>
          </w:p>
        </w:tc>
        <w:tc>
          <w:tcPr>
            <w:tcW w:w="0" w:type="auto"/>
          </w:tcPr>
          <w:p w14:paraId="205B67F9" w14:textId="77777777" w:rsidR="00BF0919" w:rsidRDefault="00BF0919" w:rsidP="00AD29E0">
            <w:pPr>
              <w:jc w:val="center"/>
              <w:rPr>
                <w:rFonts w:ascii="Times New Roman" w:hAnsi="Times New Roman" w:cs="Times New Roman"/>
                <w:szCs w:val="21"/>
              </w:rPr>
            </w:pPr>
          </w:p>
        </w:tc>
        <w:tc>
          <w:tcPr>
            <w:tcW w:w="0" w:type="auto"/>
          </w:tcPr>
          <w:p w14:paraId="6DB0912C" w14:textId="77777777" w:rsidR="00BF0919" w:rsidRDefault="00BF0919" w:rsidP="00AD29E0">
            <w:pPr>
              <w:jc w:val="center"/>
              <w:rPr>
                <w:rFonts w:ascii="Times New Roman" w:hAnsi="Times New Roman" w:cs="Times New Roman"/>
                <w:szCs w:val="21"/>
              </w:rPr>
            </w:pPr>
          </w:p>
        </w:tc>
      </w:tr>
      <w:tr w:rsidR="00BF0919" w:rsidRPr="0018037A" w14:paraId="372058BF" w14:textId="77777777" w:rsidTr="00B41A14">
        <w:trPr>
          <w:jc w:val="center"/>
        </w:trPr>
        <w:tc>
          <w:tcPr>
            <w:tcW w:w="0" w:type="auto"/>
            <w:tcBorders>
              <w:bottom w:val="single" w:sz="8" w:space="0" w:color="auto"/>
            </w:tcBorders>
          </w:tcPr>
          <w:p w14:paraId="024621A3" w14:textId="77777777" w:rsidR="00BF0919" w:rsidRDefault="00BF0919" w:rsidP="00AF0F57">
            <w:pPr>
              <w:jc w:val="center"/>
              <w:rPr>
                <w:rFonts w:ascii="Times New Roman" w:hAnsi="Times New Roman" w:cs="Times New Roman"/>
                <w:szCs w:val="21"/>
              </w:rPr>
            </w:pPr>
            <w:r w:rsidRPr="004D067F">
              <w:t>Germany</w:t>
            </w:r>
          </w:p>
        </w:tc>
        <w:tc>
          <w:tcPr>
            <w:tcW w:w="0" w:type="auto"/>
            <w:tcBorders>
              <w:bottom w:val="single" w:sz="8" w:space="0" w:color="auto"/>
            </w:tcBorders>
          </w:tcPr>
          <w:p w14:paraId="57852ACD" w14:textId="77777777" w:rsidR="00BF0919" w:rsidRDefault="00BF0919" w:rsidP="00AD29E0">
            <w:pPr>
              <w:jc w:val="center"/>
              <w:rPr>
                <w:rFonts w:ascii="Times New Roman" w:hAnsi="Times New Roman" w:cs="Times New Roman"/>
                <w:szCs w:val="21"/>
              </w:rPr>
            </w:pPr>
            <w:r w:rsidRPr="00A54648">
              <w:t>2</w:t>
            </w:r>
          </w:p>
        </w:tc>
        <w:tc>
          <w:tcPr>
            <w:tcW w:w="0" w:type="auto"/>
            <w:tcBorders>
              <w:bottom w:val="single" w:sz="8" w:space="0" w:color="auto"/>
            </w:tcBorders>
          </w:tcPr>
          <w:p w14:paraId="2AC7EA58" w14:textId="77777777" w:rsidR="00BF0919" w:rsidRDefault="00BF0919" w:rsidP="00AD29E0">
            <w:pPr>
              <w:jc w:val="center"/>
              <w:rPr>
                <w:rFonts w:ascii="Times New Roman" w:hAnsi="Times New Roman" w:cs="Times New Roman"/>
                <w:szCs w:val="21"/>
              </w:rPr>
            </w:pPr>
          </w:p>
        </w:tc>
        <w:tc>
          <w:tcPr>
            <w:tcW w:w="0" w:type="auto"/>
            <w:tcBorders>
              <w:bottom w:val="single" w:sz="8" w:space="0" w:color="auto"/>
            </w:tcBorders>
          </w:tcPr>
          <w:p w14:paraId="527603B7" w14:textId="77777777" w:rsidR="00BF0919" w:rsidRDefault="00BF0919" w:rsidP="00AD29E0">
            <w:pPr>
              <w:jc w:val="center"/>
              <w:rPr>
                <w:rFonts w:ascii="Times New Roman" w:hAnsi="Times New Roman" w:cs="Times New Roman"/>
                <w:szCs w:val="21"/>
              </w:rPr>
            </w:pPr>
            <w:r w:rsidRPr="00DE566A">
              <w:t>1</w:t>
            </w:r>
          </w:p>
        </w:tc>
        <w:tc>
          <w:tcPr>
            <w:tcW w:w="0" w:type="auto"/>
            <w:tcBorders>
              <w:bottom w:val="single" w:sz="8" w:space="0" w:color="auto"/>
            </w:tcBorders>
          </w:tcPr>
          <w:p w14:paraId="147963D7" w14:textId="77777777" w:rsidR="00BF0919" w:rsidRDefault="00BF0919" w:rsidP="00AD29E0">
            <w:pPr>
              <w:jc w:val="center"/>
              <w:rPr>
                <w:rFonts w:ascii="Times New Roman" w:hAnsi="Times New Roman" w:cs="Times New Roman"/>
                <w:szCs w:val="21"/>
              </w:rPr>
            </w:pPr>
            <w:r w:rsidRPr="00DE566A">
              <w:t>1</w:t>
            </w:r>
          </w:p>
        </w:tc>
        <w:tc>
          <w:tcPr>
            <w:tcW w:w="0" w:type="auto"/>
            <w:tcBorders>
              <w:bottom w:val="single" w:sz="8" w:space="0" w:color="auto"/>
            </w:tcBorders>
          </w:tcPr>
          <w:p w14:paraId="0FF7F936" w14:textId="77777777" w:rsidR="00BF0919" w:rsidRDefault="00BF0919" w:rsidP="00AD29E0">
            <w:pPr>
              <w:jc w:val="center"/>
              <w:rPr>
                <w:rFonts w:ascii="Times New Roman" w:hAnsi="Times New Roman" w:cs="Times New Roman"/>
                <w:szCs w:val="21"/>
              </w:rPr>
            </w:pPr>
          </w:p>
        </w:tc>
      </w:tr>
    </w:tbl>
    <w:p w14:paraId="6EF95FD7" w14:textId="77777777" w:rsidR="00BF0919" w:rsidRPr="00141C30" w:rsidRDefault="00BF0919" w:rsidP="00141C30"/>
    <w:p w14:paraId="6FDEADBE" w14:textId="17680580" w:rsidR="00BF0919" w:rsidRDefault="004D2B5E">
      <w:r>
        <w:rPr>
          <w:noProof/>
        </w:rPr>
        <w:drawing>
          <wp:inline distT="0" distB="0" distL="0" distR="0" wp14:anchorId="0CA7D0A7" wp14:editId="392CB00D">
            <wp:extent cx="5278120" cy="2457450"/>
            <wp:effectExtent l="0" t="0" r="0" b="0"/>
            <wp:docPr id="367545527" name="Picture 1" descr="A graph of the world's largest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5527" name="Picture 1" descr="A graph of the world's largest country&#10;&#10;Description automatically generated with medium confidence"/>
                    <pic:cNvPicPr/>
                  </pic:nvPicPr>
                  <pic:blipFill>
                    <a:blip r:embed="rId12"/>
                    <a:stretch>
                      <a:fillRect/>
                    </a:stretch>
                  </pic:blipFill>
                  <pic:spPr>
                    <a:xfrm>
                      <a:off x="0" y="0"/>
                      <a:ext cx="5278120" cy="2457450"/>
                    </a:xfrm>
                    <a:prstGeom prst="rect">
                      <a:avLst/>
                    </a:prstGeom>
                  </pic:spPr>
                </pic:pic>
              </a:graphicData>
            </a:graphic>
          </wp:inline>
        </w:drawing>
      </w:r>
    </w:p>
    <w:p w14:paraId="4CBC4EEE" w14:textId="77777777" w:rsidR="00BF0919" w:rsidRDefault="00BF0919" w:rsidP="00DF0045">
      <w:pPr>
        <w:pStyle w:val="Caption"/>
        <w:jc w:val="center"/>
        <w:rPr>
          <w:rFonts w:ascii="Times New Roman" w:hAnsi="Times New Roman" w:cs="Times New Roman"/>
        </w:rPr>
      </w:pPr>
      <w:r w:rsidRPr="0067238F">
        <w:rPr>
          <w:rFonts w:ascii="Times New Roman" w:hAnsi="Times New Roman" w:cs="Times New Roman"/>
          <w:b/>
          <w:bCs/>
        </w:rPr>
        <w:t xml:space="preserve">Fig. </w:t>
      </w:r>
      <w:r>
        <w:rPr>
          <w:rFonts w:ascii="Times New Roman" w:hAnsi="Times New Roman" w:cs="Times New Roman"/>
          <w:b/>
          <w:bCs/>
        </w:rPr>
        <w:t>4</w:t>
      </w:r>
      <w:r>
        <w:rPr>
          <w:rFonts w:ascii="Times New Roman" w:hAnsi="Times New Roman" w:cs="Times New Roman"/>
        </w:rPr>
        <w:t xml:space="preserve"> Regional distributions of the selected papers</w:t>
      </w:r>
    </w:p>
    <w:p w14:paraId="6F2CD281" w14:textId="77777777" w:rsidR="00BF0919" w:rsidRPr="004D2B5E" w:rsidRDefault="00BF0919"/>
    <w:p w14:paraId="25949B19" w14:textId="3287A9B7" w:rsidR="00BF0919" w:rsidRDefault="00BF0919" w:rsidP="00566292">
      <w:pPr>
        <w:pStyle w:val="Heading2"/>
      </w:pPr>
      <w:r>
        <w:lastRenderedPageBreak/>
        <w:t>3.2. In-depth content analysis</w:t>
      </w:r>
    </w:p>
    <w:p w14:paraId="510EC7DA" w14:textId="1986967E" w:rsidR="00BF0919" w:rsidRPr="00DF3739" w:rsidRDefault="00BF0919" w:rsidP="00566292">
      <w:pPr>
        <w:pStyle w:val="Heading3"/>
      </w:pPr>
      <w:r>
        <w:rPr>
          <w:rFonts w:hint="eastAsia"/>
        </w:rPr>
        <w:t>3</w:t>
      </w:r>
      <w:r>
        <w:t>.2.1. In the concept dimension</w:t>
      </w:r>
    </w:p>
    <w:p w14:paraId="3F15D1C2"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Temporal variables</w:t>
      </w:r>
    </w:p>
    <w:p w14:paraId="431CD7F8" w14:textId="77777777" w:rsidR="00BF0919" w:rsidRDefault="00BF0919" w:rsidP="00AA5115">
      <w:pPr>
        <w:pStyle w:val="ListParagraph"/>
        <w:ind w:firstLineChars="0" w:firstLine="0"/>
        <w:rPr>
          <w:rFonts w:ascii="Times New Roman" w:hAnsi="Times New Roman" w:cs="Times New Roman"/>
        </w:rPr>
      </w:pPr>
      <w:r>
        <w:rPr>
          <w:rFonts w:ascii="Times New Roman" w:hAnsi="Times New Roman" w:cs="Times New Roman"/>
        </w:rPr>
        <w:t xml:space="preserve">Among the 65 papers, more than half (54%) selected the cradle-to-gate stage for conducting EC calculation, six papers (9%) selected the cradle-to-site </w:t>
      </w:r>
      <w:proofErr w:type="gramStart"/>
      <w:r>
        <w:rPr>
          <w:rFonts w:ascii="Times New Roman" w:hAnsi="Times New Roman" w:cs="Times New Roman"/>
        </w:rPr>
        <w:t>stage</w:t>
      </w:r>
      <w:proofErr w:type="gramEnd"/>
      <w:r>
        <w:rPr>
          <w:rFonts w:ascii="Times New Roman" w:hAnsi="Times New Roman" w:cs="Times New Roman"/>
        </w:rPr>
        <w:t xml:space="preserve"> and five papers selected the cradle-to-end-of-construction stage (8%). In addition, nine papers (14%) addressed the full life cycle stages of buildings. Concerning the different LCCMs, the cradle-to-gate stage is the predominate selection for SCMs, LCBs and RCAs related papers, while no identified papers studying HSC selects cradle-to-gate stage </w:t>
      </w:r>
      <w:r>
        <w:rPr>
          <w:rFonts w:ascii="Times New Roman" w:hAnsi="Times New Roman" w:cs="Times New Roman" w:hint="eastAsia"/>
        </w:rPr>
        <w:t>as</w:t>
      </w:r>
      <w:r>
        <w:rPr>
          <w:rFonts w:ascii="Times New Roman" w:hAnsi="Times New Roman" w:cs="Times New Roman"/>
        </w:rPr>
        <w:t xml:space="preserve"> shown in Table 4. Besides, the cradle-to-grave stage is the most widely selected stage amongst the LCCMs papers as it has been adopted by all four kinds of LCCMs research. </w:t>
      </w:r>
    </w:p>
    <w:p w14:paraId="44960C6D" w14:textId="77777777" w:rsidR="00BF0919" w:rsidRDefault="00BF0919" w:rsidP="00AA5115">
      <w:pPr>
        <w:pStyle w:val="ListParagraph"/>
        <w:ind w:firstLineChars="0" w:firstLine="0"/>
        <w:rPr>
          <w:rFonts w:ascii="Times New Roman" w:hAnsi="Times New Roman" w:cs="Times New Roman"/>
        </w:rPr>
      </w:pPr>
    </w:p>
    <w:p w14:paraId="4B678870" w14:textId="77777777" w:rsidR="00BF0919" w:rsidRPr="006F2C46" w:rsidRDefault="00BF0919" w:rsidP="00AD29E0">
      <w:pPr>
        <w:jc w:val="center"/>
        <w:rPr>
          <w:rFonts w:ascii="Times New Roman" w:hAnsi="Times New Roman" w:cs="Times New Roman"/>
          <w:sz w:val="20"/>
          <w:szCs w:val="20"/>
        </w:rPr>
      </w:pPr>
      <w:r w:rsidRPr="006F2C46">
        <w:rPr>
          <w:rFonts w:ascii="Times New Roman" w:eastAsia="Times New Roman" w:hAnsi="Times New Roman" w:cs="Times New Roman"/>
          <w:b/>
          <w:bCs/>
          <w:sz w:val="20"/>
          <w:szCs w:val="20"/>
        </w:rPr>
        <w:t xml:space="preserve">Table 4 </w:t>
      </w:r>
      <w:r w:rsidRPr="006F2C46">
        <w:rPr>
          <w:rFonts w:ascii="Times New Roman" w:eastAsia="Times New Roman" w:hAnsi="Times New Roman" w:cs="Times New Roman"/>
          <w:sz w:val="20"/>
          <w:szCs w:val="20"/>
        </w:rPr>
        <w:t xml:space="preserve">Details of </w:t>
      </w:r>
      <w:r w:rsidRPr="00AF0F57">
        <w:rPr>
          <w:rFonts w:ascii="Times New Roman" w:hAnsi="Times New Roman" w:cs="Times New Roman"/>
          <w:bCs/>
          <w:sz w:val="20"/>
          <w:szCs w:val="20"/>
        </w:rPr>
        <w:t>life cycle stages</w:t>
      </w:r>
      <w:r w:rsidRPr="006F2C46">
        <w:rPr>
          <w:rFonts w:ascii="Times New Roman" w:eastAsia="Times New Roman" w:hAnsi="Times New Roman" w:cs="Times New Roman"/>
          <w:sz w:val="20"/>
          <w:szCs w:val="20"/>
        </w:rPr>
        <w:t xml:space="preserve"> regarding LCCMs papers. Note: SCMs (Supplementary cementitious materials), LCBs (Low carbon binders), RCAs (Recycled concrete aggregates), HSC (High strength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639"/>
        <w:gridCol w:w="717"/>
        <w:gridCol w:w="683"/>
        <w:gridCol w:w="706"/>
        <w:gridCol w:w="606"/>
      </w:tblGrid>
      <w:tr w:rsidR="00BF0919" w:rsidRPr="0018037A" w14:paraId="6B08E869" w14:textId="77777777" w:rsidTr="00B41A14">
        <w:trPr>
          <w:jc w:val="center"/>
        </w:trPr>
        <w:tc>
          <w:tcPr>
            <w:tcW w:w="0" w:type="auto"/>
            <w:tcBorders>
              <w:top w:val="single" w:sz="8" w:space="0" w:color="auto"/>
              <w:bottom w:val="single" w:sz="8" w:space="0" w:color="auto"/>
            </w:tcBorders>
          </w:tcPr>
          <w:p w14:paraId="5DEA1E88" w14:textId="77777777" w:rsidR="00BF0919" w:rsidRPr="0018037A" w:rsidRDefault="00BF0919" w:rsidP="00AD29E0">
            <w:pPr>
              <w:jc w:val="center"/>
              <w:rPr>
                <w:rFonts w:ascii="Times New Roman" w:hAnsi="Times New Roman" w:cs="Times New Roman"/>
                <w:bCs/>
                <w:szCs w:val="21"/>
              </w:rPr>
            </w:pPr>
            <w:r w:rsidRPr="00AD29E0">
              <w:rPr>
                <w:rFonts w:ascii="Times New Roman" w:hAnsi="Times New Roman" w:cs="Times New Roman"/>
                <w:bCs/>
                <w:szCs w:val="21"/>
              </w:rPr>
              <w:t>Life cycle stages</w:t>
            </w:r>
          </w:p>
        </w:tc>
        <w:tc>
          <w:tcPr>
            <w:tcW w:w="0" w:type="auto"/>
            <w:tcBorders>
              <w:top w:val="single" w:sz="8" w:space="0" w:color="auto"/>
              <w:bottom w:val="single" w:sz="8" w:space="0" w:color="auto"/>
            </w:tcBorders>
          </w:tcPr>
          <w:p w14:paraId="79A22C2E" w14:textId="77777777" w:rsidR="00BF0919" w:rsidRPr="0018037A" w:rsidRDefault="00BF0919" w:rsidP="00AD29E0">
            <w:pPr>
              <w:jc w:val="center"/>
              <w:rPr>
                <w:rFonts w:ascii="Times New Roman" w:hAnsi="Times New Roman" w:cs="Times New Roman"/>
                <w:bCs/>
                <w:szCs w:val="21"/>
              </w:rPr>
            </w:pPr>
            <w:r>
              <w:rPr>
                <w:rFonts w:ascii="Times New Roman" w:hAnsi="Times New Roman" w:cs="Times New Roman"/>
                <w:bCs/>
                <w:szCs w:val="21"/>
              </w:rPr>
              <w:t>Total</w:t>
            </w:r>
          </w:p>
        </w:tc>
        <w:tc>
          <w:tcPr>
            <w:tcW w:w="0" w:type="auto"/>
            <w:tcBorders>
              <w:top w:val="single" w:sz="8" w:space="0" w:color="auto"/>
              <w:bottom w:val="single" w:sz="8" w:space="0" w:color="auto"/>
            </w:tcBorders>
          </w:tcPr>
          <w:p w14:paraId="5D85ECAD" w14:textId="77777777" w:rsidR="00BF0919" w:rsidRPr="0018037A" w:rsidRDefault="00BF0919" w:rsidP="00AD29E0">
            <w:pPr>
              <w:jc w:val="center"/>
              <w:rPr>
                <w:rFonts w:ascii="Times New Roman" w:hAnsi="Times New Roman" w:cs="Times New Roman"/>
                <w:bCs/>
                <w:szCs w:val="21"/>
              </w:rPr>
            </w:pPr>
            <w:r w:rsidRPr="00DE566A">
              <w:t>SCMs</w:t>
            </w:r>
          </w:p>
        </w:tc>
        <w:tc>
          <w:tcPr>
            <w:tcW w:w="0" w:type="auto"/>
            <w:tcBorders>
              <w:top w:val="single" w:sz="8" w:space="0" w:color="auto"/>
              <w:bottom w:val="single" w:sz="8" w:space="0" w:color="auto"/>
            </w:tcBorders>
          </w:tcPr>
          <w:p w14:paraId="75D58E5F" w14:textId="77777777" w:rsidR="00BF0919" w:rsidRPr="0018037A" w:rsidRDefault="00BF0919" w:rsidP="00AD29E0">
            <w:pPr>
              <w:jc w:val="center"/>
              <w:rPr>
                <w:rFonts w:ascii="Times New Roman" w:hAnsi="Times New Roman" w:cs="Times New Roman"/>
                <w:bCs/>
                <w:szCs w:val="21"/>
              </w:rPr>
            </w:pPr>
            <w:r w:rsidRPr="00DE566A">
              <w:t>LCBs</w:t>
            </w:r>
          </w:p>
        </w:tc>
        <w:tc>
          <w:tcPr>
            <w:tcW w:w="0" w:type="auto"/>
            <w:tcBorders>
              <w:top w:val="single" w:sz="8" w:space="0" w:color="auto"/>
              <w:bottom w:val="single" w:sz="8" w:space="0" w:color="auto"/>
            </w:tcBorders>
          </w:tcPr>
          <w:p w14:paraId="1CC3D770" w14:textId="77777777" w:rsidR="00BF0919" w:rsidRPr="0018037A" w:rsidRDefault="00BF0919" w:rsidP="00AD29E0">
            <w:pPr>
              <w:jc w:val="center"/>
              <w:rPr>
                <w:rFonts w:ascii="Times New Roman" w:hAnsi="Times New Roman" w:cs="Times New Roman"/>
                <w:bCs/>
                <w:szCs w:val="21"/>
              </w:rPr>
            </w:pPr>
            <w:r w:rsidRPr="00DE566A">
              <w:t>RCAs</w:t>
            </w:r>
          </w:p>
        </w:tc>
        <w:tc>
          <w:tcPr>
            <w:tcW w:w="0" w:type="auto"/>
            <w:tcBorders>
              <w:top w:val="single" w:sz="8" w:space="0" w:color="auto"/>
              <w:bottom w:val="single" w:sz="8" w:space="0" w:color="auto"/>
            </w:tcBorders>
          </w:tcPr>
          <w:p w14:paraId="202CA028" w14:textId="77777777" w:rsidR="00BF0919" w:rsidRPr="0018037A" w:rsidRDefault="00BF0919" w:rsidP="00AD29E0">
            <w:pPr>
              <w:jc w:val="center"/>
              <w:rPr>
                <w:rFonts w:ascii="Times New Roman" w:hAnsi="Times New Roman" w:cs="Times New Roman"/>
                <w:bCs/>
                <w:szCs w:val="21"/>
              </w:rPr>
            </w:pPr>
            <w:r w:rsidRPr="00DE566A">
              <w:t>HSC</w:t>
            </w:r>
          </w:p>
        </w:tc>
      </w:tr>
      <w:tr w:rsidR="00BF0919" w:rsidRPr="0018037A" w14:paraId="212D407D" w14:textId="77777777" w:rsidTr="00B41A14">
        <w:trPr>
          <w:jc w:val="center"/>
        </w:trPr>
        <w:tc>
          <w:tcPr>
            <w:tcW w:w="0" w:type="auto"/>
            <w:tcBorders>
              <w:top w:val="single" w:sz="8" w:space="0" w:color="auto"/>
            </w:tcBorders>
          </w:tcPr>
          <w:p w14:paraId="4FC8E1BB" w14:textId="77777777" w:rsidR="00BF0919" w:rsidRPr="0018037A" w:rsidRDefault="00BF0919" w:rsidP="00AF0F57">
            <w:pPr>
              <w:jc w:val="center"/>
              <w:rPr>
                <w:rFonts w:ascii="Times New Roman" w:hAnsi="Times New Roman" w:cs="Times New Roman"/>
                <w:szCs w:val="21"/>
              </w:rPr>
            </w:pPr>
            <w:r w:rsidRPr="00A16056">
              <w:t>Cradle-to-gate</w:t>
            </w:r>
          </w:p>
        </w:tc>
        <w:tc>
          <w:tcPr>
            <w:tcW w:w="0" w:type="auto"/>
            <w:tcBorders>
              <w:top w:val="single" w:sz="8" w:space="0" w:color="auto"/>
            </w:tcBorders>
          </w:tcPr>
          <w:p w14:paraId="688897D3" w14:textId="77777777" w:rsidR="00BF0919" w:rsidRPr="0018037A" w:rsidRDefault="00BF0919" w:rsidP="00A200DC">
            <w:pPr>
              <w:jc w:val="center"/>
              <w:rPr>
                <w:rFonts w:ascii="Times New Roman" w:hAnsi="Times New Roman" w:cs="Times New Roman"/>
                <w:szCs w:val="21"/>
              </w:rPr>
            </w:pPr>
            <w:r w:rsidRPr="00077E9E">
              <w:t>35</w:t>
            </w:r>
          </w:p>
        </w:tc>
        <w:tc>
          <w:tcPr>
            <w:tcW w:w="0" w:type="auto"/>
            <w:tcBorders>
              <w:top w:val="single" w:sz="8" w:space="0" w:color="auto"/>
            </w:tcBorders>
          </w:tcPr>
          <w:p w14:paraId="5B357223" w14:textId="77777777" w:rsidR="00BF0919" w:rsidRDefault="00BF0919" w:rsidP="00A200DC">
            <w:pPr>
              <w:jc w:val="center"/>
              <w:rPr>
                <w:rFonts w:ascii="Times New Roman" w:hAnsi="Times New Roman" w:cs="Times New Roman"/>
                <w:szCs w:val="21"/>
              </w:rPr>
            </w:pPr>
            <w:r w:rsidRPr="00077E9E">
              <w:t>13</w:t>
            </w:r>
          </w:p>
        </w:tc>
        <w:tc>
          <w:tcPr>
            <w:tcW w:w="0" w:type="auto"/>
            <w:tcBorders>
              <w:top w:val="single" w:sz="8" w:space="0" w:color="auto"/>
            </w:tcBorders>
          </w:tcPr>
          <w:p w14:paraId="2C68858D" w14:textId="77777777" w:rsidR="00BF0919" w:rsidRDefault="00BF0919" w:rsidP="00A200DC">
            <w:pPr>
              <w:jc w:val="center"/>
              <w:rPr>
                <w:rFonts w:ascii="Times New Roman" w:hAnsi="Times New Roman" w:cs="Times New Roman"/>
                <w:szCs w:val="21"/>
              </w:rPr>
            </w:pPr>
            <w:r w:rsidRPr="00077E9E">
              <w:t>12</w:t>
            </w:r>
          </w:p>
        </w:tc>
        <w:tc>
          <w:tcPr>
            <w:tcW w:w="0" w:type="auto"/>
            <w:tcBorders>
              <w:top w:val="single" w:sz="8" w:space="0" w:color="auto"/>
            </w:tcBorders>
          </w:tcPr>
          <w:p w14:paraId="40D84E16" w14:textId="77777777" w:rsidR="00BF0919" w:rsidRDefault="00BF0919" w:rsidP="00A200DC">
            <w:pPr>
              <w:jc w:val="center"/>
              <w:rPr>
                <w:rFonts w:ascii="Times New Roman" w:hAnsi="Times New Roman" w:cs="Times New Roman"/>
                <w:szCs w:val="21"/>
              </w:rPr>
            </w:pPr>
            <w:r w:rsidRPr="00077E9E">
              <w:t>10</w:t>
            </w:r>
          </w:p>
        </w:tc>
        <w:tc>
          <w:tcPr>
            <w:tcW w:w="0" w:type="auto"/>
            <w:tcBorders>
              <w:top w:val="single" w:sz="8" w:space="0" w:color="auto"/>
            </w:tcBorders>
          </w:tcPr>
          <w:p w14:paraId="45386FFE" w14:textId="77777777" w:rsidR="00BF0919" w:rsidRDefault="00BF0919" w:rsidP="00A200DC">
            <w:pPr>
              <w:jc w:val="center"/>
              <w:rPr>
                <w:rFonts w:ascii="Times New Roman" w:hAnsi="Times New Roman" w:cs="Times New Roman"/>
                <w:szCs w:val="21"/>
              </w:rPr>
            </w:pPr>
          </w:p>
        </w:tc>
      </w:tr>
      <w:tr w:rsidR="00BF0919" w:rsidRPr="0018037A" w14:paraId="6DC66944" w14:textId="77777777" w:rsidTr="00B41A14">
        <w:trPr>
          <w:jc w:val="center"/>
        </w:trPr>
        <w:tc>
          <w:tcPr>
            <w:tcW w:w="0" w:type="auto"/>
          </w:tcPr>
          <w:p w14:paraId="600FAD63" w14:textId="77777777" w:rsidR="00BF0919" w:rsidRPr="0018037A" w:rsidRDefault="00BF0919" w:rsidP="00AF0F57">
            <w:pPr>
              <w:jc w:val="center"/>
              <w:rPr>
                <w:rFonts w:ascii="Times New Roman" w:hAnsi="Times New Roman" w:cs="Times New Roman"/>
                <w:szCs w:val="21"/>
              </w:rPr>
            </w:pPr>
            <w:r w:rsidRPr="00A16056">
              <w:t>Cradle-to-site</w:t>
            </w:r>
          </w:p>
        </w:tc>
        <w:tc>
          <w:tcPr>
            <w:tcW w:w="0" w:type="auto"/>
          </w:tcPr>
          <w:p w14:paraId="547B8EB9" w14:textId="77777777" w:rsidR="00BF0919" w:rsidRPr="0018037A" w:rsidRDefault="00BF0919" w:rsidP="00A200DC">
            <w:pPr>
              <w:jc w:val="center"/>
              <w:rPr>
                <w:rFonts w:ascii="Times New Roman" w:hAnsi="Times New Roman" w:cs="Times New Roman"/>
                <w:szCs w:val="21"/>
              </w:rPr>
            </w:pPr>
            <w:r w:rsidRPr="00077E9E">
              <w:t>6</w:t>
            </w:r>
          </w:p>
        </w:tc>
        <w:tc>
          <w:tcPr>
            <w:tcW w:w="0" w:type="auto"/>
          </w:tcPr>
          <w:p w14:paraId="231F2E4B" w14:textId="77777777" w:rsidR="00BF0919" w:rsidRDefault="00BF0919" w:rsidP="00A200DC">
            <w:pPr>
              <w:jc w:val="center"/>
              <w:rPr>
                <w:rFonts w:ascii="Times New Roman" w:hAnsi="Times New Roman" w:cs="Times New Roman"/>
                <w:szCs w:val="21"/>
              </w:rPr>
            </w:pPr>
            <w:r w:rsidRPr="00077E9E">
              <w:t>4</w:t>
            </w:r>
          </w:p>
        </w:tc>
        <w:tc>
          <w:tcPr>
            <w:tcW w:w="0" w:type="auto"/>
          </w:tcPr>
          <w:p w14:paraId="7E3FB9FA" w14:textId="77777777" w:rsidR="00BF0919" w:rsidRDefault="00BF0919" w:rsidP="00A200DC">
            <w:pPr>
              <w:jc w:val="center"/>
              <w:rPr>
                <w:rFonts w:ascii="Times New Roman" w:hAnsi="Times New Roman" w:cs="Times New Roman"/>
                <w:szCs w:val="21"/>
              </w:rPr>
            </w:pPr>
            <w:r w:rsidRPr="00077E9E">
              <w:t>1</w:t>
            </w:r>
          </w:p>
        </w:tc>
        <w:tc>
          <w:tcPr>
            <w:tcW w:w="0" w:type="auto"/>
          </w:tcPr>
          <w:p w14:paraId="6DCE97A4" w14:textId="77777777" w:rsidR="00BF0919" w:rsidRDefault="00BF0919" w:rsidP="00A200DC">
            <w:pPr>
              <w:jc w:val="center"/>
              <w:rPr>
                <w:rFonts w:ascii="Times New Roman" w:hAnsi="Times New Roman" w:cs="Times New Roman"/>
                <w:szCs w:val="21"/>
              </w:rPr>
            </w:pPr>
          </w:p>
        </w:tc>
        <w:tc>
          <w:tcPr>
            <w:tcW w:w="0" w:type="auto"/>
          </w:tcPr>
          <w:p w14:paraId="299C571B" w14:textId="77777777" w:rsidR="00BF0919" w:rsidRDefault="00BF0919" w:rsidP="00A200DC">
            <w:pPr>
              <w:jc w:val="center"/>
              <w:rPr>
                <w:rFonts w:ascii="Times New Roman" w:hAnsi="Times New Roman" w:cs="Times New Roman"/>
                <w:szCs w:val="21"/>
              </w:rPr>
            </w:pPr>
            <w:r w:rsidRPr="00077E9E">
              <w:t>1</w:t>
            </w:r>
          </w:p>
        </w:tc>
      </w:tr>
      <w:tr w:rsidR="00BF0919" w:rsidRPr="0018037A" w14:paraId="223E9233" w14:textId="77777777" w:rsidTr="00B41A14">
        <w:trPr>
          <w:jc w:val="center"/>
        </w:trPr>
        <w:tc>
          <w:tcPr>
            <w:tcW w:w="0" w:type="auto"/>
          </w:tcPr>
          <w:p w14:paraId="6FC15A53" w14:textId="77777777" w:rsidR="00BF0919" w:rsidRPr="0018037A" w:rsidRDefault="00BF0919" w:rsidP="00AF0F57">
            <w:pPr>
              <w:jc w:val="center"/>
              <w:rPr>
                <w:rFonts w:ascii="Times New Roman" w:hAnsi="Times New Roman" w:cs="Times New Roman"/>
                <w:szCs w:val="21"/>
              </w:rPr>
            </w:pPr>
            <w:r w:rsidRPr="00A16056">
              <w:t>Cradle-to-end of construction</w:t>
            </w:r>
          </w:p>
        </w:tc>
        <w:tc>
          <w:tcPr>
            <w:tcW w:w="0" w:type="auto"/>
          </w:tcPr>
          <w:p w14:paraId="67B30F78" w14:textId="77777777" w:rsidR="00BF0919" w:rsidRPr="0018037A" w:rsidRDefault="00BF0919" w:rsidP="00A200DC">
            <w:pPr>
              <w:jc w:val="center"/>
              <w:rPr>
                <w:rFonts w:ascii="Times New Roman" w:hAnsi="Times New Roman" w:cs="Times New Roman"/>
                <w:szCs w:val="21"/>
              </w:rPr>
            </w:pPr>
            <w:r w:rsidRPr="00077E9E">
              <w:t>5</w:t>
            </w:r>
          </w:p>
        </w:tc>
        <w:tc>
          <w:tcPr>
            <w:tcW w:w="0" w:type="auto"/>
          </w:tcPr>
          <w:p w14:paraId="5B656F65" w14:textId="77777777" w:rsidR="00BF0919" w:rsidRPr="0018037A" w:rsidRDefault="00BF0919" w:rsidP="00A200DC">
            <w:pPr>
              <w:jc w:val="center"/>
              <w:rPr>
                <w:rFonts w:ascii="Times New Roman" w:hAnsi="Times New Roman" w:cs="Times New Roman"/>
                <w:szCs w:val="21"/>
              </w:rPr>
            </w:pPr>
            <w:r w:rsidRPr="00077E9E">
              <w:t>2</w:t>
            </w:r>
          </w:p>
        </w:tc>
        <w:tc>
          <w:tcPr>
            <w:tcW w:w="0" w:type="auto"/>
          </w:tcPr>
          <w:p w14:paraId="5D6F58BF" w14:textId="77777777" w:rsidR="00BF0919" w:rsidRDefault="00BF0919" w:rsidP="00A200DC">
            <w:pPr>
              <w:jc w:val="center"/>
              <w:rPr>
                <w:rFonts w:ascii="Times New Roman" w:hAnsi="Times New Roman" w:cs="Times New Roman"/>
                <w:szCs w:val="21"/>
              </w:rPr>
            </w:pPr>
            <w:r w:rsidRPr="00077E9E">
              <w:t>1</w:t>
            </w:r>
          </w:p>
        </w:tc>
        <w:tc>
          <w:tcPr>
            <w:tcW w:w="0" w:type="auto"/>
          </w:tcPr>
          <w:p w14:paraId="13AC762D" w14:textId="77777777" w:rsidR="00BF0919" w:rsidRDefault="00BF0919" w:rsidP="00A200DC">
            <w:pPr>
              <w:jc w:val="center"/>
              <w:rPr>
                <w:rFonts w:ascii="Times New Roman" w:hAnsi="Times New Roman" w:cs="Times New Roman"/>
                <w:szCs w:val="21"/>
              </w:rPr>
            </w:pPr>
          </w:p>
        </w:tc>
        <w:tc>
          <w:tcPr>
            <w:tcW w:w="0" w:type="auto"/>
          </w:tcPr>
          <w:p w14:paraId="5A3E4735" w14:textId="77777777" w:rsidR="00BF0919" w:rsidRDefault="00BF0919" w:rsidP="00A200DC">
            <w:pPr>
              <w:jc w:val="center"/>
              <w:rPr>
                <w:rFonts w:ascii="Times New Roman" w:hAnsi="Times New Roman" w:cs="Times New Roman"/>
                <w:szCs w:val="21"/>
              </w:rPr>
            </w:pPr>
            <w:r w:rsidRPr="00077E9E">
              <w:t>2</w:t>
            </w:r>
          </w:p>
        </w:tc>
      </w:tr>
      <w:tr w:rsidR="00BF0919" w:rsidRPr="0018037A" w14:paraId="1E3A8531" w14:textId="77777777" w:rsidTr="00B41A14">
        <w:trPr>
          <w:jc w:val="center"/>
        </w:trPr>
        <w:tc>
          <w:tcPr>
            <w:tcW w:w="0" w:type="auto"/>
          </w:tcPr>
          <w:p w14:paraId="557B6F1D" w14:textId="77777777" w:rsidR="00BF0919" w:rsidRPr="0018037A" w:rsidRDefault="00BF0919" w:rsidP="00AF0F57">
            <w:pPr>
              <w:jc w:val="center"/>
              <w:rPr>
                <w:rFonts w:ascii="Times New Roman" w:hAnsi="Times New Roman" w:cs="Times New Roman"/>
                <w:szCs w:val="21"/>
              </w:rPr>
            </w:pPr>
            <w:r w:rsidRPr="00A16056">
              <w:t>Cradle-to-grave</w:t>
            </w:r>
          </w:p>
        </w:tc>
        <w:tc>
          <w:tcPr>
            <w:tcW w:w="0" w:type="auto"/>
          </w:tcPr>
          <w:p w14:paraId="7B629B66" w14:textId="77777777" w:rsidR="00BF0919" w:rsidRPr="0018037A" w:rsidRDefault="00BF0919" w:rsidP="00A200DC">
            <w:pPr>
              <w:jc w:val="center"/>
              <w:rPr>
                <w:rFonts w:ascii="Times New Roman" w:hAnsi="Times New Roman" w:cs="Times New Roman"/>
                <w:szCs w:val="21"/>
              </w:rPr>
            </w:pPr>
            <w:r w:rsidRPr="00077E9E">
              <w:t>9</w:t>
            </w:r>
          </w:p>
        </w:tc>
        <w:tc>
          <w:tcPr>
            <w:tcW w:w="0" w:type="auto"/>
          </w:tcPr>
          <w:p w14:paraId="10F09F87" w14:textId="77777777" w:rsidR="00BF0919" w:rsidRDefault="00BF0919" w:rsidP="00A200DC">
            <w:pPr>
              <w:jc w:val="center"/>
              <w:rPr>
                <w:rFonts w:ascii="Times New Roman" w:hAnsi="Times New Roman" w:cs="Times New Roman"/>
                <w:szCs w:val="21"/>
              </w:rPr>
            </w:pPr>
            <w:r w:rsidRPr="00077E9E">
              <w:t>2</w:t>
            </w:r>
          </w:p>
        </w:tc>
        <w:tc>
          <w:tcPr>
            <w:tcW w:w="0" w:type="auto"/>
          </w:tcPr>
          <w:p w14:paraId="7A24C11A" w14:textId="77777777" w:rsidR="00BF0919" w:rsidRDefault="00BF0919" w:rsidP="00A200DC">
            <w:pPr>
              <w:jc w:val="center"/>
              <w:rPr>
                <w:rFonts w:ascii="Times New Roman" w:hAnsi="Times New Roman" w:cs="Times New Roman"/>
                <w:szCs w:val="21"/>
              </w:rPr>
            </w:pPr>
            <w:r w:rsidRPr="00077E9E">
              <w:t>2</w:t>
            </w:r>
          </w:p>
        </w:tc>
        <w:tc>
          <w:tcPr>
            <w:tcW w:w="0" w:type="auto"/>
          </w:tcPr>
          <w:p w14:paraId="6F10F216" w14:textId="77777777" w:rsidR="00BF0919" w:rsidRDefault="00BF0919" w:rsidP="00A200DC">
            <w:pPr>
              <w:jc w:val="center"/>
              <w:rPr>
                <w:rFonts w:ascii="Times New Roman" w:hAnsi="Times New Roman" w:cs="Times New Roman"/>
                <w:szCs w:val="21"/>
              </w:rPr>
            </w:pPr>
            <w:r w:rsidRPr="00077E9E">
              <w:t>3</w:t>
            </w:r>
          </w:p>
        </w:tc>
        <w:tc>
          <w:tcPr>
            <w:tcW w:w="0" w:type="auto"/>
          </w:tcPr>
          <w:p w14:paraId="782428B4" w14:textId="77777777" w:rsidR="00BF0919" w:rsidRDefault="00BF0919" w:rsidP="00A200DC">
            <w:pPr>
              <w:jc w:val="center"/>
              <w:rPr>
                <w:rFonts w:ascii="Times New Roman" w:hAnsi="Times New Roman" w:cs="Times New Roman"/>
                <w:szCs w:val="21"/>
              </w:rPr>
            </w:pPr>
            <w:r w:rsidRPr="00077E9E">
              <w:t>2</w:t>
            </w:r>
          </w:p>
        </w:tc>
      </w:tr>
      <w:tr w:rsidR="00BF0919" w:rsidRPr="0018037A" w14:paraId="14BFE357" w14:textId="77777777" w:rsidTr="00B41A14">
        <w:trPr>
          <w:jc w:val="center"/>
        </w:trPr>
        <w:tc>
          <w:tcPr>
            <w:tcW w:w="0" w:type="auto"/>
          </w:tcPr>
          <w:p w14:paraId="46146FC2" w14:textId="77777777" w:rsidR="00BF0919" w:rsidRPr="0018037A" w:rsidRDefault="00BF0919" w:rsidP="00AF0F57">
            <w:pPr>
              <w:jc w:val="center"/>
              <w:rPr>
                <w:rFonts w:ascii="Times New Roman" w:hAnsi="Times New Roman" w:cs="Times New Roman"/>
                <w:szCs w:val="21"/>
              </w:rPr>
            </w:pPr>
            <w:r w:rsidRPr="00A16056">
              <w:t>Cradle-to-cradle</w:t>
            </w:r>
          </w:p>
        </w:tc>
        <w:tc>
          <w:tcPr>
            <w:tcW w:w="0" w:type="auto"/>
          </w:tcPr>
          <w:p w14:paraId="19103FD8" w14:textId="77777777" w:rsidR="00BF0919" w:rsidRPr="0018037A" w:rsidRDefault="00BF0919" w:rsidP="00A200DC">
            <w:pPr>
              <w:jc w:val="center"/>
              <w:rPr>
                <w:rFonts w:ascii="Times New Roman" w:hAnsi="Times New Roman" w:cs="Times New Roman"/>
                <w:szCs w:val="21"/>
              </w:rPr>
            </w:pPr>
            <w:r w:rsidRPr="00077E9E">
              <w:t>5</w:t>
            </w:r>
          </w:p>
        </w:tc>
        <w:tc>
          <w:tcPr>
            <w:tcW w:w="0" w:type="auto"/>
          </w:tcPr>
          <w:p w14:paraId="1F6DF732" w14:textId="77777777" w:rsidR="00BF0919" w:rsidRDefault="00BF0919" w:rsidP="00A200DC">
            <w:pPr>
              <w:jc w:val="center"/>
              <w:rPr>
                <w:rFonts w:ascii="Times New Roman" w:hAnsi="Times New Roman" w:cs="Times New Roman"/>
                <w:szCs w:val="21"/>
              </w:rPr>
            </w:pPr>
            <w:r w:rsidRPr="00077E9E">
              <w:t>3</w:t>
            </w:r>
          </w:p>
        </w:tc>
        <w:tc>
          <w:tcPr>
            <w:tcW w:w="0" w:type="auto"/>
          </w:tcPr>
          <w:p w14:paraId="58B0F5B4" w14:textId="77777777" w:rsidR="00BF0919" w:rsidRDefault="00BF0919" w:rsidP="00A200DC">
            <w:pPr>
              <w:jc w:val="center"/>
              <w:rPr>
                <w:rFonts w:ascii="Times New Roman" w:hAnsi="Times New Roman" w:cs="Times New Roman"/>
                <w:szCs w:val="21"/>
              </w:rPr>
            </w:pPr>
            <w:r w:rsidRPr="00077E9E">
              <w:t>2</w:t>
            </w:r>
          </w:p>
        </w:tc>
        <w:tc>
          <w:tcPr>
            <w:tcW w:w="0" w:type="auto"/>
          </w:tcPr>
          <w:p w14:paraId="17CEF19B" w14:textId="77777777" w:rsidR="00BF0919" w:rsidRDefault="00BF0919" w:rsidP="00A200DC">
            <w:pPr>
              <w:jc w:val="center"/>
              <w:rPr>
                <w:rFonts w:ascii="Times New Roman" w:hAnsi="Times New Roman" w:cs="Times New Roman"/>
                <w:szCs w:val="21"/>
              </w:rPr>
            </w:pPr>
          </w:p>
        </w:tc>
        <w:tc>
          <w:tcPr>
            <w:tcW w:w="0" w:type="auto"/>
          </w:tcPr>
          <w:p w14:paraId="79177A68" w14:textId="77777777" w:rsidR="00BF0919" w:rsidRDefault="00BF0919" w:rsidP="00A200DC">
            <w:pPr>
              <w:jc w:val="center"/>
              <w:rPr>
                <w:rFonts w:ascii="Times New Roman" w:hAnsi="Times New Roman" w:cs="Times New Roman"/>
                <w:szCs w:val="21"/>
              </w:rPr>
            </w:pPr>
          </w:p>
        </w:tc>
      </w:tr>
      <w:tr w:rsidR="00BF0919" w:rsidRPr="0018037A" w14:paraId="6D8DD7FF" w14:textId="77777777" w:rsidTr="00B41A14">
        <w:trPr>
          <w:jc w:val="center"/>
        </w:trPr>
        <w:tc>
          <w:tcPr>
            <w:tcW w:w="0" w:type="auto"/>
            <w:tcBorders>
              <w:bottom w:val="single" w:sz="8" w:space="0" w:color="auto"/>
            </w:tcBorders>
          </w:tcPr>
          <w:p w14:paraId="20814850" w14:textId="77777777" w:rsidR="00BF0919" w:rsidRDefault="00BF0919" w:rsidP="00AF0F57">
            <w:pPr>
              <w:jc w:val="center"/>
              <w:rPr>
                <w:rFonts w:ascii="Times New Roman" w:hAnsi="Times New Roman" w:cs="Times New Roman"/>
                <w:szCs w:val="21"/>
              </w:rPr>
            </w:pPr>
            <w:r w:rsidRPr="00A16056">
              <w:t>Others</w:t>
            </w:r>
          </w:p>
        </w:tc>
        <w:tc>
          <w:tcPr>
            <w:tcW w:w="0" w:type="auto"/>
            <w:tcBorders>
              <w:bottom w:val="single" w:sz="8" w:space="0" w:color="auto"/>
            </w:tcBorders>
          </w:tcPr>
          <w:p w14:paraId="1ABFF863" w14:textId="77777777" w:rsidR="00BF0919" w:rsidRDefault="00BF0919" w:rsidP="00A200DC">
            <w:pPr>
              <w:jc w:val="center"/>
              <w:rPr>
                <w:rFonts w:ascii="Times New Roman" w:hAnsi="Times New Roman" w:cs="Times New Roman"/>
                <w:szCs w:val="21"/>
              </w:rPr>
            </w:pPr>
            <w:r w:rsidRPr="00077E9E">
              <w:t>4</w:t>
            </w:r>
          </w:p>
        </w:tc>
        <w:tc>
          <w:tcPr>
            <w:tcW w:w="0" w:type="auto"/>
            <w:tcBorders>
              <w:bottom w:val="single" w:sz="8" w:space="0" w:color="auto"/>
            </w:tcBorders>
          </w:tcPr>
          <w:p w14:paraId="51A8A0D7" w14:textId="77777777" w:rsidR="00BF0919" w:rsidRDefault="00BF0919" w:rsidP="00A200DC">
            <w:pPr>
              <w:jc w:val="center"/>
              <w:rPr>
                <w:rFonts w:ascii="Times New Roman" w:hAnsi="Times New Roman" w:cs="Times New Roman"/>
                <w:szCs w:val="21"/>
              </w:rPr>
            </w:pPr>
            <w:r w:rsidRPr="00077E9E">
              <w:t>3</w:t>
            </w:r>
          </w:p>
        </w:tc>
        <w:tc>
          <w:tcPr>
            <w:tcW w:w="0" w:type="auto"/>
            <w:tcBorders>
              <w:bottom w:val="single" w:sz="8" w:space="0" w:color="auto"/>
            </w:tcBorders>
          </w:tcPr>
          <w:p w14:paraId="4D2F3EC2" w14:textId="77777777" w:rsidR="00BF0919" w:rsidRDefault="00BF0919" w:rsidP="00A200DC">
            <w:pPr>
              <w:jc w:val="center"/>
              <w:rPr>
                <w:rFonts w:ascii="Times New Roman" w:hAnsi="Times New Roman" w:cs="Times New Roman"/>
                <w:szCs w:val="21"/>
              </w:rPr>
            </w:pPr>
            <w:r w:rsidRPr="00077E9E">
              <w:t>1</w:t>
            </w:r>
          </w:p>
        </w:tc>
        <w:tc>
          <w:tcPr>
            <w:tcW w:w="0" w:type="auto"/>
            <w:tcBorders>
              <w:bottom w:val="single" w:sz="8" w:space="0" w:color="auto"/>
            </w:tcBorders>
          </w:tcPr>
          <w:p w14:paraId="28876C79" w14:textId="77777777" w:rsidR="00BF0919" w:rsidRDefault="00BF0919" w:rsidP="00A200DC">
            <w:pPr>
              <w:jc w:val="center"/>
              <w:rPr>
                <w:rFonts w:ascii="Times New Roman" w:hAnsi="Times New Roman" w:cs="Times New Roman"/>
                <w:szCs w:val="21"/>
              </w:rPr>
            </w:pPr>
          </w:p>
        </w:tc>
        <w:tc>
          <w:tcPr>
            <w:tcW w:w="0" w:type="auto"/>
            <w:tcBorders>
              <w:bottom w:val="single" w:sz="8" w:space="0" w:color="auto"/>
            </w:tcBorders>
          </w:tcPr>
          <w:p w14:paraId="6E59292F" w14:textId="77777777" w:rsidR="00BF0919" w:rsidRDefault="00BF0919" w:rsidP="00A200DC">
            <w:pPr>
              <w:jc w:val="center"/>
              <w:rPr>
                <w:rFonts w:ascii="Times New Roman" w:hAnsi="Times New Roman" w:cs="Times New Roman"/>
                <w:szCs w:val="21"/>
              </w:rPr>
            </w:pPr>
            <w:r w:rsidRPr="00077E9E">
              <w:t>1</w:t>
            </w:r>
          </w:p>
        </w:tc>
      </w:tr>
    </w:tbl>
    <w:p w14:paraId="3B887AFE" w14:textId="77777777" w:rsidR="00BF0919" w:rsidRPr="00DF3739" w:rsidRDefault="00BF0919" w:rsidP="00DF3739">
      <w:pPr>
        <w:pStyle w:val="ListParagraph"/>
        <w:ind w:firstLineChars="0" w:firstLine="0"/>
        <w:rPr>
          <w:rFonts w:ascii="Times New Roman" w:hAnsi="Times New Roman" w:cs="Times New Roman"/>
        </w:rPr>
      </w:pPr>
    </w:p>
    <w:p w14:paraId="7DE32D20"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Spatial variables</w:t>
      </w:r>
    </w:p>
    <w:p w14:paraId="0F471013" w14:textId="77777777" w:rsidR="00BF0919" w:rsidRDefault="00BF0919">
      <w:pPr>
        <w:pStyle w:val="ListParagraph"/>
        <w:ind w:firstLineChars="0" w:firstLine="0"/>
        <w:rPr>
          <w:rFonts w:ascii="Times New Roman" w:hAnsi="Times New Roman" w:cs="Times New Roman"/>
        </w:rPr>
      </w:pPr>
      <w:r>
        <w:rPr>
          <w:rFonts w:ascii="Times New Roman" w:hAnsi="Times New Roman" w:cs="Times New Roman"/>
        </w:rPr>
        <w:t>Concerning the geographic scope, in total, 41 studies (63%) selected concrete as their calculation unit, followed by</w:t>
      </w:r>
      <w:r w:rsidRPr="005F4EC5">
        <w:rPr>
          <w:rFonts w:ascii="Times New Roman" w:hAnsi="Times New Roman" w:cs="Times New Roman"/>
        </w:rPr>
        <w:t xml:space="preserve"> </w:t>
      </w:r>
      <w:r>
        <w:rPr>
          <w:rFonts w:ascii="Times New Roman" w:hAnsi="Times New Roman" w:cs="Times New Roman"/>
        </w:rPr>
        <w:t xml:space="preserve">whole building (10 studies, 15%), cement (9 studies, 14%) and components (8 studies, 12%). In some papers, two geographic scopes were selected, such as the studies conducted by </w:t>
      </w:r>
      <w:r>
        <w:rPr>
          <w:rFonts w:ascii="Times New Roman" w:hAnsi="Times New Roman" w:cs="Times New Roman"/>
          <w:noProof/>
        </w:rPr>
        <w:t>Gan, Chan, et al. (2017)</w:t>
      </w:r>
      <w:r>
        <w:rPr>
          <w:rFonts w:ascii="Times New Roman" w:hAnsi="Times New Roman" w:cs="Times New Roman"/>
        </w:rPr>
        <w:t xml:space="preserve"> and </w:t>
      </w:r>
      <w:r>
        <w:rPr>
          <w:rFonts w:ascii="Times New Roman" w:hAnsi="Times New Roman" w:cs="Times New Roman"/>
          <w:noProof/>
        </w:rPr>
        <w:t>Blankendaal et al. (2014)</w:t>
      </w:r>
      <w:r>
        <w:rPr>
          <w:rFonts w:ascii="Times New Roman" w:hAnsi="Times New Roman" w:cs="Times New Roman"/>
        </w:rPr>
        <w:t xml:space="preserve">. </w:t>
      </w:r>
    </w:p>
    <w:p w14:paraId="34406EA9" w14:textId="77777777" w:rsidR="00BF0919" w:rsidRDefault="00BF0919">
      <w:pPr>
        <w:pStyle w:val="ListParagraph"/>
        <w:ind w:firstLineChars="0" w:firstLine="0"/>
        <w:rPr>
          <w:rFonts w:ascii="Times New Roman" w:hAnsi="Times New Roman" w:cs="Times New Roman"/>
        </w:rPr>
      </w:pPr>
    </w:p>
    <w:p w14:paraId="26E2275B" w14:textId="4C7B17D9" w:rsidR="00BF0919" w:rsidRDefault="00BF0919" w:rsidP="00DF3739">
      <w:pPr>
        <w:rPr>
          <w:rFonts w:ascii="Times New Roman" w:hAnsi="Times New Roman" w:cs="Times New Roman"/>
        </w:rPr>
      </w:pPr>
      <w:r w:rsidRPr="00DF3739">
        <w:rPr>
          <w:rFonts w:ascii="Times New Roman" w:hAnsi="Times New Roman" w:cs="Times New Roman"/>
        </w:rPr>
        <w:t xml:space="preserve">In </w:t>
      </w:r>
      <w:r>
        <w:rPr>
          <w:rFonts w:ascii="Times New Roman" w:hAnsi="Times New Roman" w:cs="Times New Roman"/>
        </w:rPr>
        <w:t>terms of the specific types of LCCMs</w:t>
      </w:r>
      <w:r w:rsidRPr="00DF3739">
        <w:rPr>
          <w:rFonts w:ascii="Times New Roman" w:hAnsi="Times New Roman" w:cs="Times New Roman"/>
        </w:rPr>
        <w:t xml:space="preserve">, </w:t>
      </w:r>
      <w:r>
        <w:rPr>
          <w:rFonts w:ascii="Times New Roman" w:hAnsi="Times New Roman" w:cs="Times New Roman"/>
        </w:rPr>
        <w:t xml:space="preserve">27 of the 65 papers (42%) investigated the impacts of SCMs. </w:t>
      </w:r>
      <w:r>
        <w:rPr>
          <w:rFonts w:ascii="Times New Roman" w:hAnsi="Times New Roman" w:cs="Times New Roman"/>
          <w:szCs w:val="21"/>
        </w:rPr>
        <w:t xml:space="preserve">Among the 27 papers, </w:t>
      </w:r>
      <w:r>
        <w:rPr>
          <w:rFonts w:ascii="Times New Roman" w:hAnsi="Times New Roman" w:cs="Times New Roman"/>
        </w:rPr>
        <w:t>30% of them considered to use more than one SCM simultaneously. In addition, 24 of them used FA, followed by 16 papers that selected GGBS and 4 papers that selected SF. Besides, o</w:t>
      </w:r>
      <w:r w:rsidRPr="008A00C0">
        <w:rPr>
          <w:rFonts w:ascii="Times New Roman" w:hAnsi="Times New Roman" w:cs="Times New Roman"/>
        </w:rPr>
        <w:t xml:space="preserve">ther SCMs, such as lime powder and volcanic ash, were identified in 7 </w:t>
      </w:r>
      <w:r>
        <w:rPr>
          <w:rFonts w:ascii="Times New Roman" w:hAnsi="Times New Roman" w:cs="Times New Roman"/>
        </w:rPr>
        <w:t>papers</w:t>
      </w:r>
      <w:r w:rsidRPr="008A00C0">
        <w:rPr>
          <w:rFonts w:ascii="Times New Roman" w:hAnsi="Times New Roman" w:cs="Times New Roman"/>
        </w:rPr>
        <w:t>.</w:t>
      </w:r>
      <w:r>
        <w:rPr>
          <w:rFonts w:ascii="Times New Roman" w:hAnsi="Times New Roman" w:cs="Times New Roman"/>
        </w:rPr>
        <w:t xml:space="preserve"> SCMs are </w:t>
      </w:r>
      <w:r>
        <w:rPr>
          <w:rFonts w:ascii="Times New Roman" w:hAnsi="Times New Roman" w:cs="Times New Roman"/>
          <w:szCs w:val="21"/>
        </w:rPr>
        <w:t>industrial by-products, which can be used to replace the high carbonate containing OPC</w:t>
      </w:r>
      <w:r w:rsidRPr="00230A47">
        <w:rPr>
          <w:rFonts w:ascii="Times New Roman" w:hAnsi="Times New Roman" w:cs="Times New Roman"/>
          <w:szCs w:val="21"/>
        </w:rPr>
        <w:t xml:space="preserve"> </w:t>
      </w:r>
      <w:r>
        <w:rPr>
          <w:rFonts w:ascii="Times New Roman" w:hAnsi="Times New Roman" w:cs="Times New Roman"/>
          <w:szCs w:val="21"/>
        </w:rPr>
        <w:t xml:space="preserve">without significantly affecting the structural performances. They </w:t>
      </w:r>
      <w:r>
        <w:rPr>
          <w:rFonts w:ascii="Times New Roman" w:hAnsi="Times New Roman" w:cs="Times New Roman"/>
        </w:rPr>
        <w:t xml:space="preserve">have been demonstrated as </w:t>
      </w:r>
      <w:r>
        <w:rPr>
          <w:rFonts w:ascii="Times New Roman" w:hAnsi="Times New Roman" w:cs="Times New Roman"/>
          <w:szCs w:val="21"/>
        </w:rPr>
        <w:t xml:space="preserve">effective low carbon materials </w:t>
      </w:r>
      <w:r>
        <w:rPr>
          <w:rFonts w:ascii="Times New Roman" w:hAnsi="Times New Roman" w:cs="Times New Roman"/>
          <w:noProof/>
          <w:szCs w:val="21"/>
        </w:rPr>
        <w:t>(Feiz et al., 2015; Van den Heede &amp; De Belie, 2014; Vargas &amp; Halog, 2015)</w:t>
      </w:r>
      <w:r>
        <w:rPr>
          <w:rFonts w:ascii="Times New Roman" w:hAnsi="Times New Roman" w:cs="Times New Roman"/>
          <w:szCs w:val="21"/>
        </w:rPr>
        <w:t>.</w:t>
      </w:r>
      <w:r>
        <w:rPr>
          <w:rFonts w:ascii="Times New Roman" w:hAnsi="Times New Roman" w:cs="Times New Roman"/>
        </w:rPr>
        <w:t xml:space="preserve"> For examples using FA, studies have shown that the </w:t>
      </w:r>
      <w:r>
        <w:rPr>
          <w:rFonts w:ascii="Times New Roman" w:hAnsi="Times New Roman" w:cs="Times New Roman"/>
          <w:szCs w:val="21"/>
        </w:rPr>
        <w:t xml:space="preserve">physical and structural performance of the concrete will be less affected if 30%~40% of ordinary cement is replaced with FA, although the recommended proportion is 15%-25% </w:t>
      </w:r>
      <w:r>
        <w:rPr>
          <w:rFonts w:ascii="Times New Roman" w:hAnsi="Times New Roman" w:cs="Times New Roman"/>
          <w:noProof/>
          <w:szCs w:val="21"/>
        </w:rPr>
        <w:t>(Nath &amp; Sarker, 2011; Tushar et al., 2022)</w:t>
      </w:r>
      <w:r>
        <w:rPr>
          <w:rFonts w:ascii="Times New Roman" w:hAnsi="Times New Roman" w:cs="Times New Roman"/>
          <w:szCs w:val="21"/>
        </w:rPr>
        <w:t>.</w:t>
      </w:r>
      <w:r w:rsidRPr="00925EF9">
        <w:rPr>
          <w:rFonts w:ascii="Times New Roman" w:hAnsi="Times New Roman" w:cs="Times New Roman"/>
          <w:szCs w:val="21"/>
        </w:rPr>
        <w:t xml:space="preserve"> </w:t>
      </w:r>
      <w:r>
        <w:rPr>
          <w:rFonts w:ascii="Times New Roman" w:hAnsi="Times New Roman" w:cs="Times New Roman"/>
          <w:szCs w:val="21"/>
        </w:rPr>
        <w:t xml:space="preserve">However, a high proportion of replacement by FA, exceeding 40%, inevitably contributes to a decreased compressive strength. </w:t>
      </w:r>
      <w:r>
        <w:rPr>
          <w:rFonts w:ascii="Times New Roman" w:hAnsi="Times New Roman" w:cs="Times New Roman"/>
          <w:noProof/>
          <w:szCs w:val="21"/>
        </w:rPr>
        <w:t>(Farahani et al., 2017; Lee et al., 2021)</w:t>
      </w:r>
      <w:r>
        <w:rPr>
          <w:rFonts w:ascii="Times New Roman" w:hAnsi="Times New Roman" w:cs="Times New Roman"/>
          <w:szCs w:val="21"/>
        </w:rPr>
        <w:t xml:space="preserve">. Concerning the GGBS, the proportion of replacement by GGBS can climb to 75 % (Gan et al., 2019). As characterized by the cementitious </w:t>
      </w:r>
      <w:r w:rsidRPr="00665AA9">
        <w:rPr>
          <w:rFonts w:ascii="Times New Roman" w:hAnsi="Times New Roman" w:cs="Times New Roman"/>
          <w:szCs w:val="21"/>
        </w:rPr>
        <w:t>behavior</w:t>
      </w:r>
      <w:r>
        <w:rPr>
          <w:rFonts w:ascii="Times New Roman" w:hAnsi="Times New Roman" w:cs="Times New Roman"/>
          <w:szCs w:val="21"/>
        </w:rPr>
        <w:t xml:space="preserve"> similar to Portland cement, cement replaced by GGBS brought less adverse impacts on the overall compressive strength, despite the higher replacement ratio </w:t>
      </w:r>
      <w:r>
        <w:rPr>
          <w:rFonts w:ascii="Times New Roman" w:hAnsi="Times New Roman" w:cs="Times New Roman"/>
          <w:noProof/>
          <w:szCs w:val="21"/>
        </w:rPr>
        <w:t>(Lee et al., 2021; Teh et al., 2017)</w:t>
      </w:r>
      <w:r>
        <w:rPr>
          <w:rFonts w:ascii="Times New Roman" w:hAnsi="Times New Roman" w:cs="Times New Roman"/>
          <w:szCs w:val="21"/>
        </w:rPr>
        <w:t xml:space="preserve">. </w:t>
      </w:r>
      <w:r>
        <w:rPr>
          <w:rFonts w:ascii="Times New Roman" w:hAnsi="Times New Roman" w:cs="Times New Roman"/>
          <w:szCs w:val="21"/>
        </w:rPr>
        <w:lastRenderedPageBreak/>
        <w:t xml:space="preserve">Based on the results of prior studies, incorporating GGBS in main components in concrete buildings potentially could achieve a 10% -30% EC reduction while having no substantial impact on the structural performance of the components or the building in this range </w:t>
      </w:r>
      <w:r>
        <w:rPr>
          <w:rFonts w:ascii="Times New Roman" w:hAnsi="Times New Roman" w:cs="Times New Roman"/>
          <w:noProof/>
          <w:szCs w:val="21"/>
        </w:rPr>
        <w:t>(Teng &amp; Pan, 2019; Zhang et al., 2018)</w:t>
      </w:r>
      <w:r>
        <w:rPr>
          <w:rFonts w:ascii="Times New Roman" w:hAnsi="Times New Roman" w:cs="Times New Roman"/>
          <w:szCs w:val="21"/>
        </w:rPr>
        <w:t xml:space="preserve">. </w:t>
      </w:r>
      <w:r>
        <w:rPr>
          <w:rFonts w:ascii="Times New Roman" w:hAnsi="Times New Roman" w:cs="Times New Roman" w:hint="eastAsia"/>
          <w:szCs w:val="21"/>
        </w:rPr>
        <w:t>Another</w:t>
      </w:r>
      <w:r>
        <w:rPr>
          <w:rFonts w:ascii="Times New Roman" w:hAnsi="Times New Roman" w:cs="Times New Roman"/>
          <w:szCs w:val="21"/>
        </w:rPr>
        <w:t xml:space="preserve"> effective SCM reported amongst pieces of literature was the SF. Unlike the broader usage of FA or GGBS, only up to a 15% replacement ratio could be ultimately reached while using SF in promoting low carbon concrete </w:t>
      </w:r>
      <w:r>
        <w:rPr>
          <w:rFonts w:ascii="Times New Roman" w:hAnsi="Times New Roman" w:cs="Times New Roman"/>
          <w:noProof/>
          <w:szCs w:val="21"/>
        </w:rPr>
        <w:t>(Kumar et al., 2022; Siddique, 2011)</w:t>
      </w:r>
      <w:r>
        <w:rPr>
          <w:rFonts w:ascii="Times New Roman" w:hAnsi="Times New Roman" w:cs="Times New Roman"/>
          <w:szCs w:val="21"/>
        </w:rPr>
        <w:t>. This could be fundamentally ascribed to the low calcium content of SF. Moreover, while the use of SF can generate a denser concrete microstructure and enhance the bonding between</w:t>
      </w:r>
      <w:r>
        <w:rPr>
          <w:rFonts w:ascii="Times New Roman" w:hAnsi="Times New Roman" w:cs="Times New Roman" w:hint="eastAsia"/>
          <w:szCs w:val="21"/>
        </w:rPr>
        <w:t xml:space="preserve"> </w:t>
      </w:r>
      <w:r>
        <w:rPr>
          <w:rFonts w:ascii="Times New Roman" w:hAnsi="Times New Roman" w:cs="Times New Roman"/>
          <w:szCs w:val="21"/>
        </w:rPr>
        <w:t xml:space="preserve">binders and aggregates </w:t>
      </w:r>
      <w:r>
        <w:rPr>
          <w:rFonts w:ascii="Times New Roman" w:hAnsi="Times New Roman" w:cs="Times New Roman"/>
          <w:noProof/>
          <w:szCs w:val="21"/>
        </w:rPr>
        <w:t>(Batista et al., 2019)</w:t>
      </w:r>
      <w:r>
        <w:rPr>
          <w:rFonts w:ascii="Times New Roman" w:hAnsi="Times New Roman" w:cs="Times New Roman"/>
          <w:szCs w:val="21"/>
        </w:rPr>
        <w:t xml:space="preserve">, high content of SF would greatly affect the workability due to the significant increase in particle surface area. </w:t>
      </w:r>
      <w:r>
        <w:rPr>
          <w:rFonts w:ascii="Times New Roman" w:hAnsi="Times New Roman" w:cs="Times New Roman" w:hint="eastAsia"/>
          <w:szCs w:val="21"/>
        </w:rPr>
        <w:t>O</w:t>
      </w:r>
      <w:r>
        <w:rPr>
          <w:rFonts w:ascii="Times New Roman" w:hAnsi="Times New Roman" w:cs="Times New Roman"/>
          <w:szCs w:val="21"/>
        </w:rPr>
        <w:t xml:space="preserve">ther than the prevailingly used, there were several prospective SCMs detected in papers, such as limestone powder </w:t>
      </w:r>
      <w:r>
        <w:rPr>
          <w:rFonts w:ascii="Times New Roman" w:hAnsi="Times New Roman" w:cs="Times New Roman"/>
          <w:noProof/>
          <w:szCs w:val="21"/>
        </w:rPr>
        <w:t>(Zhang et al., 2018)</w:t>
      </w:r>
      <w:r>
        <w:rPr>
          <w:rFonts w:ascii="Times New Roman" w:hAnsi="Times New Roman" w:cs="Times New Roman"/>
          <w:szCs w:val="21"/>
        </w:rPr>
        <w:t xml:space="preserve">, </w:t>
      </w:r>
      <w:r w:rsidRPr="008A00C0">
        <w:rPr>
          <w:rFonts w:ascii="Times New Roman" w:hAnsi="Times New Roman" w:cs="Times New Roman"/>
          <w:szCs w:val="21"/>
        </w:rPr>
        <w:t>gypsum</w:t>
      </w:r>
      <w:r w:rsidRPr="008A00C0" w:rsidDel="008A00C0">
        <w:rPr>
          <w:rFonts w:ascii="Times New Roman" w:hAnsi="Times New Roman" w:cs="Times New Roman"/>
          <w:szCs w:val="21"/>
        </w:rPr>
        <w:t xml:space="preserve"> </w:t>
      </w:r>
      <w:r>
        <w:rPr>
          <w:rFonts w:ascii="Times New Roman" w:hAnsi="Times New Roman" w:cs="Times New Roman"/>
          <w:noProof/>
          <w:szCs w:val="21"/>
        </w:rPr>
        <w:t>(Blankendaal et al., 2014)</w:t>
      </w:r>
      <w:r>
        <w:rPr>
          <w:rFonts w:ascii="Times New Roman" w:hAnsi="Times New Roman" w:cs="Times New Roman"/>
          <w:szCs w:val="21"/>
        </w:rPr>
        <w:t xml:space="preserve">, </w:t>
      </w:r>
      <w:r w:rsidRPr="008A00C0">
        <w:rPr>
          <w:rFonts w:ascii="Times New Roman" w:hAnsi="Times New Roman" w:cs="Times New Roman"/>
          <w:szCs w:val="21"/>
        </w:rPr>
        <w:t>volcanic ash</w:t>
      </w:r>
      <w:r>
        <w:rPr>
          <w:rFonts w:ascii="Times New Roman" w:hAnsi="Times New Roman" w:cs="Times New Roman"/>
          <w:szCs w:val="21"/>
        </w:rPr>
        <w:t xml:space="preserve"> </w:t>
      </w:r>
      <w:r>
        <w:rPr>
          <w:rFonts w:ascii="Times New Roman" w:hAnsi="Times New Roman" w:cs="Times New Roman"/>
          <w:noProof/>
          <w:szCs w:val="21"/>
        </w:rPr>
        <w:t>(Hossain et al., 2021)</w:t>
      </w:r>
      <w:r>
        <w:rPr>
          <w:rFonts w:ascii="Times New Roman" w:hAnsi="Times New Roman" w:cs="Times New Roman"/>
          <w:szCs w:val="21"/>
        </w:rPr>
        <w:t xml:space="preserve"> and </w:t>
      </w:r>
      <w:r w:rsidRPr="00505900">
        <w:rPr>
          <w:rFonts w:ascii="Times New Roman" w:hAnsi="Times New Roman" w:cs="Times New Roman"/>
          <w:szCs w:val="21"/>
        </w:rPr>
        <w:t>rice husk ash</w:t>
      </w:r>
      <w:r>
        <w:rPr>
          <w:rFonts w:ascii="Times New Roman" w:hAnsi="Times New Roman" w:cs="Times New Roman"/>
          <w:szCs w:val="21"/>
        </w:rPr>
        <w:t xml:space="preserve"> </w:t>
      </w:r>
      <w:r>
        <w:rPr>
          <w:rFonts w:ascii="Times New Roman" w:hAnsi="Times New Roman" w:cs="Times New Roman"/>
          <w:noProof/>
          <w:szCs w:val="21"/>
        </w:rPr>
        <w:t>(Farahani et al., 2017)</w:t>
      </w:r>
      <w:r>
        <w:rPr>
          <w:rFonts w:ascii="Times New Roman" w:hAnsi="Times New Roman" w:cs="Times New Roman"/>
          <w:szCs w:val="21"/>
        </w:rPr>
        <w:t xml:space="preserve">. </w:t>
      </w:r>
    </w:p>
    <w:p w14:paraId="4D0C9F5B" w14:textId="77777777" w:rsidR="00BF0919" w:rsidRDefault="00BF0919">
      <w:pPr>
        <w:pStyle w:val="ListParagraph"/>
        <w:ind w:firstLineChars="0" w:firstLine="0"/>
        <w:rPr>
          <w:rFonts w:ascii="Times New Roman" w:hAnsi="Times New Roman" w:cs="Times New Roman"/>
        </w:rPr>
      </w:pPr>
    </w:p>
    <w:p w14:paraId="784A42F7" w14:textId="6B23FEDF" w:rsidR="00BF0919" w:rsidRDefault="00BF0919">
      <w:pPr>
        <w:rPr>
          <w:rFonts w:ascii="Times New Roman" w:hAnsi="Times New Roman" w:cs="Times New Roman"/>
        </w:rPr>
      </w:pPr>
      <w:r w:rsidRPr="00DF3739">
        <w:rPr>
          <w:rFonts w:ascii="Times New Roman" w:hAnsi="Times New Roman" w:cs="Times New Roman"/>
        </w:rPr>
        <w:t>Among the 65 papers</w:t>
      </w:r>
      <w:r>
        <w:rPr>
          <w:rFonts w:ascii="Times New Roman" w:hAnsi="Times New Roman" w:cs="Times New Roman"/>
        </w:rPr>
        <w:t>, 20 (31%) identified l</w:t>
      </w:r>
      <w:r w:rsidRPr="00E848FA">
        <w:rPr>
          <w:rFonts w:ascii="Times New Roman" w:hAnsi="Times New Roman" w:cs="Times New Roman"/>
        </w:rPr>
        <w:t>ow carbon binders</w:t>
      </w:r>
      <w:r>
        <w:rPr>
          <w:rFonts w:ascii="Times New Roman" w:hAnsi="Times New Roman" w:cs="Times New Roman"/>
        </w:rPr>
        <w:t xml:space="preserve"> (LCBs). The use of LCBs has been </w:t>
      </w:r>
      <w:r>
        <w:rPr>
          <w:rFonts w:ascii="Times New Roman" w:hAnsi="Times New Roman" w:cs="Times New Roman"/>
          <w:szCs w:val="21"/>
        </w:rPr>
        <w:t xml:space="preserve">demonstrated not only to help cut down EC emission but to be more </w:t>
      </w:r>
      <w:r w:rsidRPr="000B45C6">
        <w:rPr>
          <w:rFonts w:ascii="Times New Roman" w:hAnsi="Times New Roman" w:cs="Times New Roman"/>
          <w:szCs w:val="21"/>
        </w:rPr>
        <w:t>superior</w:t>
      </w:r>
      <w:r>
        <w:rPr>
          <w:rFonts w:ascii="Times New Roman" w:hAnsi="Times New Roman" w:cs="Times New Roman"/>
          <w:szCs w:val="21"/>
        </w:rPr>
        <w:t xml:space="preserve"> than OPC under aggressive conditions </w:t>
      </w:r>
      <w:r>
        <w:rPr>
          <w:rFonts w:ascii="Times New Roman" w:hAnsi="Times New Roman" w:cs="Times New Roman"/>
          <w:noProof/>
          <w:szCs w:val="21"/>
        </w:rPr>
        <w:t>(Habert &amp; Ouellet-Plamondon, 2016)</w:t>
      </w:r>
      <w:r>
        <w:rPr>
          <w:rFonts w:ascii="Times New Roman" w:hAnsi="Times New Roman" w:cs="Times New Roman"/>
          <w:szCs w:val="21"/>
        </w:rPr>
        <w:t xml:space="preserve">. For the 20 papers that adopted LCBs, </w:t>
      </w:r>
      <w:r>
        <w:rPr>
          <w:rFonts w:ascii="Times New Roman" w:hAnsi="Times New Roman" w:cs="Times New Roman"/>
        </w:rPr>
        <w:t xml:space="preserve">15 focused on alkali-activated binders (AABs), with other 5 papers studying the </w:t>
      </w:r>
      <w:r>
        <w:rPr>
          <w:rFonts w:ascii="Times New Roman" w:hAnsi="Times New Roman" w:cs="Times New Roman"/>
          <w:szCs w:val="21"/>
        </w:rPr>
        <w:t xml:space="preserve">calcium </w:t>
      </w:r>
      <w:proofErr w:type="spellStart"/>
      <w:r>
        <w:rPr>
          <w:rFonts w:ascii="Times New Roman" w:hAnsi="Times New Roman" w:cs="Times New Roman"/>
          <w:szCs w:val="21"/>
        </w:rPr>
        <w:t>sulfoaluminate</w:t>
      </w:r>
      <w:proofErr w:type="spellEnd"/>
      <w:r>
        <w:rPr>
          <w:rFonts w:ascii="Times New Roman" w:hAnsi="Times New Roman" w:cs="Times New Roman"/>
          <w:szCs w:val="21"/>
        </w:rPr>
        <w:t xml:space="preserve"> binders (</w:t>
      </w:r>
      <w:proofErr w:type="spellStart"/>
      <w:r>
        <w:rPr>
          <w:rFonts w:ascii="Times New Roman" w:hAnsi="Times New Roman" w:cs="Times New Roman"/>
        </w:rPr>
        <w:t>CSABs</w:t>
      </w:r>
      <w:proofErr w:type="spellEnd"/>
      <w:r>
        <w:rPr>
          <w:rFonts w:ascii="Times New Roman" w:hAnsi="Times New Roman" w:cs="Times New Roman"/>
        </w:rPr>
        <w:t xml:space="preserve">). The AABs are formed by alkali activation of </w:t>
      </w:r>
      <w:proofErr w:type="spellStart"/>
      <w:r>
        <w:rPr>
          <w:rFonts w:ascii="Times New Roman" w:hAnsi="Times New Roman" w:cs="Times New Roman"/>
        </w:rPr>
        <w:t>alumino</w:t>
      </w:r>
      <w:proofErr w:type="spellEnd"/>
      <w:r>
        <w:rPr>
          <w:rFonts w:ascii="Times New Roman" w:hAnsi="Times New Roman" w:cs="Times New Roman"/>
        </w:rPr>
        <w:t xml:space="preserve">-silicate raw material, which is termed, precursors. The commonly used precursors include metakaolin, fly ash, ground slags, and coal ashes, while the major activators comprise sodium or potassium hydroxides, silicates, and calcium hydroxides </w:t>
      </w:r>
      <w:r>
        <w:rPr>
          <w:rFonts w:ascii="Times New Roman" w:hAnsi="Times New Roman" w:cs="Times New Roman"/>
          <w:noProof/>
        </w:rPr>
        <w:t>(Yang et al., 2013)</w:t>
      </w:r>
      <w:r>
        <w:rPr>
          <w:rFonts w:ascii="Times New Roman" w:hAnsi="Times New Roman" w:cs="Times New Roman"/>
        </w:rPr>
        <w:t xml:space="preserve">. Compared with SCMs incorporated with binders or OPC, AABs transcend in obtaining superior performances in an aggressive working environment </w:t>
      </w:r>
      <w:r>
        <w:rPr>
          <w:rFonts w:ascii="Times New Roman" w:hAnsi="Times New Roman" w:cs="Times New Roman"/>
          <w:noProof/>
          <w:szCs w:val="21"/>
        </w:rPr>
        <w:t>(Gomes et al., 2019; Maddalena et al., 2018; Provis, 2018)</w:t>
      </w:r>
      <w:r>
        <w:rPr>
          <w:rFonts w:ascii="Times New Roman" w:hAnsi="Times New Roman" w:cs="Times New Roman"/>
        </w:rPr>
        <w:t xml:space="preserve">. </w:t>
      </w:r>
      <w:r>
        <w:rPr>
          <w:rFonts w:ascii="Times New Roman" w:hAnsi="Times New Roman" w:cs="Times New Roman"/>
          <w:szCs w:val="21"/>
        </w:rPr>
        <w:t xml:space="preserve">The CSABs were firstly developed </w:t>
      </w:r>
      <w:r w:rsidR="00A37D42">
        <w:rPr>
          <w:rFonts w:ascii="Times New Roman" w:hAnsi="Times New Roman" w:cs="Times New Roman" w:hint="eastAsia"/>
          <w:szCs w:val="21"/>
        </w:rPr>
        <w:t xml:space="preserve">for structural use </w:t>
      </w:r>
      <w:r>
        <w:rPr>
          <w:rFonts w:ascii="Times New Roman" w:hAnsi="Times New Roman" w:cs="Times New Roman"/>
          <w:szCs w:val="21"/>
        </w:rPr>
        <w:t xml:space="preserve">in China almost </w:t>
      </w:r>
      <w:r w:rsidR="00A37D42">
        <w:rPr>
          <w:rFonts w:ascii="Times New Roman" w:hAnsi="Times New Roman" w:cs="Times New Roman" w:hint="eastAsia"/>
          <w:szCs w:val="21"/>
        </w:rPr>
        <w:t>4</w:t>
      </w:r>
      <w:r>
        <w:rPr>
          <w:rFonts w:ascii="Times New Roman" w:hAnsi="Times New Roman" w:cs="Times New Roman"/>
          <w:szCs w:val="21"/>
        </w:rPr>
        <w:t xml:space="preserve">0 years ago (Zhang et al., 1999), known as the “third cement series.” </w:t>
      </w:r>
      <w:proofErr w:type="spellStart"/>
      <w:r>
        <w:rPr>
          <w:rFonts w:ascii="Times New Roman" w:hAnsi="Times New Roman" w:cs="Times New Roman"/>
          <w:szCs w:val="21"/>
        </w:rPr>
        <w:t>CSABs</w:t>
      </w:r>
      <w:proofErr w:type="spellEnd"/>
      <w:r>
        <w:rPr>
          <w:rFonts w:ascii="Times New Roman" w:hAnsi="Times New Roman" w:cs="Times New Roman"/>
          <w:szCs w:val="21"/>
        </w:rPr>
        <w:t xml:space="preserve"> contained </w:t>
      </w:r>
      <w:proofErr w:type="spellStart"/>
      <w:r>
        <w:rPr>
          <w:rFonts w:ascii="Times New Roman" w:hAnsi="Times New Roman" w:cs="Times New Roman"/>
          <w:szCs w:val="21"/>
        </w:rPr>
        <w:t>ye'elimite</w:t>
      </w:r>
      <w:proofErr w:type="spellEnd"/>
      <w:r>
        <w:rPr>
          <w:rFonts w:ascii="Times New Roman" w:hAnsi="Times New Roman" w:cs="Times New Roman"/>
          <w:szCs w:val="21"/>
        </w:rPr>
        <w:t xml:space="preserve"> (</w:t>
      </w:r>
      <w:proofErr w:type="spellStart"/>
      <w:r>
        <w:rPr>
          <w:rFonts w:ascii="Times New Roman" w:hAnsi="Times New Roman" w:cs="Times New Roman"/>
          <w:szCs w:val="21"/>
        </w:rPr>
        <w:t>C</w:t>
      </w:r>
      <w:r>
        <w:rPr>
          <w:rFonts w:ascii="Times New Roman" w:hAnsi="Times New Roman" w:cs="Times New Roman"/>
          <w:szCs w:val="21"/>
          <w:vertAlign w:val="subscript"/>
        </w:rPr>
        <w:t>4</w:t>
      </w:r>
      <w:r>
        <w:rPr>
          <w:rFonts w:ascii="Times New Roman" w:hAnsi="Times New Roman" w:cs="Times New Roman"/>
          <w:szCs w:val="21"/>
        </w:rPr>
        <w:t>A</w:t>
      </w:r>
      <w:r>
        <w:rPr>
          <w:rFonts w:ascii="Times New Roman" w:hAnsi="Times New Roman" w:cs="Times New Roman"/>
          <w:szCs w:val="21"/>
          <w:vertAlign w:val="subscript"/>
        </w:rPr>
        <w:t>3</w:t>
      </w:r>
      <w:proofErr w:type="spellEnd"/>
      <w:r>
        <w:rPr>
          <w:rFonts w:ascii="Times New Roman" w:hAnsi="Times New Roman" w:cs="Times New Roman"/>
          <w:szCs w:val="21"/>
        </w:rPr>
        <w:t>$) as a principal constituent (30–70%), while the main content in OPC was alite (C</w:t>
      </w:r>
      <w:r>
        <w:rPr>
          <w:rFonts w:ascii="Times New Roman" w:hAnsi="Times New Roman" w:cs="Times New Roman"/>
          <w:szCs w:val="21"/>
          <w:vertAlign w:val="subscript"/>
        </w:rPr>
        <w:t>3</w:t>
      </w:r>
      <w:r>
        <w:rPr>
          <w:rFonts w:ascii="Times New Roman" w:hAnsi="Times New Roman" w:cs="Times New Roman"/>
          <w:szCs w:val="21"/>
        </w:rPr>
        <w:t xml:space="preserve">S). The lower fusion temperature of </w:t>
      </w:r>
      <w:proofErr w:type="spellStart"/>
      <w:r>
        <w:rPr>
          <w:rFonts w:ascii="Times New Roman" w:hAnsi="Times New Roman" w:cs="Times New Roman"/>
          <w:szCs w:val="21"/>
        </w:rPr>
        <w:t>ye'elimite</w:t>
      </w:r>
      <w:proofErr w:type="spellEnd"/>
      <w:r>
        <w:rPr>
          <w:rFonts w:ascii="Times New Roman" w:hAnsi="Times New Roman" w:cs="Times New Roman"/>
          <w:szCs w:val="21"/>
        </w:rPr>
        <w:t xml:space="preserve"> (1250 ℃</w:t>
      </w:r>
      <w:r>
        <w:rPr>
          <w:rFonts w:ascii="Times New Roman" w:hAnsi="Times New Roman" w:cs="Times New Roman" w:hint="eastAsia"/>
          <w:szCs w:val="21"/>
        </w:rPr>
        <w:t>)</w:t>
      </w:r>
      <w:r>
        <w:rPr>
          <w:rFonts w:ascii="Times New Roman" w:hAnsi="Times New Roman" w:cs="Times New Roman"/>
          <w:szCs w:val="21"/>
        </w:rPr>
        <w:t xml:space="preserve"> than alite (1450 ℃) reduces a profuse amount of CO</w:t>
      </w:r>
      <w:r>
        <w:rPr>
          <w:rFonts w:ascii="Times New Roman" w:hAnsi="Times New Roman" w:cs="Times New Roman"/>
          <w:szCs w:val="21"/>
          <w:vertAlign w:val="subscript"/>
        </w:rPr>
        <w:t>2</w:t>
      </w:r>
      <w:r>
        <w:rPr>
          <w:rFonts w:ascii="Times New Roman" w:hAnsi="Times New Roman" w:cs="Times New Roman"/>
          <w:szCs w:val="21"/>
        </w:rPr>
        <w:t xml:space="preserve"> emissions </w:t>
      </w:r>
      <w:r>
        <w:rPr>
          <w:rFonts w:ascii="Times New Roman" w:hAnsi="Times New Roman" w:cs="Times New Roman"/>
          <w:noProof/>
          <w:szCs w:val="21"/>
        </w:rPr>
        <w:t>(Gartner, 2004; Hanein et al., 2016; Winnefeld, 2010)</w:t>
      </w:r>
      <w:r>
        <w:rPr>
          <w:rFonts w:ascii="Times New Roman" w:hAnsi="Times New Roman" w:cs="Times New Roman"/>
          <w:szCs w:val="21"/>
        </w:rPr>
        <w:t xml:space="preserve">. </w:t>
      </w:r>
    </w:p>
    <w:p w14:paraId="53F806EC" w14:textId="77777777" w:rsidR="00BF0919" w:rsidRDefault="00BF0919">
      <w:pPr>
        <w:pStyle w:val="ListParagraph"/>
        <w:ind w:firstLineChars="0" w:firstLine="0"/>
        <w:rPr>
          <w:rFonts w:ascii="Times New Roman" w:hAnsi="Times New Roman" w:cs="Times New Roman"/>
        </w:rPr>
      </w:pPr>
    </w:p>
    <w:p w14:paraId="6D2E7C0D" w14:textId="0DB0C0D4" w:rsidR="00BF0919" w:rsidRDefault="00BF0919">
      <w:pPr>
        <w:pStyle w:val="ListParagraph"/>
        <w:ind w:firstLineChars="0" w:firstLine="0"/>
        <w:rPr>
          <w:rFonts w:ascii="Times New Roman" w:hAnsi="Times New Roman" w:cs="Times New Roman"/>
          <w:szCs w:val="21"/>
        </w:rPr>
      </w:pPr>
      <w:r>
        <w:rPr>
          <w:rFonts w:ascii="Times New Roman" w:hAnsi="Times New Roman" w:cs="Times New Roman"/>
          <w:szCs w:val="21"/>
        </w:rPr>
        <w:t xml:space="preserve">Apart from the first two kinds of LCCMs, </w:t>
      </w:r>
      <w:r>
        <w:rPr>
          <w:rFonts w:ascii="Times New Roman" w:hAnsi="Times New Roman" w:cs="Times New Roman"/>
        </w:rPr>
        <w:t xml:space="preserve">16 </w:t>
      </w:r>
      <w:r>
        <w:rPr>
          <w:rFonts w:ascii="Times New Roman" w:hAnsi="Times New Roman" w:cs="Times New Roman" w:hint="eastAsia"/>
        </w:rPr>
        <w:t>of</w:t>
      </w:r>
      <w:r>
        <w:rPr>
          <w:rFonts w:ascii="Times New Roman" w:hAnsi="Times New Roman" w:cs="Times New Roman"/>
        </w:rPr>
        <w:t xml:space="preserve"> the 65 papers (25%) used recycled concrete aggregates (RCAs). </w:t>
      </w:r>
      <w:r>
        <w:rPr>
          <w:rFonts w:ascii="Times New Roman" w:hAnsi="Times New Roman" w:cs="Times New Roman"/>
          <w:szCs w:val="21"/>
        </w:rPr>
        <w:t xml:space="preserve">Compared with building materials produced directly from natural resource excavation and manufacturing, the RCAs are mainly made from recycled building debris and construction waste, leading to minor EC emissions </w:t>
      </w:r>
      <w:r>
        <w:rPr>
          <w:rFonts w:ascii="Times New Roman" w:hAnsi="Times New Roman" w:cs="Times New Roman"/>
          <w:noProof/>
          <w:szCs w:val="21"/>
        </w:rPr>
        <w:t>(Gao et al., 2001; Knoeri et al., 2013; Yang et al., 2021)</w:t>
      </w:r>
      <w:r>
        <w:rPr>
          <w:rFonts w:ascii="Times New Roman" w:hAnsi="Times New Roman" w:cs="Times New Roman"/>
          <w:szCs w:val="21"/>
        </w:rPr>
        <w:t>. Nevertheless, a few studies have pointed out that utilization of such aggregates have uncertain prospects in decreasing the life cycle EC emissions. This is mainly because additional treatment on RCAs and even more binders were required in order to mitigate the adverse binding impacts, which might compromise the CO2 savings compared to natural aggregates (Gravina and Xie, 2022).</w:t>
      </w:r>
    </w:p>
    <w:p w14:paraId="2B59E347" w14:textId="77777777" w:rsidR="00BF0919" w:rsidRDefault="00BF0919">
      <w:pPr>
        <w:rPr>
          <w:rFonts w:ascii="Times New Roman" w:hAnsi="Times New Roman" w:cs="Times New Roman"/>
          <w:b/>
          <w:bCs/>
          <w:szCs w:val="21"/>
        </w:rPr>
      </w:pPr>
    </w:p>
    <w:p w14:paraId="3270EBA4" w14:textId="14166EFF" w:rsidR="00BF0919" w:rsidRDefault="00BF0919">
      <w:pPr>
        <w:rPr>
          <w:rFonts w:ascii="Times New Roman" w:hAnsi="Times New Roman" w:cs="Times New Roman"/>
          <w:szCs w:val="21"/>
        </w:rPr>
      </w:pPr>
      <w:r>
        <w:rPr>
          <w:rFonts w:ascii="Times New Roman" w:hAnsi="Times New Roman" w:cs="Times New Roman"/>
          <w:szCs w:val="21"/>
        </w:rPr>
        <w:t>In addition, 8 of the 65</w:t>
      </w:r>
      <w:r w:rsidRPr="00292857">
        <w:rPr>
          <w:rFonts w:ascii="Times New Roman" w:hAnsi="Times New Roman" w:cs="Times New Roman"/>
          <w:szCs w:val="21"/>
        </w:rPr>
        <w:t xml:space="preserve"> papers (12%) </w:t>
      </w:r>
      <w:r>
        <w:rPr>
          <w:rFonts w:ascii="Times New Roman" w:hAnsi="Times New Roman" w:cs="Times New Roman"/>
          <w:szCs w:val="21"/>
        </w:rPr>
        <w:t>adopted h</w:t>
      </w:r>
      <w:r w:rsidRPr="00292857">
        <w:rPr>
          <w:rFonts w:ascii="Times New Roman" w:hAnsi="Times New Roman" w:cs="Times New Roman"/>
          <w:szCs w:val="21"/>
        </w:rPr>
        <w:t>igh strength concrete (</w:t>
      </w:r>
      <w:r>
        <w:rPr>
          <w:rFonts w:ascii="Times New Roman" w:hAnsi="Times New Roman" w:cs="Times New Roman"/>
          <w:szCs w:val="21"/>
        </w:rPr>
        <w:t>HSC). Although more CO</w:t>
      </w:r>
      <w:r w:rsidRPr="00292857">
        <w:rPr>
          <w:rFonts w:ascii="Times New Roman" w:hAnsi="Times New Roman" w:cs="Times New Roman"/>
          <w:szCs w:val="21"/>
          <w:vertAlign w:val="subscript"/>
        </w:rPr>
        <w:t xml:space="preserve">2 </w:t>
      </w:r>
      <w:r>
        <w:rPr>
          <w:rFonts w:ascii="Times New Roman" w:hAnsi="Times New Roman" w:cs="Times New Roman"/>
          <w:szCs w:val="21"/>
        </w:rPr>
        <w:t>is produced by using higher-strength concrete due to a higher emission factor</w:t>
      </w:r>
      <w:r>
        <w:rPr>
          <w:rFonts w:ascii="Times New Roman" w:hAnsi="Times New Roman" w:cs="Times New Roman"/>
          <w:szCs w:val="21"/>
          <w:vertAlign w:val="subscript"/>
        </w:rPr>
        <w:t xml:space="preserve"> </w:t>
      </w:r>
      <w:r>
        <w:rPr>
          <w:rFonts w:ascii="Times New Roman" w:hAnsi="Times New Roman" w:cs="Times New Roman"/>
          <w:noProof/>
          <w:szCs w:val="21"/>
        </w:rPr>
        <w:t>(Park et al., 2012)</w:t>
      </w:r>
      <w:r>
        <w:rPr>
          <w:rFonts w:ascii="Times New Roman" w:hAnsi="Times New Roman" w:cs="Times New Roman"/>
          <w:szCs w:val="21"/>
        </w:rPr>
        <w:t xml:space="preserve">, less amount of concrete can be used to fulfill the structural performance of buildings. Therefore, a reduced EC can be achieved with the reduced material usage </w:t>
      </w:r>
      <w:r>
        <w:rPr>
          <w:rFonts w:ascii="Times New Roman" w:hAnsi="Times New Roman" w:cs="Times New Roman"/>
          <w:noProof/>
          <w:szCs w:val="21"/>
        </w:rPr>
        <w:t>(Dong, 2018; Habert &amp; Roussel, 2009; Tae et al., 2011)</w:t>
      </w:r>
      <w:r>
        <w:rPr>
          <w:rFonts w:ascii="Times New Roman" w:hAnsi="Times New Roman" w:cs="Times New Roman"/>
          <w:szCs w:val="21"/>
        </w:rPr>
        <w:t xml:space="preserve">. </w:t>
      </w:r>
    </w:p>
    <w:p w14:paraId="310CCC0B" w14:textId="77777777" w:rsidR="00BF0919" w:rsidRDefault="00BF0919">
      <w:pPr>
        <w:rPr>
          <w:rFonts w:ascii="Times New Roman" w:hAnsi="Times New Roman" w:cs="Times New Roman"/>
          <w:szCs w:val="21"/>
        </w:rPr>
      </w:pPr>
    </w:p>
    <w:p w14:paraId="52FC9730" w14:textId="3BACEDC0" w:rsidR="00BF0919" w:rsidRPr="00505900" w:rsidRDefault="00BF0919">
      <w:pPr>
        <w:pStyle w:val="Heading3"/>
      </w:pPr>
      <w:r w:rsidRPr="00505900">
        <w:t>3.</w:t>
      </w:r>
      <w:r>
        <w:t>2</w:t>
      </w:r>
      <w:r w:rsidRPr="00505900">
        <w:t>.2</w:t>
      </w:r>
      <w:r>
        <w:t>.</w:t>
      </w:r>
      <w:r w:rsidRPr="00505900">
        <w:t xml:space="preserve"> </w:t>
      </w:r>
      <w:r>
        <w:t>In the m</w:t>
      </w:r>
      <w:r w:rsidRPr="00DF3739">
        <w:t>ethodology</w:t>
      </w:r>
      <w:r w:rsidRPr="00505900">
        <w:t xml:space="preserve"> dimension </w:t>
      </w:r>
    </w:p>
    <w:p w14:paraId="3F40FA6F" w14:textId="77777777" w:rsidR="00BF0919" w:rsidRDefault="00BF0919">
      <w:pPr>
        <w:rPr>
          <w:rFonts w:ascii="Times New Roman" w:hAnsi="Times New Roman" w:cs="Times New Roman"/>
          <w:color w:val="000000" w:themeColor="text1"/>
        </w:rPr>
      </w:pPr>
      <w:r>
        <w:rPr>
          <w:rFonts w:ascii="Times New Roman" w:hAnsi="Times New Roman" w:cs="Times New Roman"/>
          <w:color w:val="000000" w:themeColor="text1"/>
        </w:rPr>
        <w:t>In terms of the LCA methods adopted by the 65 selected papers, 44 (68%) of them us</w:t>
      </w:r>
      <w:r>
        <w:rPr>
          <w:rFonts w:ascii="Times New Roman" w:hAnsi="Times New Roman" w:cs="Times New Roman" w:hint="eastAsia"/>
          <w:color w:val="000000" w:themeColor="text1"/>
        </w:rPr>
        <w:t>ed</w:t>
      </w:r>
      <w:r>
        <w:rPr>
          <w:rFonts w:ascii="Times New Roman" w:hAnsi="Times New Roman" w:cs="Times New Roman"/>
          <w:color w:val="000000" w:themeColor="text1"/>
        </w:rPr>
        <w:t xml:space="preserve"> a </w:t>
      </w:r>
      <w:proofErr w:type="gramStart"/>
      <w:r>
        <w:rPr>
          <w:rFonts w:ascii="Times New Roman" w:hAnsi="Times New Roman" w:cs="Times New Roman"/>
          <w:color w:val="000000" w:themeColor="text1"/>
        </w:rPr>
        <w:t>process-based</w:t>
      </w:r>
      <w:proofErr w:type="gramEnd"/>
      <w:r>
        <w:rPr>
          <w:rFonts w:ascii="Times New Roman" w:hAnsi="Times New Roman" w:cs="Times New Roman"/>
          <w:color w:val="000000" w:themeColor="text1"/>
        </w:rPr>
        <w:t xml:space="preserve"> LCA method. Only 4 papers selected hybrid LCA methods for calculating the EC. This result demonstrates that the process-based method is considered to be a more suitable method for conducting case-based EC assessments compared with others. </w:t>
      </w:r>
    </w:p>
    <w:p w14:paraId="3AD440AD" w14:textId="77777777" w:rsidR="00BF0919" w:rsidRDefault="00BF0919">
      <w:pPr>
        <w:rPr>
          <w:rFonts w:ascii="Times New Roman" w:hAnsi="Times New Roman" w:cs="Times New Roman"/>
          <w:color w:val="000000" w:themeColor="text1"/>
        </w:rPr>
      </w:pPr>
    </w:p>
    <w:p w14:paraId="7BC20A34" w14:textId="77777777" w:rsidR="00BF0919" w:rsidRDefault="00BF0919">
      <w:pPr>
        <w:rPr>
          <w:rFonts w:ascii="Times New Roman" w:hAnsi="Times New Roman" w:cs="Times New Roman"/>
          <w:color w:val="000000" w:themeColor="text1"/>
        </w:rPr>
      </w:pPr>
      <w:r>
        <w:rPr>
          <w:rFonts w:ascii="Times New Roman" w:hAnsi="Times New Roman" w:cs="Times New Roman"/>
          <w:color w:val="000000" w:themeColor="text1"/>
        </w:rPr>
        <w:t>In terms of the unit of analysis, as high as 77% of the papers reported the EC of the cases using per unit of material. Only 8% of them reported the EC using 1 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floor area. This result shows that the majority of the LCCMs papers concerned more about the impacts of EC reduction potentials on the materials instead of the whole buildings. </w:t>
      </w:r>
    </w:p>
    <w:p w14:paraId="5E0E7988" w14:textId="77777777" w:rsidR="00BF0919" w:rsidRDefault="00BF0919">
      <w:pPr>
        <w:rPr>
          <w:rFonts w:ascii="Times New Roman" w:hAnsi="Times New Roman" w:cs="Times New Roman"/>
          <w:color w:val="000000" w:themeColor="text1"/>
        </w:rPr>
      </w:pPr>
    </w:p>
    <w:p w14:paraId="6C592DFF" w14:textId="7BCC4924" w:rsidR="00BF0919" w:rsidRDefault="00BF0919">
      <w:pPr>
        <w:rPr>
          <w:rFonts w:ascii="Times New Roman" w:hAnsi="Times New Roman" w:cs="Times New Roman"/>
          <w:color w:val="000000" w:themeColor="text1"/>
        </w:rPr>
      </w:pPr>
      <w:r>
        <w:rPr>
          <w:rFonts w:ascii="Times New Roman" w:hAnsi="Times New Roman" w:cs="Times New Roman"/>
          <w:color w:val="000000" w:themeColor="text1"/>
        </w:rPr>
        <w:t>Regarding the research methods, a total of 19 papers (29%) conducted compressive strength</w:t>
      </w:r>
      <w:r w:rsidDel="000847A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testing on proposed samples and 10 papers (15%) conducted durability tests on proposed specimens. Only 5 papers tested the splitting strength. Amongst the 19 papers, 12 of them chose at least one testing method other than compressive strength testing. In particular, 3 papers conducted all the three testing methods (compressive strength, splitting strength and durability), i.e., Farahani et al. (2017), Nanayakkara et al. (2021), and </w:t>
      </w:r>
      <w:r>
        <w:rPr>
          <w:rFonts w:ascii="Times New Roman" w:hAnsi="Times New Roman" w:cs="Times New Roman"/>
          <w:noProof/>
          <w:color w:val="000000" w:themeColor="text1"/>
        </w:rPr>
        <w:t>Guo et al. (2018)</w:t>
      </w:r>
      <w:r>
        <w:rPr>
          <w:rFonts w:ascii="Times New Roman" w:hAnsi="Times New Roman" w:cs="Times New Roman"/>
          <w:color w:val="000000" w:themeColor="text1"/>
        </w:rPr>
        <w:t>. It appears that more testing</w:t>
      </w:r>
      <w:r w:rsidRPr="00DF3739">
        <w:rPr>
          <w:rFonts w:ascii="Times New Roman" w:hAnsi="Times New Roman" w:cs="Times New Roman"/>
          <w:color w:val="000000" w:themeColor="text1"/>
        </w:rPr>
        <w:t xml:space="preserve"> on proposed low-carbon products should be </w:t>
      </w:r>
      <w:r>
        <w:rPr>
          <w:rFonts w:ascii="Times New Roman" w:hAnsi="Times New Roman" w:cs="Times New Roman"/>
          <w:color w:val="000000" w:themeColor="text1"/>
        </w:rPr>
        <w:t>performed</w:t>
      </w:r>
      <w:r w:rsidRPr="00DF3739" w:rsidDel="00FA00DA">
        <w:rPr>
          <w:rFonts w:ascii="Times New Roman" w:hAnsi="Times New Roman" w:cs="Times New Roman"/>
          <w:color w:val="000000" w:themeColor="text1"/>
        </w:rPr>
        <w:t xml:space="preserve"> </w:t>
      </w:r>
      <w:r w:rsidRPr="00DF3739">
        <w:rPr>
          <w:rFonts w:ascii="Times New Roman" w:hAnsi="Times New Roman" w:cs="Times New Roman"/>
          <w:szCs w:val="21"/>
        </w:rPr>
        <w:t xml:space="preserve">prior to their industrial-scale applications. </w:t>
      </w:r>
      <w:r w:rsidRPr="00DF3739">
        <w:rPr>
          <w:rFonts w:ascii="Times New Roman" w:hAnsi="Times New Roman" w:cs="Times New Roman"/>
          <w:color w:val="000000" w:themeColor="text1"/>
        </w:rPr>
        <w:t>A</w:t>
      </w:r>
      <w:r>
        <w:rPr>
          <w:rFonts w:ascii="Times New Roman" w:hAnsi="Times New Roman" w:cs="Times New Roman"/>
          <w:color w:val="000000" w:themeColor="text1"/>
        </w:rPr>
        <w:t xml:space="preserve">ll the papers selected by this review implemented scenarios analysis on the EC reduction potential of each type of material. </w:t>
      </w:r>
    </w:p>
    <w:p w14:paraId="34467670" w14:textId="77777777" w:rsidR="00BF0919" w:rsidRDefault="00BF0919">
      <w:pPr>
        <w:rPr>
          <w:rFonts w:ascii="Times New Roman" w:hAnsi="Times New Roman" w:cs="Times New Roman"/>
          <w:color w:val="000000" w:themeColor="text1"/>
        </w:rPr>
      </w:pPr>
    </w:p>
    <w:p w14:paraId="0E3A889F" w14:textId="77777777" w:rsidR="00BF0919" w:rsidRDefault="00BF0919" w:rsidP="00566292">
      <w:pPr>
        <w:rPr>
          <w:rFonts w:ascii="Times New Roman" w:hAnsi="Times New Roman" w:cs="Times New Roman"/>
          <w:color w:val="000000" w:themeColor="text1"/>
        </w:rPr>
      </w:pPr>
      <w:r>
        <w:rPr>
          <w:rFonts w:ascii="Times New Roman" w:hAnsi="Times New Roman" w:cs="Times New Roman" w:hint="eastAsia"/>
          <w:color w:val="000000" w:themeColor="text1"/>
        </w:rPr>
        <w:t>I</w:t>
      </w:r>
      <w:r>
        <w:rPr>
          <w:rFonts w:ascii="Times New Roman" w:hAnsi="Times New Roman" w:cs="Times New Roman"/>
          <w:color w:val="000000" w:themeColor="text1"/>
        </w:rPr>
        <w:t xml:space="preserve">n respect of sources of emissions, all the papers studied the EC emission involved in by-products, while 14 of them (22%) did not pay attention to the emissions during transport or construction processes. </w:t>
      </w:r>
    </w:p>
    <w:p w14:paraId="7697FEBF" w14:textId="77777777" w:rsidR="00BF0919" w:rsidRDefault="00BF0919" w:rsidP="00566292">
      <w:pPr>
        <w:rPr>
          <w:rFonts w:ascii="Times New Roman" w:hAnsi="Times New Roman" w:cs="Times New Roman"/>
          <w:color w:val="000000" w:themeColor="text1"/>
        </w:rPr>
      </w:pPr>
    </w:p>
    <w:p w14:paraId="4014CE10" w14:textId="671EEE79" w:rsidR="00BF0919" w:rsidRPr="00DF3739" w:rsidRDefault="00BF0919" w:rsidP="00DF3739">
      <w:pPr>
        <w:pStyle w:val="Heading3"/>
      </w:pPr>
      <w:r w:rsidRPr="00566292">
        <w:t>3.</w:t>
      </w:r>
      <w:r>
        <w:t>2</w:t>
      </w:r>
      <w:r w:rsidRPr="00566292">
        <w:t>.3</w:t>
      </w:r>
      <w:r>
        <w:t>.</w:t>
      </w:r>
      <w:r w:rsidRPr="00566292">
        <w:t xml:space="preserve"> </w:t>
      </w:r>
      <w:r>
        <w:t>In the v</w:t>
      </w:r>
      <w:r w:rsidRPr="00566292">
        <w:t>alue dimension</w:t>
      </w:r>
    </w:p>
    <w:p w14:paraId="79320C35" w14:textId="644FF86B" w:rsidR="00BF0919" w:rsidRDefault="00BF0919">
      <w:pPr>
        <w:rPr>
          <w:rFonts w:ascii="Times New Roman" w:hAnsi="Times New Roman" w:cs="Times New Roman"/>
          <w:color w:val="000000" w:themeColor="text1"/>
        </w:rPr>
      </w:pPr>
      <w:r>
        <w:rPr>
          <w:rFonts w:ascii="Times New Roman" w:hAnsi="Times New Roman" w:cs="Times New Roman" w:hint="eastAsia"/>
          <w:color w:val="000000" w:themeColor="text1"/>
        </w:rPr>
        <w:t>Consi</w:t>
      </w:r>
      <w:r>
        <w:rPr>
          <w:rFonts w:ascii="Times New Roman" w:hAnsi="Times New Roman" w:cs="Times New Roman"/>
          <w:color w:val="000000" w:themeColor="text1"/>
        </w:rPr>
        <w:t xml:space="preserve">dering that some papers adopted two or more types of LCCMs, 128 cases have been collected from the 65 papers. Therefore, each case represents the EC reduction potential of a single LCCM strategy. The results showed that 45 cases (35%) achieved an EC reduction between [0%, 20%] and a similar number of cases showed that adopting a LCCM helped to reduce EC between 20% and 40%. Only 12 cases claimed that more than 60% EC reduction could be achieved. However, it should be noted that the adoption of LCCMs could not always lead to a reduced EC. For example, 6 cases (5%) indicated that the EC </w:t>
      </w:r>
      <w:r>
        <w:rPr>
          <w:rFonts w:ascii="Times New Roman" w:hAnsi="Times New Roman" w:cs="Times New Roman" w:hint="eastAsia"/>
          <w:color w:val="000000" w:themeColor="text1"/>
        </w:rPr>
        <w:t>in</w:t>
      </w:r>
      <w:r>
        <w:rPr>
          <w:rFonts w:ascii="Times New Roman" w:hAnsi="Times New Roman" w:cs="Times New Roman"/>
          <w:color w:val="000000" w:themeColor="text1"/>
        </w:rPr>
        <w:t xml:space="preserve">creased by up to 20%. Furthermore, 2 cases showed that EC could even increase by between 20% and 40% (Fig.5). The 8 cases are all collected from papers studying the use of RCAs. </w:t>
      </w:r>
    </w:p>
    <w:p w14:paraId="100B49A3" w14:textId="77777777" w:rsidR="00BF0919" w:rsidRPr="00DF3739" w:rsidRDefault="00BF0919">
      <w:pPr>
        <w:rPr>
          <w:i/>
          <w:color w:val="000000" w:themeColor="text1"/>
        </w:rPr>
      </w:pPr>
    </w:p>
    <w:p w14:paraId="1C14B9C6" w14:textId="6AFA13A9" w:rsidR="00BF0919" w:rsidRDefault="00BF0919">
      <w:pPr>
        <w:jc w:val="center"/>
        <w:rPr>
          <w:rFonts w:ascii="Times New Roman" w:hAnsi="Times New Roman" w:cs="Times New Roman"/>
          <w:color w:val="000000" w:themeColor="text1"/>
        </w:rPr>
      </w:pPr>
      <w:r>
        <w:object w:dxaOrig="6741" w:dyaOrig="3461" w14:anchorId="26BB2667">
          <v:shape id="_x0000_i1029" type="#_x0000_t75" style="width:340.05pt;height:175pt" o:ole="">
            <v:imagedata r:id="rId13" o:title=""/>
          </v:shape>
          <o:OLEObject Type="Embed" ProgID="Visio.Drawing.15" ShapeID="_x0000_i1029" DrawAspect="Content" ObjectID="_1775568119" r:id="rId14"/>
        </w:object>
      </w:r>
    </w:p>
    <w:p w14:paraId="6227A650" w14:textId="2F36848C" w:rsidR="00BF0919" w:rsidRPr="00AF0F57" w:rsidRDefault="00BF0919">
      <w:pPr>
        <w:jc w:val="center"/>
        <w:rPr>
          <w:rFonts w:ascii="Times New Roman" w:hAnsi="Times New Roman" w:cs="Times New Roman"/>
          <w:color w:val="000000" w:themeColor="text1"/>
          <w:sz w:val="20"/>
          <w:szCs w:val="20"/>
        </w:rPr>
      </w:pPr>
      <w:r w:rsidRPr="00AF0F57">
        <w:rPr>
          <w:rFonts w:ascii="Times New Roman" w:hAnsi="Times New Roman" w:cs="Times New Roman"/>
          <w:b/>
          <w:bCs/>
          <w:color w:val="000000" w:themeColor="text1"/>
          <w:sz w:val="20"/>
          <w:szCs w:val="20"/>
        </w:rPr>
        <w:t>Fig.5</w:t>
      </w:r>
      <w:r w:rsidRPr="00AF0F57">
        <w:rPr>
          <w:rFonts w:ascii="Times New Roman" w:hAnsi="Times New Roman" w:cs="Times New Roman"/>
          <w:color w:val="000000" w:themeColor="text1"/>
          <w:sz w:val="20"/>
          <w:szCs w:val="20"/>
        </w:rPr>
        <w:t xml:space="preserve"> Distribution of embodied carbon reduction potentials between low-carbon concrete materials</w:t>
      </w:r>
    </w:p>
    <w:p w14:paraId="26242C8C" w14:textId="77777777" w:rsidR="00BF0919" w:rsidRDefault="00BF0919">
      <w:pPr>
        <w:rPr>
          <w:rFonts w:ascii="Times New Roman" w:hAnsi="Times New Roman" w:cs="Times New Roman"/>
          <w:szCs w:val="21"/>
        </w:rPr>
      </w:pPr>
    </w:p>
    <w:p w14:paraId="54CDB666"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Supplementary cementitious materials</w:t>
      </w:r>
    </w:p>
    <w:p w14:paraId="72DB4217" w14:textId="08870EA4" w:rsidR="00BF0919" w:rsidRDefault="00BF0919">
      <w:pPr>
        <w:rPr>
          <w:rFonts w:ascii="Times New Roman" w:hAnsi="Times New Roman" w:cs="Times New Roman"/>
          <w:szCs w:val="21"/>
        </w:rPr>
      </w:pPr>
      <w:r>
        <w:rPr>
          <w:rFonts w:ascii="Times New Roman" w:hAnsi="Times New Roman" w:cs="Times New Roman"/>
          <w:szCs w:val="21"/>
        </w:rPr>
        <w:t xml:space="preserve">The SCMs were the mostly studied LCCMs. For example, </w:t>
      </w:r>
      <w:r>
        <w:rPr>
          <w:rFonts w:ascii="Times New Roman" w:hAnsi="Times New Roman" w:cs="Times New Roman"/>
          <w:noProof/>
          <w:szCs w:val="21"/>
        </w:rPr>
        <w:t>Hossain et al. (2017)</w:t>
      </w:r>
      <w:r>
        <w:rPr>
          <w:rFonts w:ascii="Times New Roman" w:hAnsi="Times New Roman" w:cs="Times New Roman"/>
          <w:szCs w:val="21"/>
        </w:rPr>
        <w:t xml:space="preserve"> reported that 20% replacement with FA leads to 17% less total CO</w:t>
      </w:r>
      <w:r w:rsidRPr="0072419B">
        <w:rPr>
          <w:rFonts w:ascii="Times New Roman" w:hAnsi="Times New Roman" w:cs="Times New Roman"/>
          <w:szCs w:val="21"/>
          <w:vertAlign w:val="subscript"/>
        </w:rPr>
        <w:t>2</w:t>
      </w:r>
      <w:r>
        <w:rPr>
          <w:rFonts w:ascii="Times New Roman" w:hAnsi="Times New Roman" w:cs="Times New Roman"/>
          <w:szCs w:val="21"/>
        </w:rPr>
        <w:t xml:space="preserve"> emission in </w:t>
      </w:r>
      <w:proofErr w:type="gramStart"/>
      <w:r>
        <w:rPr>
          <w:rFonts w:ascii="Times New Roman" w:hAnsi="Times New Roman" w:cs="Times New Roman"/>
          <w:szCs w:val="21"/>
        </w:rPr>
        <w:t>an</w:t>
      </w:r>
      <w:proofErr w:type="gramEnd"/>
      <w:r>
        <w:rPr>
          <w:rFonts w:ascii="Times New Roman" w:hAnsi="Times New Roman" w:cs="Times New Roman"/>
          <w:szCs w:val="21"/>
        </w:rPr>
        <w:t xml:space="preserve"> unit amount of binders. Flower and Sanjayan (2007) reported that </w:t>
      </w:r>
      <w:r>
        <w:rPr>
          <w:rFonts w:ascii="Times New Roman" w:hAnsi="Times New Roman" w:cs="Times New Roman" w:hint="eastAsia"/>
          <w:szCs w:val="21"/>
        </w:rPr>
        <w:t>repl</w:t>
      </w:r>
      <w:r>
        <w:rPr>
          <w:rFonts w:ascii="Times New Roman" w:hAnsi="Times New Roman" w:cs="Times New Roman"/>
          <w:szCs w:val="21"/>
        </w:rPr>
        <w:t xml:space="preserve">acing 25% OPC with FA would lead to 13%-15% </w:t>
      </w:r>
      <w:r>
        <w:rPr>
          <w:rFonts w:ascii="Times New Roman" w:hAnsi="Times New Roman" w:cs="Times New Roman" w:hint="eastAsia"/>
          <w:szCs w:val="21"/>
        </w:rPr>
        <w:t>less</w:t>
      </w:r>
      <w:r>
        <w:rPr>
          <w:rFonts w:ascii="Times New Roman" w:hAnsi="Times New Roman" w:cs="Times New Roman"/>
          <w:szCs w:val="21"/>
        </w:rPr>
        <w:t xml:space="preserve"> EC in concrete. S</w:t>
      </w:r>
      <w:r w:rsidRPr="00A35595">
        <w:rPr>
          <w:rFonts w:ascii="Times New Roman" w:hAnsi="Times New Roman" w:cs="Times New Roman"/>
          <w:szCs w:val="21"/>
        </w:rPr>
        <w:t>imilar studies have been conducted</w:t>
      </w:r>
      <w:r>
        <w:rPr>
          <w:rFonts w:ascii="Times New Roman" w:hAnsi="Times New Roman" w:cs="Times New Roman"/>
          <w:szCs w:val="21"/>
        </w:rPr>
        <w:t>, in which based on replacement ratios of OPC by 25% to 35%</w:t>
      </w:r>
      <w:r w:rsidRPr="00904101">
        <w:rPr>
          <w:rFonts w:ascii="Times New Roman" w:hAnsi="Times New Roman" w:cs="Times New Roman"/>
          <w:szCs w:val="21"/>
        </w:rPr>
        <w:t xml:space="preserve"> </w:t>
      </w:r>
      <w:r>
        <w:rPr>
          <w:rFonts w:ascii="Times New Roman" w:hAnsi="Times New Roman" w:cs="Times New Roman"/>
          <w:szCs w:val="21"/>
        </w:rPr>
        <w:t xml:space="preserve">of FA reduces the EC emissions of concrete by 18% to 27% </w:t>
      </w:r>
      <w:r>
        <w:rPr>
          <w:rFonts w:ascii="Times New Roman" w:hAnsi="Times New Roman" w:cs="Times New Roman"/>
          <w:noProof/>
          <w:szCs w:val="21"/>
        </w:rPr>
        <w:t>(Lawania et al., 2015; Tait &amp; Cheung, 2016; Vargas &amp; Halog, 2015)</w:t>
      </w:r>
      <w:r>
        <w:rPr>
          <w:rFonts w:ascii="Times New Roman" w:hAnsi="Times New Roman" w:cs="Times New Roman"/>
          <w:szCs w:val="21"/>
        </w:rPr>
        <w:t xml:space="preserve">. Identified highest replacement ratio of FA was achieved in studies by </w:t>
      </w:r>
      <w:r>
        <w:rPr>
          <w:rFonts w:ascii="Times New Roman" w:hAnsi="Times New Roman" w:cs="Times New Roman"/>
          <w:noProof/>
          <w:szCs w:val="21"/>
        </w:rPr>
        <w:t>Zhao et al. (2022)</w:t>
      </w:r>
      <w:r>
        <w:rPr>
          <w:rFonts w:ascii="Times New Roman" w:hAnsi="Times New Roman" w:cs="Times New Roman"/>
          <w:szCs w:val="21"/>
        </w:rPr>
        <w:t>. They concluded that</w:t>
      </w:r>
      <w:r>
        <w:t xml:space="preserve"> </w:t>
      </w:r>
      <w:r>
        <w:rPr>
          <w:rFonts w:ascii="Times New Roman" w:hAnsi="Times New Roman" w:cs="Times New Roman"/>
          <w:szCs w:val="21"/>
        </w:rPr>
        <w:t>if 50 % OPC in concrete was replaced by FA, the emissions of CO</w:t>
      </w:r>
      <w:r>
        <w:rPr>
          <w:rFonts w:ascii="Times New Roman" w:hAnsi="Times New Roman" w:cs="Times New Roman"/>
          <w:szCs w:val="21"/>
          <w:vertAlign w:val="subscript"/>
        </w:rPr>
        <w:t xml:space="preserve">2 </w:t>
      </w:r>
      <w:r>
        <w:rPr>
          <w:rFonts w:ascii="Times New Roman" w:hAnsi="Times New Roman" w:cs="Times New Roman"/>
          <w:szCs w:val="21"/>
        </w:rPr>
        <w:t xml:space="preserve">would be reduced by about 41.4%. As for GGBS, Crossin (2015) </w:t>
      </w:r>
      <w:r>
        <w:rPr>
          <w:rFonts w:ascii="Times New Roman" w:hAnsi="Times New Roman" w:cs="Times New Roman" w:hint="eastAsia"/>
          <w:szCs w:val="21"/>
        </w:rPr>
        <w:t>reported</w:t>
      </w:r>
      <w:r>
        <w:rPr>
          <w:rFonts w:ascii="Times New Roman" w:hAnsi="Times New Roman" w:cs="Times New Roman"/>
          <w:szCs w:val="21"/>
        </w:rPr>
        <w:t xml:space="preserve"> that a maximum reduction of 47.5% CO</w:t>
      </w:r>
      <w:r>
        <w:rPr>
          <w:rFonts w:ascii="Times New Roman" w:hAnsi="Times New Roman" w:cs="Times New Roman"/>
          <w:szCs w:val="21"/>
          <w:vertAlign w:val="subscript"/>
        </w:rPr>
        <w:t>2</w:t>
      </w:r>
      <w:r>
        <w:rPr>
          <w:rFonts w:ascii="Times New Roman" w:hAnsi="Times New Roman" w:cs="Times New Roman"/>
          <w:szCs w:val="21"/>
        </w:rPr>
        <w:t xml:space="preserve"> emissions could be achieved by replacing 70% of OPC with GGBS in concretes.</w:t>
      </w:r>
      <w:r>
        <w:rPr>
          <w:rFonts w:ascii="Times New Roman" w:hAnsi="Times New Roman" w:cs="Times New Roman"/>
        </w:rPr>
        <w:t xml:space="preserve"> </w:t>
      </w:r>
      <w:r>
        <w:rPr>
          <w:rFonts w:ascii="Times New Roman" w:hAnsi="Times New Roman" w:cs="Times New Roman"/>
          <w:noProof/>
        </w:rPr>
        <w:t>Gan, Chan, et al. (2017)</w:t>
      </w:r>
      <w:r>
        <w:rPr>
          <w:rFonts w:ascii="Times New Roman" w:hAnsi="Times New Roman" w:cs="Times New Roman"/>
        </w:rPr>
        <w:t xml:space="preserve"> identified that using 75% GGBS in major building components such as walls and slabs could achieve around 10%-20% EC reduction for a 60-story office building. Similar studies in a 40-story concrete residential building that 13 % - 28 % EC reduction was found when employing 35 % - 75 % GGBS for replacement (Gan et al., 2018). </w:t>
      </w:r>
      <w:r>
        <w:rPr>
          <w:rFonts w:ascii="Times New Roman" w:hAnsi="Times New Roman" w:cs="Times New Roman"/>
          <w:szCs w:val="21"/>
        </w:rPr>
        <w:t xml:space="preserve">In terms of SF, </w:t>
      </w:r>
      <w:r>
        <w:rPr>
          <w:rFonts w:ascii="Times New Roman" w:hAnsi="Times New Roman" w:cs="Times New Roman"/>
          <w:noProof/>
          <w:szCs w:val="21"/>
        </w:rPr>
        <w:t>Zhang et al. (2019)</w:t>
      </w:r>
      <w:r>
        <w:rPr>
          <w:rFonts w:ascii="Times New Roman" w:hAnsi="Times New Roman" w:cs="Times New Roman"/>
          <w:szCs w:val="21"/>
        </w:rPr>
        <w:t xml:space="preserve"> designed a comparative study on different SCMs, including FA and SF</w:t>
      </w:r>
      <w:r>
        <w:rPr>
          <w:rFonts w:ascii="Times New Roman" w:hAnsi="Times New Roman" w:cs="Times New Roman" w:hint="eastAsia"/>
          <w:szCs w:val="21"/>
        </w:rPr>
        <w:t>.</w:t>
      </w:r>
      <w:r>
        <w:rPr>
          <w:rFonts w:ascii="Times New Roman" w:hAnsi="Times New Roman" w:cs="Times New Roman"/>
          <w:szCs w:val="21"/>
        </w:rPr>
        <w:t xml:space="preserve"> Around 4% EC reduction could be achieved with an SF replacement ratio of 5%. Kumar et al. (2022) suggested that concrete mixes combined with 10% and 15% of SF could lead to 8.1% and 12.1% less total CO</w:t>
      </w:r>
      <w:r>
        <w:rPr>
          <w:rFonts w:ascii="Times New Roman" w:hAnsi="Times New Roman" w:cs="Times New Roman"/>
          <w:szCs w:val="21"/>
          <w:vertAlign w:val="subscript"/>
        </w:rPr>
        <w:t>2</w:t>
      </w:r>
      <w:r>
        <w:rPr>
          <w:rFonts w:ascii="Times New Roman" w:hAnsi="Times New Roman" w:cs="Times New Roman"/>
          <w:szCs w:val="21"/>
        </w:rPr>
        <w:t xml:space="preserve"> emissions. The EC reduction potential regarding each type of SCMs, along with the replacement ratio, is presented in Fig.6.</w:t>
      </w:r>
    </w:p>
    <w:p w14:paraId="608360CB" w14:textId="77777777" w:rsidR="00BF0919" w:rsidRDefault="00BF0919">
      <w:pPr>
        <w:rPr>
          <w:rFonts w:ascii="Times New Roman" w:hAnsi="Times New Roman" w:cs="Times New Roman"/>
          <w:szCs w:val="21"/>
        </w:rPr>
      </w:pPr>
    </w:p>
    <w:p w14:paraId="2B253014" w14:textId="40495EA1" w:rsidR="00BF0919" w:rsidRDefault="00BF0919" w:rsidP="00505900">
      <w:pPr>
        <w:rPr>
          <w:rFonts w:ascii="Times New Roman" w:hAnsi="Times New Roman" w:cs="Times New Roman"/>
          <w:szCs w:val="21"/>
        </w:rPr>
      </w:pPr>
      <w:r>
        <w:rPr>
          <w:rFonts w:ascii="Times New Roman" w:hAnsi="Times New Roman" w:cs="Times New Roman"/>
          <w:szCs w:val="21"/>
        </w:rPr>
        <w:t>Apparently, SCMs types, as well as the replacement ratio to OPC, could affect the final EC reduction potentials.</w:t>
      </w:r>
      <w:r>
        <w:rPr>
          <w:rFonts w:ascii="Times New Roman" w:hAnsi="Times New Roman" w:cs="Times New Roman" w:hint="eastAsia"/>
          <w:szCs w:val="21"/>
        </w:rPr>
        <w:t xml:space="preserve"> </w:t>
      </w:r>
      <w:r>
        <w:rPr>
          <w:rFonts w:ascii="Times New Roman" w:hAnsi="Times New Roman" w:cs="Times New Roman"/>
        </w:rPr>
        <w:t>In order t</w:t>
      </w:r>
      <w:r>
        <w:rPr>
          <w:rFonts w:ascii="Times New Roman" w:hAnsi="Times New Roman" w:cs="Times New Roman"/>
          <w:szCs w:val="21"/>
        </w:rPr>
        <w:t xml:space="preserve">o better characterize the EC reduction potential of each SCM considering the influence of their OPC replacement ratio, a reducing-replacing factor (RRF) is introduced. </w:t>
      </w:r>
    </w:p>
    <w:p w14:paraId="4CB22B0F" w14:textId="77777777" w:rsidR="00BF0919" w:rsidRPr="006D09A4" w:rsidRDefault="00BF0919" w:rsidP="00505900">
      <w:pPr>
        <w:jc w:val="right"/>
        <w:rPr>
          <w:rFonts w:ascii="Times New Roman" w:hAnsi="Times New Roman" w:cs="Times New Roman"/>
          <w:szCs w:val="21"/>
        </w:rPr>
      </w:pPr>
      <m:oMath>
        <m:r>
          <w:rPr>
            <w:rFonts w:ascii="Cambria Math" w:hAnsi="Cambria Math" w:cs="Times New Roman"/>
            <w:szCs w:val="21"/>
          </w:rPr>
          <m:t>RRF=</m:t>
        </m:r>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SCM</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EC</m:t>
            </m:r>
          </m:sub>
        </m:sSub>
      </m:oMath>
      <w:r>
        <w:rPr>
          <w:rFonts w:ascii="Times New Roman" w:hAnsi="Times New Roman" w:cs="Times New Roman" w:hint="eastAsia"/>
          <w:szCs w:val="21"/>
        </w:rPr>
        <w:t xml:space="preserve"> </w:t>
      </w:r>
      <w:r>
        <w:rPr>
          <w:rFonts w:ascii="Times New Roman" w:hAnsi="Times New Roman" w:cs="Times New Roman"/>
          <w:szCs w:val="21"/>
        </w:rPr>
        <w:t xml:space="preserve">                                                         </w:t>
      </w:r>
      <w:r>
        <w:rPr>
          <w:rFonts w:ascii="Times New Roman" w:hAnsi="Times New Roman" w:cs="Times New Roman" w:hint="eastAsia"/>
          <w:szCs w:val="21"/>
        </w:rPr>
        <w:t>(</w:t>
      </w:r>
      <w:r>
        <w:rPr>
          <w:rFonts w:ascii="Times New Roman" w:hAnsi="Times New Roman" w:cs="Times New Roman"/>
          <w:szCs w:val="21"/>
        </w:rPr>
        <w:t>1)</w:t>
      </w:r>
    </w:p>
    <w:p w14:paraId="6A2AB656" w14:textId="77777777" w:rsidR="00BF0919" w:rsidRDefault="00BF0919">
      <w:pPr>
        <w:rPr>
          <w:rFonts w:ascii="Times New Roman" w:hAnsi="Times New Roman" w:cs="Times New Roman"/>
          <w:szCs w:val="21"/>
        </w:rPr>
      </w:pPr>
      <w:r>
        <w:rPr>
          <w:rFonts w:ascii="Times New Roman" w:hAnsi="Times New Roman" w:cs="Times New Roman"/>
          <w:szCs w:val="21"/>
        </w:rPr>
        <w:t>In which the R</w:t>
      </w:r>
      <w:r w:rsidRPr="006D09A4">
        <w:rPr>
          <w:rFonts w:ascii="Times New Roman" w:hAnsi="Times New Roman" w:cs="Times New Roman"/>
          <w:szCs w:val="21"/>
          <w:vertAlign w:val="subscript"/>
        </w:rPr>
        <w:t>SCM</w:t>
      </w:r>
      <w:r>
        <w:rPr>
          <w:rFonts w:ascii="Times New Roman" w:hAnsi="Times New Roman" w:cs="Times New Roman"/>
          <w:szCs w:val="21"/>
          <w:vertAlign w:val="subscript"/>
        </w:rPr>
        <w:t xml:space="preserve"> </w:t>
      </w:r>
      <w:r>
        <w:rPr>
          <w:rFonts w:ascii="Times New Roman" w:hAnsi="Times New Roman" w:cs="Times New Roman"/>
          <w:szCs w:val="21"/>
        </w:rPr>
        <w:t>is the replacement ratio of OPC by SCMs (%); R</w:t>
      </w:r>
      <w:r w:rsidRPr="006D09A4">
        <w:rPr>
          <w:rFonts w:ascii="Times New Roman" w:hAnsi="Times New Roman" w:cs="Times New Roman"/>
          <w:szCs w:val="21"/>
          <w:vertAlign w:val="subscript"/>
        </w:rPr>
        <w:t>EC</w:t>
      </w:r>
      <w:r>
        <w:rPr>
          <w:rFonts w:ascii="Times New Roman" w:hAnsi="Times New Roman" w:cs="Times New Roman"/>
          <w:szCs w:val="21"/>
        </w:rPr>
        <w:t xml:space="preserve"> is the corresponding EC reduction potential. </w:t>
      </w:r>
    </w:p>
    <w:p w14:paraId="03A203EC" w14:textId="77777777" w:rsidR="00BF0919" w:rsidRPr="0032643E" w:rsidRDefault="00BF0919">
      <w:pPr>
        <w:rPr>
          <w:rFonts w:ascii="Times New Roman" w:hAnsi="Times New Roman" w:cs="Times New Roman"/>
        </w:rPr>
      </w:pPr>
    </w:p>
    <w:p w14:paraId="797D1FD1" w14:textId="59C0110A" w:rsidR="00BF0919" w:rsidRDefault="00BF0919" w:rsidP="00505900">
      <w:pPr>
        <w:jc w:val="center"/>
        <w:rPr>
          <w:rFonts w:ascii="Times New Roman" w:hAnsi="Times New Roman" w:cs="Times New Roman"/>
          <w:szCs w:val="21"/>
        </w:rPr>
      </w:pPr>
      <w:r w:rsidRPr="00F27E40">
        <w:lastRenderedPageBreak/>
        <w:t xml:space="preserve"> </w:t>
      </w:r>
      <w:r>
        <w:object w:dxaOrig="6011" w:dyaOrig="4181" w14:anchorId="110A8081">
          <v:shape id="_x0000_i1030" type="#_x0000_t75" style="width:297.95pt;height:210.45pt" o:ole="">
            <v:imagedata r:id="rId15" o:title=""/>
          </v:shape>
          <o:OLEObject Type="Embed" ProgID="Visio.Drawing.15" ShapeID="_x0000_i1030" DrawAspect="Content" ObjectID="_1775568120" r:id="rId16"/>
        </w:object>
      </w:r>
    </w:p>
    <w:p w14:paraId="503A7FC6" w14:textId="081B9123" w:rsidR="00BF0919" w:rsidRDefault="00BF0919" w:rsidP="00505900">
      <w:pPr>
        <w:pStyle w:val="Caption"/>
        <w:jc w:val="center"/>
        <w:rPr>
          <w:rFonts w:ascii="Times New Roman" w:hAnsi="Times New Roman" w:cs="Times New Roman"/>
        </w:rPr>
      </w:pPr>
      <w:r>
        <w:rPr>
          <w:rFonts w:ascii="Times New Roman" w:hAnsi="Times New Roman" w:cs="Times New Roman"/>
          <w:b/>
          <w:bCs/>
        </w:rPr>
        <w:t>Fig. 6</w:t>
      </w:r>
      <w:r>
        <w:rPr>
          <w:rFonts w:ascii="Times New Roman" w:hAnsi="Times New Roman" w:cs="Times New Roman"/>
        </w:rPr>
        <w:t xml:space="preserve"> Embodied carbon reduction potentials between </w:t>
      </w:r>
      <w:bookmarkStart w:id="11" w:name="_Hlk101911700"/>
      <w:r>
        <w:rPr>
          <w:rFonts w:ascii="Times New Roman" w:hAnsi="Times New Roman" w:cs="Times New Roman"/>
        </w:rPr>
        <w:t>s</w:t>
      </w:r>
      <w:r w:rsidRPr="00F01B70">
        <w:rPr>
          <w:rFonts w:ascii="Times New Roman" w:hAnsi="Times New Roman" w:cs="Times New Roman"/>
        </w:rPr>
        <w:t>upplementary cementitious materials</w:t>
      </w:r>
      <w:bookmarkEnd w:id="11"/>
      <w:r>
        <w:rPr>
          <w:rFonts w:ascii="Times New Roman" w:hAnsi="Times New Roman" w:cs="Times New Roman"/>
        </w:rPr>
        <w:t>. Notes: FA (Fly ash), GGBS (</w:t>
      </w:r>
      <w:r w:rsidRPr="0042746E">
        <w:rPr>
          <w:rFonts w:ascii="Times New Roman" w:hAnsi="Times New Roman" w:cs="Times New Roman"/>
        </w:rPr>
        <w:t>Ground granulated blast-furnace slag</w:t>
      </w:r>
      <w:r>
        <w:rPr>
          <w:rFonts w:ascii="Times New Roman" w:hAnsi="Times New Roman" w:cs="Times New Roman"/>
        </w:rPr>
        <w:t>), SF (</w:t>
      </w:r>
      <w:r w:rsidRPr="0042746E">
        <w:rPr>
          <w:rFonts w:ascii="Times New Roman" w:hAnsi="Times New Roman" w:cs="Times New Roman"/>
        </w:rPr>
        <w:t>Silica fume</w:t>
      </w:r>
      <w:r>
        <w:rPr>
          <w:rFonts w:ascii="Times New Roman" w:hAnsi="Times New Roman" w:cs="Times New Roman"/>
        </w:rPr>
        <w:t>), RRF (R</w:t>
      </w:r>
      <w:r w:rsidRPr="0042746E">
        <w:rPr>
          <w:rFonts w:ascii="Times New Roman" w:hAnsi="Times New Roman" w:cs="Times New Roman"/>
        </w:rPr>
        <w:t>educing-replacing factor</w:t>
      </w:r>
      <w:r>
        <w:rPr>
          <w:rFonts w:ascii="Times New Roman" w:hAnsi="Times New Roman" w:cs="Times New Roman"/>
        </w:rPr>
        <w:t>)</w:t>
      </w:r>
    </w:p>
    <w:p w14:paraId="6F44A9AA" w14:textId="77777777" w:rsidR="00BF0919" w:rsidRPr="00DF3739" w:rsidRDefault="00BF0919" w:rsidP="00DF3739"/>
    <w:p w14:paraId="382DDDB0" w14:textId="77777777" w:rsidR="00BF0919" w:rsidRDefault="00BF0919" w:rsidP="00505900">
      <w:pPr>
        <w:rPr>
          <w:rFonts w:ascii="Times New Roman" w:hAnsi="Times New Roman" w:cs="Times New Roman"/>
          <w:szCs w:val="21"/>
        </w:rPr>
      </w:pPr>
      <w:r>
        <w:rPr>
          <w:rFonts w:ascii="Times New Roman" w:hAnsi="Times New Roman" w:cs="Times New Roman"/>
          <w:szCs w:val="21"/>
        </w:rPr>
        <w:t>The average EC reduction potential of using SCMs is calculated as 27.4%. Amongst the selected cases, the replacement ratio for utilizing FA as an SCM is between 50% to 15%, while the mean rate is 31.1%. The reduction potential for FA is predominantly between 41.4% and 9.8% and averages 23.8%. The replacement ratio of GGBS is in general higher than that of FA, ranging from 25% to 75% with a mean value of 51.7%</w:t>
      </w:r>
      <w:r>
        <w:rPr>
          <w:rFonts w:ascii="Times New Roman" w:hAnsi="Times New Roman" w:cs="Times New Roman" w:hint="eastAsia"/>
          <w:szCs w:val="21"/>
        </w:rPr>
        <w:t>.</w:t>
      </w:r>
      <w:r>
        <w:rPr>
          <w:rFonts w:ascii="Times New Roman" w:hAnsi="Times New Roman" w:cs="Times New Roman"/>
          <w:szCs w:val="21"/>
        </w:rPr>
        <w:t xml:space="preserve"> GGBS thus achieved a carbon reduction potential as high as 68.8% in these cases with a mean value of 34.6%. However, only 5% to 15% of SF has been replaced, showing a lower EC reduction potential (averaged 3.9%). T</w:t>
      </w:r>
      <w:r>
        <w:rPr>
          <w:rFonts w:ascii="Times New Roman" w:hAnsi="Times New Roman" w:cs="Times New Roman" w:hint="eastAsia"/>
          <w:szCs w:val="21"/>
        </w:rPr>
        <w:t>h</w:t>
      </w:r>
      <w:r>
        <w:rPr>
          <w:rFonts w:ascii="Times New Roman" w:hAnsi="Times New Roman" w:cs="Times New Roman"/>
          <w:szCs w:val="21"/>
        </w:rPr>
        <w:t xml:space="preserve">e mean RRFs for FA, GGBS, and SF are </w:t>
      </w:r>
      <w:r>
        <w:rPr>
          <w:rFonts w:ascii="Times New Roman" w:hAnsi="Times New Roman" w:cs="Times New Roman" w:hint="eastAsia"/>
          <w:szCs w:val="21"/>
        </w:rPr>
        <w:t>c</w:t>
      </w:r>
      <w:r>
        <w:rPr>
          <w:rFonts w:ascii="Times New Roman" w:hAnsi="Times New Roman" w:cs="Times New Roman"/>
          <w:szCs w:val="21"/>
        </w:rPr>
        <w:t xml:space="preserve">alculated as 0.77, 0.67, and 0.8, respectively. </w:t>
      </w:r>
      <w:r w:rsidRPr="00DF3739">
        <w:rPr>
          <w:rFonts w:ascii="Times New Roman" w:hAnsi="Times New Roman" w:cs="Times New Roman"/>
          <w:szCs w:val="21"/>
        </w:rPr>
        <w:t xml:space="preserve">On average, the </w:t>
      </w:r>
      <w:r>
        <w:rPr>
          <w:rFonts w:ascii="Times New Roman" w:hAnsi="Times New Roman" w:cs="Times New Roman"/>
          <w:szCs w:val="21"/>
        </w:rPr>
        <w:t>RRF</w:t>
      </w:r>
      <w:r w:rsidRPr="00DF3739">
        <w:rPr>
          <w:rFonts w:ascii="Times New Roman" w:hAnsi="Times New Roman" w:cs="Times New Roman"/>
          <w:szCs w:val="21"/>
        </w:rPr>
        <w:t xml:space="preserve"> of FA is 14.9% higher than GGBS, which</w:t>
      </w:r>
      <w:r>
        <w:rPr>
          <w:rFonts w:ascii="Times New Roman" w:hAnsi="Times New Roman" w:cs="Times New Roman"/>
          <w:szCs w:val="21"/>
        </w:rPr>
        <w:t xml:space="preserve"> indicates</w:t>
      </w:r>
      <w:r w:rsidRPr="00DF3739">
        <w:rPr>
          <w:rFonts w:ascii="Times New Roman" w:hAnsi="Times New Roman" w:cs="Times New Roman"/>
          <w:szCs w:val="21"/>
        </w:rPr>
        <w:t xml:space="preserve"> that under the same replacement ratio, utilizing GGBS would achieve less EC reduction compared to FA</w:t>
      </w:r>
      <w:r w:rsidRPr="00505900">
        <w:rPr>
          <w:rFonts w:ascii="Times New Roman" w:hAnsi="Times New Roman" w:cs="Times New Roman"/>
          <w:szCs w:val="21"/>
        </w:rPr>
        <w:t>.</w:t>
      </w:r>
      <w:r>
        <w:rPr>
          <w:rFonts w:ascii="Times New Roman" w:hAnsi="Times New Roman" w:cs="Times New Roman"/>
          <w:szCs w:val="21"/>
        </w:rPr>
        <w:t xml:space="preserve"> </w:t>
      </w:r>
    </w:p>
    <w:p w14:paraId="529E7763" w14:textId="77777777" w:rsidR="00BF0919" w:rsidRDefault="00BF0919" w:rsidP="00505900">
      <w:pPr>
        <w:rPr>
          <w:rFonts w:ascii="Times New Roman" w:hAnsi="Times New Roman" w:cs="Times New Roman"/>
          <w:szCs w:val="21"/>
        </w:rPr>
      </w:pPr>
    </w:p>
    <w:p w14:paraId="2456F1A0"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Low carbon binders</w:t>
      </w:r>
    </w:p>
    <w:p w14:paraId="368046BD" w14:textId="29E4327E" w:rsidR="00BF0919" w:rsidRDefault="00BF0919">
      <w:pPr>
        <w:rPr>
          <w:rFonts w:ascii="Times New Roman" w:hAnsi="Times New Roman" w:cs="Times New Roman"/>
          <w:szCs w:val="21"/>
        </w:rPr>
      </w:pPr>
      <w:r>
        <w:rPr>
          <w:rFonts w:ascii="Times New Roman" w:hAnsi="Times New Roman" w:cs="Times New Roman"/>
          <w:szCs w:val="21"/>
        </w:rPr>
        <w:t xml:space="preserve">The EC reduction potentials of LCBs are, on average, the highest amongst all identified LCCMs. For all the selected cases studying AABs, the EC reduction potentials were measured compared with OPC concretes. </w:t>
      </w:r>
      <w:r>
        <w:rPr>
          <w:rFonts w:ascii="Times New Roman" w:hAnsi="Times New Roman" w:cs="Times New Roman"/>
          <w:noProof/>
          <w:szCs w:val="21"/>
        </w:rPr>
        <w:t>McLellan et al. (2011)</w:t>
      </w:r>
      <w:r>
        <w:rPr>
          <w:rFonts w:ascii="Times New Roman" w:hAnsi="Times New Roman" w:cs="Times New Roman"/>
          <w:szCs w:val="21"/>
        </w:rPr>
        <w:t xml:space="preserve"> examined the life cycle impact of AABs based on typical Australian feedstocks, and they reported that around 44%-64% of CO</w:t>
      </w:r>
      <w:r>
        <w:rPr>
          <w:rFonts w:ascii="Times New Roman" w:hAnsi="Times New Roman" w:cs="Times New Roman"/>
          <w:szCs w:val="21"/>
          <w:vertAlign w:val="subscript"/>
        </w:rPr>
        <w:t xml:space="preserve">2 </w:t>
      </w:r>
      <w:r>
        <w:rPr>
          <w:rFonts w:ascii="Times New Roman" w:hAnsi="Times New Roman" w:cs="Times New Roman"/>
          <w:szCs w:val="21"/>
        </w:rPr>
        <w:t xml:space="preserve">could be alleviated for AABs concrete when compared to OPC concrete. Similarly, </w:t>
      </w:r>
      <w:r>
        <w:rPr>
          <w:rFonts w:ascii="Times New Roman" w:hAnsi="Times New Roman" w:cs="Times New Roman"/>
          <w:noProof/>
          <w:szCs w:val="21"/>
        </w:rPr>
        <w:t>Abbas et al. (2020)</w:t>
      </w:r>
      <w:r>
        <w:rPr>
          <w:rFonts w:ascii="Times New Roman" w:hAnsi="Times New Roman" w:cs="Times New Roman"/>
          <w:szCs w:val="21"/>
        </w:rPr>
        <w:t xml:space="preserve"> have conducted an LCA study on AABs concrete and interpreted that up to 61% CO</w:t>
      </w:r>
      <w:r>
        <w:rPr>
          <w:rFonts w:ascii="Times New Roman" w:hAnsi="Times New Roman" w:cs="Times New Roman"/>
          <w:szCs w:val="21"/>
          <w:vertAlign w:val="subscript"/>
        </w:rPr>
        <w:t>2</w:t>
      </w:r>
      <w:r>
        <w:rPr>
          <w:rFonts w:ascii="Times New Roman" w:hAnsi="Times New Roman" w:cs="Times New Roman"/>
          <w:szCs w:val="21"/>
        </w:rPr>
        <w:t xml:space="preserve"> could be mitigated by comparing AABs to OPC concrete of the same strength grade. Meanwhile, a </w:t>
      </w:r>
      <w:r w:rsidR="003613DB">
        <w:rPr>
          <w:rFonts w:ascii="Times New Roman" w:hAnsi="Times New Roman" w:cs="Times New Roman"/>
          <w:szCs w:val="21"/>
        </w:rPr>
        <w:t>higher</w:t>
      </w:r>
      <w:r w:rsidR="003613DB" w:rsidRPr="005F4EC5">
        <w:rPr>
          <w:rFonts w:ascii="Times New Roman" w:hAnsi="Times New Roman" w:cs="Times New Roman"/>
          <w:szCs w:val="21"/>
        </w:rPr>
        <w:t xml:space="preserve"> </w:t>
      </w:r>
      <w:r w:rsidR="003613DB">
        <w:rPr>
          <w:rFonts w:ascii="Times New Roman" w:hAnsi="Times New Roman" w:cs="Times New Roman"/>
          <w:szCs w:val="21"/>
        </w:rPr>
        <w:t>CO</w:t>
      </w:r>
      <w:r w:rsidR="003613DB">
        <w:rPr>
          <w:rFonts w:ascii="Times New Roman" w:hAnsi="Times New Roman" w:cs="Times New Roman"/>
          <w:szCs w:val="21"/>
          <w:vertAlign w:val="subscript"/>
        </w:rPr>
        <w:t>2</w:t>
      </w:r>
      <w:r w:rsidR="003613DB">
        <w:rPr>
          <w:rFonts w:ascii="Times New Roman" w:hAnsi="Times New Roman" w:cs="Times New Roman"/>
          <w:szCs w:val="21"/>
        </w:rPr>
        <w:t xml:space="preserve"> emission reduction</w:t>
      </w:r>
      <w:r>
        <w:rPr>
          <w:rFonts w:ascii="Times New Roman" w:hAnsi="Times New Roman" w:cs="Times New Roman"/>
          <w:szCs w:val="21"/>
        </w:rPr>
        <w:t xml:space="preserve">, reaching 72.7%, could be achieved in AABs concretes according to </w:t>
      </w:r>
      <w:r>
        <w:rPr>
          <w:rFonts w:ascii="Times New Roman" w:hAnsi="Times New Roman" w:cs="Times New Roman"/>
          <w:noProof/>
          <w:szCs w:val="21"/>
        </w:rPr>
        <w:t>Salas et al. (2018)</w:t>
      </w:r>
      <w:r>
        <w:rPr>
          <w:rFonts w:ascii="Times New Roman" w:hAnsi="Times New Roman" w:cs="Times New Roman"/>
          <w:szCs w:val="21"/>
        </w:rPr>
        <w:t xml:space="preserve">. The highest EC reduction potential was achieved by </w:t>
      </w:r>
      <w:r>
        <w:rPr>
          <w:rFonts w:ascii="Times New Roman" w:hAnsi="Times New Roman" w:cs="Times New Roman"/>
          <w:noProof/>
          <w:szCs w:val="21"/>
        </w:rPr>
        <w:t>Batuecas et al. (2021)</w:t>
      </w:r>
      <w:r>
        <w:rPr>
          <w:rFonts w:ascii="Times New Roman" w:hAnsi="Times New Roman" w:cs="Times New Roman"/>
          <w:szCs w:val="21"/>
        </w:rPr>
        <w:t>. They conducted a comparative LCA study on AABs and presented that around 79% of CO</w:t>
      </w:r>
      <w:r>
        <w:rPr>
          <w:rFonts w:ascii="Times New Roman" w:hAnsi="Times New Roman" w:cs="Times New Roman"/>
          <w:szCs w:val="21"/>
          <w:vertAlign w:val="subscript"/>
        </w:rPr>
        <w:t>2</w:t>
      </w:r>
      <w:r>
        <w:rPr>
          <w:rFonts w:ascii="Times New Roman" w:hAnsi="Times New Roman" w:cs="Times New Roman"/>
          <w:szCs w:val="21"/>
        </w:rPr>
        <w:t xml:space="preserve"> could be reduced using AABs compared to OPC, disregarding transportation emissions. Other cases have also described the promising EC reduction potential of AABs, despite the fact that different </w:t>
      </w:r>
      <w:r>
        <w:rPr>
          <w:rFonts w:ascii="Times New Roman" w:hAnsi="Times New Roman" w:cs="Times New Roman"/>
        </w:rPr>
        <w:t xml:space="preserve">precursors and activators were used </w:t>
      </w:r>
      <w:r>
        <w:rPr>
          <w:rFonts w:ascii="Times New Roman" w:hAnsi="Times New Roman" w:cs="Times New Roman"/>
          <w:noProof/>
        </w:rPr>
        <w:t>(Islam et al., 2015; Rintala et al., 2021; Yao et al., 2019)</w:t>
      </w:r>
      <w:r>
        <w:rPr>
          <w:rFonts w:ascii="Times New Roman" w:hAnsi="Times New Roman" w:cs="Times New Roman"/>
        </w:rPr>
        <w:t xml:space="preserve">. Concerning all selected cases focusing on CSABs, the EC reduction potentials were measured compared with OPC. For example, </w:t>
      </w:r>
      <w:r>
        <w:rPr>
          <w:rFonts w:ascii="Times New Roman" w:hAnsi="Times New Roman" w:cs="Times New Roman"/>
          <w:noProof/>
          <w:szCs w:val="21"/>
        </w:rPr>
        <w:t xml:space="preserve">Hanein et </w:t>
      </w:r>
      <w:r>
        <w:rPr>
          <w:rFonts w:ascii="Times New Roman" w:hAnsi="Times New Roman" w:cs="Times New Roman"/>
          <w:noProof/>
          <w:szCs w:val="21"/>
        </w:rPr>
        <w:lastRenderedPageBreak/>
        <w:t>al. (2018)</w:t>
      </w:r>
      <w:r>
        <w:rPr>
          <w:rFonts w:ascii="Times New Roman" w:hAnsi="Times New Roman" w:cs="Times New Roman"/>
          <w:szCs w:val="21"/>
        </w:rPr>
        <w:t xml:space="preserve"> conducted a simplified LCA study on CSABs regarding the different sources of sulfur, and they reported that all formulations easily achieved a 25%-35% CO</w:t>
      </w:r>
      <w:r w:rsidRPr="0072419B">
        <w:rPr>
          <w:rFonts w:ascii="Times New Roman" w:hAnsi="Times New Roman" w:cs="Times New Roman"/>
          <w:szCs w:val="21"/>
          <w:vertAlign w:val="subscript"/>
        </w:rPr>
        <w:t>2</w:t>
      </w:r>
      <w:r>
        <w:rPr>
          <w:rFonts w:ascii="Times New Roman" w:hAnsi="Times New Roman" w:cs="Times New Roman"/>
          <w:szCs w:val="21"/>
        </w:rPr>
        <w:t xml:space="preserve"> reduction compared to OPC. Considering different energy sources and raw material manufacturing </w:t>
      </w:r>
      <w:r w:rsidR="003613DB">
        <w:rPr>
          <w:rFonts w:ascii="Times New Roman" w:hAnsi="Times New Roman" w:cs="Times New Roman"/>
          <w:szCs w:val="21"/>
        </w:rPr>
        <w:t>sites, Galvez</w:t>
      </w:r>
      <w:r>
        <w:rPr>
          <w:rFonts w:ascii="Times New Roman" w:hAnsi="Times New Roman" w:cs="Times New Roman"/>
          <w:noProof/>
          <w:szCs w:val="21"/>
        </w:rPr>
        <w:t>-Martos et al. (2021)</w:t>
      </w:r>
      <w:r>
        <w:rPr>
          <w:rFonts w:ascii="Times New Roman" w:hAnsi="Times New Roman" w:cs="Times New Roman"/>
          <w:szCs w:val="21"/>
        </w:rPr>
        <w:t xml:space="preserve"> and </w:t>
      </w:r>
      <w:r>
        <w:rPr>
          <w:rFonts w:ascii="Times New Roman" w:hAnsi="Times New Roman" w:cs="Times New Roman" w:hint="eastAsia"/>
          <w:noProof/>
          <w:szCs w:val="21"/>
        </w:rPr>
        <w:t>Galvez</w:t>
      </w:r>
      <w:r>
        <w:rPr>
          <w:rFonts w:ascii="Times New Roman" w:hAnsi="Times New Roman" w:cs="Times New Roman" w:hint="eastAsia"/>
          <w:noProof/>
          <w:szCs w:val="21"/>
        </w:rPr>
        <w:t>‐</w:t>
      </w:r>
      <w:r>
        <w:rPr>
          <w:rFonts w:ascii="Times New Roman" w:hAnsi="Times New Roman" w:cs="Times New Roman" w:hint="eastAsia"/>
          <w:noProof/>
          <w:szCs w:val="21"/>
        </w:rPr>
        <w:t>Martos et al. (2020)</w:t>
      </w:r>
      <w:r>
        <w:rPr>
          <w:rFonts w:ascii="Times New Roman" w:hAnsi="Times New Roman" w:cs="Times New Roman"/>
          <w:szCs w:val="21"/>
        </w:rPr>
        <w:t xml:space="preserve"> have proposed a novel CSABs production method and, in such a method, around 30% to 34% reduction in CO</w:t>
      </w:r>
      <w:r>
        <w:rPr>
          <w:rFonts w:ascii="Times New Roman" w:hAnsi="Times New Roman" w:cs="Times New Roman"/>
          <w:szCs w:val="21"/>
          <w:vertAlign w:val="subscript"/>
        </w:rPr>
        <w:t>2</w:t>
      </w:r>
      <w:r>
        <w:rPr>
          <w:rFonts w:ascii="Times New Roman" w:hAnsi="Times New Roman" w:cs="Times New Roman"/>
          <w:szCs w:val="21"/>
        </w:rPr>
        <w:t xml:space="preserve"> emission could be achieved for both formulations. The highest EC reduction potential was achieved by Nie et al. (2022) as the proposed CSABs binders reduced </w:t>
      </w:r>
      <w:r w:rsidR="003613DB">
        <w:rPr>
          <w:rFonts w:ascii="Times New Roman" w:hAnsi="Times New Roman" w:cs="Times New Roman"/>
          <w:szCs w:val="21"/>
        </w:rPr>
        <w:t>CO</w:t>
      </w:r>
      <w:r w:rsidR="003613DB">
        <w:rPr>
          <w:rFonts w:ascii="Times New Roman" w:hAnsi="Times New Roman" w:cs="Times New Roman"/>
          <w:szCs w:val="21"/>
          <w:vertAlign w:val="subscript"/>
        </w:rPr>
        <w:t xml:space="preserve">2 </w:t>
      </w:r>
      <w:r w:rsidR="003613DB">
        <w:rPr>
          <w:rFonts w:ascii="Times New Roman" w:hAnsi="Times New Roman" w:cs="Times New Roman"/>
          <w:szCs w:val="21"/>
        </w:rPr>
        <w:t>by</w:t>
      </w:r>
      <w:r>
        <w:rPr>
          <w:rFonts w:ascii="Times New Roman" w:hAnsi="Times New Roman" w:cs="Times New Roman"/>
          <w:szCs w:val="21"/>
        </w:rPr>
        <w:t xml:space="preserve"> 52% compared with OPC. </w:t>
      </w:r>
    </w:p>
    <w:p w14:paraId="7226A2AA" w14:textId="77777777" w:rsidR="00BF0919" w:rsidRDefault="00BF0919">
      <w:pPr>
        <w:rPr>
          <w:rFonts w:ascii="Times New Roman" w:hAnsi="Times New Roman" w:cs="Times New Roman"/>
          <w:szCs w:val="21"/>
        </w:rPr>
      </w:pPr>
    </w:p>
    <w:p w14:paraId="4F3B4413" w14:textId="279241DC" w:rsidR="00BF0919" w:rsidRDefault="00BF0919" w:rsidP="00A35595">
      <w:pPr>
        <w:jc w:val="center"/>
      </w:pPr>
      <w:r>
        <w:object w:dxaOrig="5431" w:dyaOrig="4380" w14:anchorId="572454DD">
          <v:shape id="_x0000_i1031" type="#_x0000_t75" style="width:271.95pt;height:221pt" o:ole="">
            <v:imagedata r:id="rId17" o:title=""/>
          </v:shape>
          <o:OLEObject Type="Embed" ProgID="Visio.Drawing.15" ShapeID="_x0000_i1031" DrawAspect="Content" ObjectID="_1775568121" r:id="rId18"/>
        </w:object>
      </w:r>
    </w:p>
    <w:p w14:paraId="2FAF7188" w14:textId="56DFAE47" w:rsidR="00BF0919" w:rsidRPr="00AF0F57" w:rsidRDefault="00BF0919" w:rsidP="00DF3739">
      <w:pPr>
        <w:jc w:val="center"/>
        <w:rPr>
          <w:rFonts w:ascii="Times New Roman" w:hAnsi="Times New Roman" w:cs="Times New Roman"/>
          <w:sz w:val="20"/>
          <w:szCs w:val="20"/>
        </w:rPr>
      </w:pPr>
      <w:r w:rsidRPr="00AF0F57">
        <w:rPr>
          <w:rFonts w:ascii="Times New Roman" w:hAnsi="Times New Roman" w:cs="Times New Roman"/>
          <w:b/>
          <w:bCs/>
          <w:sz w:val="20"/>
          <w:szCs w:val="20"/>
        </w:rPr>
        <w:t>Fig. 7</w:t>
      </w:r>
      <w:r w:rsidRPr="00AF0F57">
        <w:rPr>
          <w:rFonts w:ascii="Times New Roman" w:hAnsi="Times New Roman" w:cs="Times New Roman"/>
          <w:sz w:val="20"/>
          <w:szCs w:val="20"/>
        </w:rPr>
        <w:t xml:space="preserve"> Embodied carbon reduction potentials between low-carbon binders. Note: </w:t>
      </w:r>
      <w:proofErr w:type="spellStart"/>
      <w:r w:rsidRPr="00AF0F57">
        <w:rPr>
          <w:rFonts w:ascii="Times New Roman" w:hAnsi="Times New Roman" w:cs="Times New Roman"/>
          <w:sz w:val="20"/>
          <w:szCs w:val="20"/>
        </w:rPr>
        <w:t>AABs</w:t>
      </w:r>
      <w:proofErr w:type="spellEnd"/>
      <w:r w:rsidRPr="00AF0F57">
        <w:rPr>
          <w:rFonts w:ascii="Times New Roman" w:hAnsi="Times New Roman" w:cs="Times New Roman"/>
          <w:sz w:val="20"/>
          <w:szCs w:val="20"/>
        </w:rPr>
        <w:t xml:space="preserve"> (Alkali-activated binders), </w:t>
      </w:r>
      <w:proofErr w:type="spellStart"/>
      <w:r w:rsidRPr="00AF0F57">
        <w:rPr>
          <w:rFonts w:ascii="Times New Roman" w:hAnsi="Times New Roman" w:cs="Times New Roman"/>
          <w:sz w:val="20"/>
          <w:szCs w:val="20"/>
        </w:rPr>
        <w:t>CSABs</w:t>
      </w:r>
      <w:proofErr w:type="spellEnd"/>
      <w:r w:rsidRPr="00AF0F57">
        <w:rPr>
          <w:rFonts w:ascii="Times New Roman" w:hAnsi="Times New Roman" w:cs="Times New Roman"/>
          <w:sz w:val="20"/>
          <w:szCs w:val="20"/>
        </w:rPr>
        <w:t xml:space="preserve"> (Calcium-</w:t>
      </w:r>
      <w:proofErr w:type="spellStart"/>
      <w:r w:rsidRPr="00AF0F57">
        <w:rPr>
          <w:rFonts w:ascii="Times New Roman" w:hAnsi="Times New Roman" w:cs="Times New Roman"/>
          <w:sz w:val="20"/>
          <w:szCs w:val="20"/>
        </w:rPr>
        <w:t>sulfoaluminate</w:t>
      </w:r>
      <w:proofErr w:type="spellEnd"/>
      <w:r w:rsidRPr="00AF0F57">
        <w:rPr>
          <w:rFonts w:ascii="Times New Roman" w:hAnsi="Times New Roman" w:cs="Times New Roman"/>
          <w:sz w:val="20"/>
          <w:szCs w:val="20"/>
        </w:rPr>
        <w:t xml:space="preserve"> binders)</w:t>
      </w:r>
    </w:p>
    <w:p w14:paraId="78A34612" w14:textId="77777777" w:rsidR="00BF0919" w:rsidRDefault="00BF0919">
      <w:pPr>
        <w:rPr>
          <w:rFonts w:ascii="Times New Roman" w:hAnsi="Times New Roman" w:cs="Times New Roman"/>
          <w:szCs w:val="21"/>
        </w:rPr>
      </w:pPr>
    </w:p>
    <w:p w14:paraId="2AC40E50" w14:textId="1B80F2DB" w:rsidR="00BF0919" w:rsidRDefault="00BF0919">
      <w:pPr>
        <w:rPr>
          <w:rFonts w:ascii="Times New Roman" w:hAnsi="Times New Roman" w:cs="Times New Roman"/>
          <w:szCs w:val="21"/>
        </w:rPr>
      </w:pPr>
      <w:r>
        <w:rPr>
          <w:rFonts w:ascii="Times New Roman" w:hAnsi="Times New Roman" w:cs="Times New Roman"/>
          <w:szCs w:val="21"/>
        </w:rPr>
        <w:t xml:space="preserve">The EC reduction potentials regarding each type of LCBs are presented in Fig.7. </w:t>
      </w:r>
      <w:r>
        <w:rPr>
          <w:rFonts w:ascii="Times New Roman" w:hAnsi="Times New Roman" w:cs="Times New Roman"/>
        </w:rPr>
        <w:t xml:space="preserve">For concrete with </w:t>
      </w:r>
      <w:proofErr w:type="gramStart"/>
      <w:r>
        <w:rPr>
          <w:rFonts w:ascii="Times New Roman" w:hAnsi="Times New Roman" w:cs="Times New Roman"/>
        </w:rPr>
        <w:t>AABs ,</w:t>
      </w:r>
      <w:proofErr w:type="gramEnd"/>
      <w:r>
        <w:rPr>
          <w:rFonts w:ascii="Times New Roman" w:hAnsi="Times New Roman" w:cs="Times New Roman"/>
        </w:rPr>
        <w:t xml:space="preserve"> the varying range of EC reduction potentials is found mainly between 43% to 79%, with a mean value of 56.8%. In addition, CSABs can reduce 30.1% to 52% </w:t>
      </w:r>
      <w:r>
        <w:rPr>
          <w:rFonts w:ascii="Times New Roman" w:hAnsi="Times New Roman" w:cs="Times New Roman"/>
          <w:szCs w:val="21"/>
        </w:rPr>
        <w:t>EC</w:t>
      </w:r>
      <w:r>
        <w:rPr>
          <w:rFonts w:ascii="Times New Roman" w:hAnsi="Times New Roman" w:cs="Times New Roman"/>
        </w:rPr>
        <w:t xml:space="preserve"> emissions during production compared with OPC, with an average value of 39.1%. The average EC reduction potential of AABs is 45.3% higher than that of CSABs, showing that the AABs is effective in reducing EC than CSABs. The combined average EC reduction potential for all LCBs is 52.6%.</w:t>
      </w:r>
      <w:r w:rsidRPr="00A35595">
        <w:rPr>
          <w:rFonts w:ascii="Times New Roman" w:hAnsi="Times New Roman" w:cs="Times New Roman"/>
          <w:szCs w:val="21"/>
        </w:rPr>
        <w:t xml:space="preserve"> </w:t>
      </w:r>
    </w:p>
    <w:p w14:paraId="3E65CA96" w14:textId="77777777" w:rsidR="00BF0919" w:rsidRPr="0032643E" w:rsidRDefault="00BF0919">
      <w:pPr>
        <w:rPr>
          <w:rFonts w:ascii="Times New Roman" w:hAnsi="Times New Roman" w:cs="Times New Roman"/>
        </w:rPr>
      </w:pPr>
    </w:p>
    <w:p w14:paraId="6219A6D2"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Recycled concrete aggregates</w:t>
      </w:r>
    </w:p>
    <w:p w14:paraId="0D21A753" w14:textId="61AE266D" w:rsidR="00BF0919" w:rsidRDefault="00BF0919">
      <w:pPr>
        <w:rPr>
          <w:rFonts w:ascii="Times New Roman" w:hAnsi="Times New Roman" w:cs="Times New Roman"/>
          <w:szCs w:val="21"/>
        </w:rPr>
      </w:pPr>
      <w:r>
        <w:rPr>
          <w:rFonts w:ascii="Times New Roman" w:hAnsi="Times New Roman" w:cs="Times New Roman"/>
          <w:szCs w:val="21"/>
        </w:rPr>
        <w:t>The average EC reduction potential of RCAs is the lowest amongst all identified LCCMs</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rPr>
        <w:t xml:space="preserve">In terms of all selected cases focusing on RCAs, the EC reduction potentials were measured compared with concretes using 100% natural aggregates. For example, </w:t>
      </w:r>
      <w:r>
        <w:rPr>
          <w:rFonts w:ascii="Times New Roman" w:hAnsi="Times New Roman" w:cs="Times New Roman"/>
          <w:szCs w:val="21"/>
        </w:rPr>
        <w:t>Guo et al. (2018) have found that 5% of CO</w:t>
      </w:r>
      <w:r w:rsidRPr="00DF3739">
        <w:rPr>
          <w:rFonts w:ascii="Times New Roman" w:hAnsi="Times New Roman" w:cs="Times New Roman"/>
          <w:szCs w:val="21"/>
          <w:vertAlign w:val="subscript"/>
        </w:rPr>
        <w:t>2</w:t>
      </w:r>
      <w:r>
        <w:rPr>
          <w:rFonts w:ascii="Times New Roman" w:hAnsi="Times New Roman" w:cs="Times New Roman"/>
          <w:szCs w:val="21"/>
        </w:rPr>
        <w:t xml:space="preserve"> emissions could be mitigated by using RCAs in concrete. However, </w:t>
      </w:r>
      <w:r>
        <w:rPr>
          <w:rFonts w:ascii="Times New Roman" w:hAnsi="Times New Roman" w:cs="Times New Roman"/>
          <w:noProof/>
          <w:szCs w:val="21"/>
        </w:rPr>
        <w:t>Yazdanbakhsh et al. (2017)</w:t>
      </w:r>
      <w:r>
        <w:rPr>
          <w:rFonts w:ascii="Times New Roman" w:hAnsi="Times New Roman" w:cs="Times New Roman"/>
          <w:szCs w:val="21"/>
        </w:rPr>
        <w:t xml:space="preserve"> have conducted a comparative LCA study on concrete using natural aggregates (NAs) and RCAs, and they found a 3% increase in CO</w:t>
      </w:r>
      <w:r w:rsidRPr="001B7877">
        <w:rPr>
          <w:rFonts w:ascii="Times New Roman" w:hAnsi="Times New Roman" w:cs="Times New Roman"/>
          <w:szCs w:val="21"/>
          <w:vertAlign w:val="subscript"/>
        </w:rPr>
        <w:t>2</w:t>
      </w:r>
      <w:r>
        <w:rPr>
          <w:rFonts w:ascii="Times New Roman" w:hAnsi="Times New Roman" w:cs="Times New Roman"/>
          <w:szCs w:val="21"/>
        </w:rPr>
        <w:t xml:space="preserve"> emissions. Higher EC variations were noticed in research conducted by </w:t>
      </w:r>
      <w:r>
        <w:rPr>
          <w:rFonts w:ascii="Times New Roman" w:hAnsi="Times New Roman" w:cs="Times New Roman"/>
          <w:noProof/>
          <w:szCs w:val="21"/>
        </w:rPr>
        <w:t>Braga et al. (2017)</w:t>
      </w:r>
      <w:r>
        <w:rPr>
          <w:rFonts w:ascii="Times New Roman" w:hAnsi="Times New Roman" w:cs="Times New Roman"/>
          <w:szCs w:val="21"/>
        </w:rPr>
        <w:t>. They have reported that utilizing RCAs in concretes could lead to up to 27.5% increase or up to 21.6% reduction in EC. A considerable number of cases have shown that 30% reduction to 27.5% increment of CO</w:t>
      </w:r>
      <w:r w:rsidRPr="00DF3739">
        <w:rPr>
          <w:rFonts w:ascii="Times New Roman" w:hAnsi="Times New Roman" w:cs="Times New Roman"/>
          <w:szCs w:val="21"/>
          <w:vertAlign w:val="subscript"/>
        </w:rPr>
        <w:t>2</w:t>
      </w:r>
      <w:r>
        <w:rPr>
          <w:rFonts w:ascii="Times New Roman" w:hAnsi="Times New Roman" w:cs="Times New Roman"/>
          <w:szCs w:val="21"/>
        </w:rPr>
        <w:t xml:space="preserve"> could be resulted if</w:t>
      </w:r>
      <w:r w:rsidRPr="00B5312B">
        <w:rPr>
          <w:rFonts w:ascii="Times New Roman" w:hAnsi="Times New Roman" w:cs="Times New Roman"/>
          <w:szCs w:val="21"/>
        </w:rPr>
        <w:t xml:space="preserve"> </w:t>
      </w:r>
      <w:r w:rsidR="003613DB">
        <w:rPr>
          <w:rFonts w:ascii="Times New Roman" w:hAnsi="Times New Roman" w:cs="Times New Roman"/>
          <w:szCs w:val="21"/>
        </w:rPr>
        <w:t>NAs in</w:t>
      </w:r>
      <w:r>
        <w:rPr>
          <w:rFonts w:ascii="Times New Roman" w:hAnsi="Times New Roman" w:cs="Times New Roman"/>
          <w:szCs w:val="21"/>
        </w:rPr>
        <w:t xml:space="preserve"> concrete are replaced by RCAs </w:t>
      </w:r>
      <w:r>
        <w:rPr>
          <w:rFonts w:ascii="Times New Roman" w:hAnsi="Times New Roman" w:cs="Times New Roman"/>
          <w:noProof/>
          <w:szCs w:val="21"/>
        </w:rPr>
        <w:t xml:space="preserve">(Berndt, 2015; Braga et al., 2017; Fraj &amp; Idir, 2017; Kleijer et al., 2017; Marinkovic et al., </w:t>
      </w:r>
      <w:r>
        <w:rPr>
          <w:rFonts w:ascii="Times New Roman" w:hAnsi="Times New Roman" w:cs="Times New Roman"/>
          <w:noProof/>
          <w:szCs w:val="21"/>
        </w:rPr>
        <w:lastRenderedPageBreak/>
        <w:t>2010; Serres et al., 2016; Tošić et al., 2015; Turk et al., 2015)</w:t>
      </w:r>
      <w:r>
        <w:rPr>
          <w:rFonts w:ascii="Times New Roman" w:hAnsi="Times New Roman" w:cs="Times New Roman"/>
          <w:szCs w:val="21"/>
        </w:rPr>
        <w:t xml:space="preserve">. The EC reduction potential of RCAs was not always as significant as other measures, mainly because the aggregate detachment from old concrete is highly influenced by the integrity among different constituents of the wasted concrete, which sometimes make the recycling process difficult and extreme </w:t>
      </w:r>
      <w:proofErr w:type="gramStart"/>
      <w:r>
        <w:rPr>
          <w:rFonts w:ascii="Times New Roman" w:hAnsi="Times New Roman" w:cs="Times New Roman"/>
          <w:szCs w:val="21"/>
        </w:rPr>
        <w:t>carbon-intensive</w:t>
      </w:r>
      <w:proofErr w:type="gramEnd"/>
      <w:r>
        <w:rPr>
          <w:rFonts w:ascii="Times New Roman" w:hAnsi="Times New Roman" w:cs="Times New Roman"/>
          <w:szCs w:val="21"/>
        </w:rPr>
        <w:t>. Moreover</w:t>
      </w:r>
      <w:r w:rsidRPr="00764F0E">
        <w:rPr>
          <w:rFonts w:ascii="Times New Roman" w:hAnsi="Times New Roman" w:cs="Times New Roman"/>
          <w:szCs w:val="21"/>
        </w:rPr>
        <w:t xml:space="preserve">, </w:t>
      </w:r>
      <w:r>
        <w:rPr>
          <w:rFonts w:ascii="Times New Roman" w:hAnsi="Times New Roman" w:cs="Times New Roman"/>
          <w:szCs w:val="21"/>
        </w:rPr>
        <w:t>if</w:t>
      </w:r>
      <w:r w:rsidRPr="00764F0E">
        <w:rPr>
          <w:rFonts w:ascii="Times New Roman" w:hAnsi="Times New Roman" w:cs="Times New Roman"/>
          <w:szCs w:val="21"/>
        </w:rPr>
        <w:t xml:space="preserve"> the utilization of RCAs </w:t>
      </w:r>
      <w:r>
        <w:rPr>
          <w:rFonts w:ascii="Times New Roman" w:hAnsi="Times New Roman" w:cs="Times New Roman"/>
          <w:szCs w:val="21"/>
        </w:rPr>
        <w:t>is considered for</w:t>
      </w:r>
      <w:r w:rsidRPr="00764F0E">
        <w:rPr>
          <w:rFonts w:ascii="Times New Roman" w:hAnsi="Times New Roman" w:cs="Times New Roman"/>
          <w:szCs w:val="21"/>
        </w:rPr>
        <w:t xml:space="preserve"> higher strength concretes or concretes in aggressive environments, additional treatments are required to process the RCAs which could also be carbon intensive</w:t>
      </w:r>
      <w:r>
        <w:rPr>
          <w:rFonts w:ascii="Times New Roman" w:hAnsi="Times New Roman" w:cs="Times New Roman"/>
          <w:szCs w:val="21"/>
        </w:rPr>
        <w:t>. Also, compared to the production of cement and transportation of aggregates, CO</w:t>
      </w:r>
      <w:r w:rsidRPr="00DF3739">
        <w:rPr>
          <w:rFonts w:ascii="Times New Roman" w:hAnsi="Times New Roman" w:cs="Times New Roman"/>
          <w:szCs w:val="21"/>
          <w:vertAlign w:val="subscript"/>
        </w:rPr>
        <w:t>2</w:t>
      </w:r>
      <w:r>
        <w:rPr>
          <w:rFonts w:ascii="Times New Roman" w:hAnsi="Times New Roman" w:cs="Times New Roman"/>
          <w:szCs w:val="21"/>
        </w:rPr>
        <w:t xml:space="preserve"> emissions related to recycling aggregates comprised a limited fraction of the total emissions in the production of concrete </w:t>
      </w:r>
      <w:r>
        <w:rPr>
          <w:rFonts w:ascii="Times New Roman" w:hAnsi="Times New Roman" w:cs="Times New Roman"/>
          <w:noProof/>
          <w:szCs w:val="21"/>
        </w:rPr>
        <w:t>(Ding et al., 2016; Visintin et al., 2020)</w:t>
      </w:r>
      <w:r>
        <w:rPr>
          <w:rFonts w:ascii="Times New Roman" w:hAnsi="Times New Roman" w:cs="Times New Roman"/>
          <w:szCs w:val="21"/>
        </w:rPr>
        <w:t>.</w:t>
      </w:r>
    </w:p>
    <w:p w14:paraId="5F1CD73E" w14:textId="77777777" w:rsidR="00BF0919" w:rsidRDefault="00BF0919">
      <w:pPr>
        <w:rPr>
          <w:rFonts w:ascii="Times New Roman" w:hAnsi="Times New Roman" w:cs="Times New Roman"/>
          <w:szCs w:val="21"/>
        </w:rPr>
      </w:pPr>
    </w:p>
    <w:p w14:paraId="707A5949" w14:textId="77777777" w:rsidR="00BF0919" w:rsidRPr="00962D42" w:rsidRDefault="00BF0919" w:rsidP="00962D42">
      <w:pPr>
        <w:rPr>
          <w:rFonts w:ascii="Times New Roman" w:hAnsi="Times New Roman" w:cs="Times New Roman"/>
          <w:i/>
        </w:rPr>
      </w:pPr>
      <w:r w:rsidRPr="00962D42">
        <w:rPr>
          <w:rFonts w:ascii="Times New Roman" w:hAnsi="Times New Roman" w:cs="Times New Roman"/>
          <w:i/>
        </w:rPr>
        <w:t>High strength concrete</w:t>
      </w:r>
    </w:p>
    <w:p w14:paraId="20C037B6" w14:textId="77777777" w:rsidR="00BF0919" w:rsidRDefault="00BF0919">
      <w:pPr>
        <w:rPr>
          <w:rFonts w:ascii="Times New Roman" w:hAnsi="Times New Roman" w:cs="Times New Roman"/>
          <w:szCs w:val="21"/>
        </w:rPr>
      </w:pPr>
      <w:r>
        <w:rPr>
          <w:rFonts w:ascii="Times New Roman" w:hAnsi="Times New Roman" w:cs="Times New Roman"/>
          <w:szCs w:val="21"/>
        </w:rPr>
        <w:t xml:space="preserve">In cases regarding HSC, this review considers merely the impacts induced by the change of concrete strength. Potential enhancement of durability is not considered. </w:t>
      </w:r>
      <w:r>
        <w:rPr>
          <w:rFonts w:ascii="Times New Roman" w:hAnsi="Times New Roman" w:cs="Times New Roman"/>
          <w:noProof/>
          <w:szCs w:val="21"/>
        </w:rPr>
        <w:t>Choi et al. (2016)</w:t>
      </w:r>
      <w:r>
        <w:rPr>
          <w:rFonts w:ascii="Times New Roman" w:hAnsi="Times New Roman" w:cs="Times New Roman"/>
          <w:szCs w:val="21"/>
        </w:rPr>
        <w:t xml:space="preserve"> examined the use of high-strength concrete in the steel-reinforced concrete columns of a 35-story concrete building and identified around 10% EC reduction in the columns using higher strength concrete (24 MPa changed to 35 MPa). Similar studies have been conducted to investigate the EC reductions due to improved concrete strength (within 50 MPa). EC reductions from 2.5% to 12% were identified in these studies </w:t>
      </w:r>
      <w:r>
        <w:rPr>
          <w:rFonts w:ascii="Times New Roman" w:hAnsi="Times New Roman" w:cs="Times New Roman"/>
          <w:noProof/>
          <w:szCs w:val="21"/>
        </w:rPr>
        <w:t>(Ji et al., 2014; Shafiq et al., 2015; Tae et al., 2011)</w:t>
      </w:r>
      <w:r>
        <w:rPr>
          <w:rFonts w:ascii="Times New Roman" w:hAnsi="Times New Roman" w:cs="Times New Roman"/>
          <w:szCs w:val="21"/>
        </w:rPr>
        <w:t>. For replacing</w:t>
      </w:r>
      <w:r w:rsidRPr="005835E3">
        <w:rPr>
          <w:rFonts w:ascii="Times New Roman" w:hAnsi="Times New Roman" w:cs="Times New Roman"/>
          <w:szCs w:val="21"/>
        </w:rPr>
        <w:t xml:space="preserve"> </w:t>
      </w:r>
      <w:r>
        <w:rPr>
          <w:rFonts w:ascii="Times New Roman" w:hAnsi="Times New Roman" w:cs="Times New Roman"/>
          <w:szCs w:val="21"/>
        </w:rPr>
        <w:t xml:space="preserve">ordinary concrete with higher strength concrete, </w:t>
      </w:r>
      <w:r>
        <w:rPr>
          <w:rFonts w:ascii="Times New Roman" w:hAnsi="Times New Roman" w:cs="Times New Roman"/>
          <w:noProof/>
          <w:szCs w:val="21"/>
        </w:rPr>
        <w:t>Gan et al. (2019)</w:t>
      </w:r>
      <w:r>
        <w:rPr>
          <w:rFonts w:ascii="Times New Roman" w:hAnsi="Times New Roman" w:cs="Times New Roman"/>
          <w:szCs w:val="21"/>
        </w:rPr>
        <w:t xml:space="preserve"> calculated the EC emissions of a high-rise office building and found an 11% EC reduction in the whole building using C80 concrete instead of C40 in the core wall and columns. In addition, one study has considered replacing ordinary concrete with ultra-high-performance concrete. It was reported that 32.5% of EC emissions could be mitigated in a bridge </w:t>
      </w:r>
      <w:r>
        <w:rPr>
          <w:rFonts w:ascii="Times New Roman" w:hAnsi="Times New Roman" w:cs="Times New Roman"/>
          <w:noProof/>
          <w:szCs w:val="21"/>
        </w:rPr>
        <w:t>(Dong, 2018)</w:t>
      </w:r>
      <w:r>
        <w:rPr>
          <w:rFonts w:ascii="Times New Roman" w:hAnsi="Times New Roman" w:cs="Times New Roman"/>
          <w:szCs w:val="21"/>
        </w:rPr>
        <w:t xml:space="preserve">. However, </w:t>
      </w:r>
      <w:bookmarkStart w:id="12" w:name="_Hlk99562239"/>
      <w:r>
        <w:rPr>
          <w:rFonts w:ascii="Times New Roman" w:hAnsi="Times New Roman" w:cs="Times New Roman"/>
          <w:szCs w:val="21"/>
        </w:rPr>
        <w:t xml:space="preserve">as materials with higher strength normally have higher carbon emission factors, a balance between the reduced concrete usage and corresponding increased EC per unit volume should be noted, as using higher strength materials in buildings doesn’t always guarantee less EC emissions </w:t>
      </w:r>
      <w:r>
        <w:rPr>
          <w:rFonts w:ascii="Times New Roman" w:hAnsi="Times New Roman" w:cs="Times New Roman"/>
          <w:noProof/>
          <w:szCs w:val="21"/>
        </w:rPr>
        <w:t>(Choi et al., 2016; Thilakarathna et al., 2020; Zhang et al., 2018)</w:t>
      </w:r>
      <w:r>
        <w:rPr>
          <w:rFonts w:ascii="Times New Roman" w:hAnsi="Times New Roman" w:cs="Times New Roman"/>
          <w:szCs w:val="21"/>
        </w:rPr>
        <w:t>.</w:t>
      </w:r>
      <w:bookmarkEnd w:id="12"/>
      <w:r>
        <w:rPr>
          <w:rFonts w:ascii="Times New Roman" w:hAnsi="Times New Roman" w:cs="Times New Roman" w:hint="eastAsia"/>
          <w:szCs w:val="21"/>
        </w:rPr>
        <w:t xml:space="preserve"> </w:t>
      </w:r>
    </w:p>
    <w:p w14:paraId="09261411" w14:textId="77777777" w:rsidR="00BF0919" w:rsidRDefault="00BF0919">
      <w:pPr>
        <w:rPr>
          <w:rFonts w:ascii="Times New Roman" w:hAnsi="Times New Roman" w:cs="Times New Roman"/>
        </w:rPr>
      </w:pPr>
    </w:p>
    <w:p w14:paraId="14DC8694" w14:textId="51A8FF14" w:rsidR="00BF0919" w:rsidRPr="00DF3739" w:rsidRDefault="00BF0919" w:rsidP="00DF3739">
      <w:pPr>
        <w:pStyle w:val="Heading2"/>
        <w:rPr>
          <w:b w:val="0"/>
          <w:bCs w:val="0"/>
        </w:rPr>
      </w:pPr>
      <w:r w:rsidRPr="00F942C6">
        <w:t>3.</w:t>
      </w:r>
      <w:r>
        <w:t xml:space="preserve">3. Comparative analysis of </w:t>
      </w:r>
      <w:r w:rsidRPr="00DF3739">
        <w:t xml:space="preserve">EC reduction potentials of </w:t>
      </w:r>
      <w:r>
        <w:t>LCCMs</w:t>
      </w:r>
      <w:r w:rsidRPr="00A35595">
        <w:t xml:space="preserve"> </w:t>
      </w:r>
      <w:r>
        <w:t>at</w:t>
      </w:r>
      <w:r w:rsidRPr="00DF3739">
        <w:t xml:space="preserve"> </w:t>
      </w:r>
      <w:r>
        <w:t>different</w:t>
      </w:r>
      <w:r w:rsidRPr="00F942C6">
        <w:t xml:space="preserve"> </w:t>
      </w:r>
      <w:r>
        <w:t>levels</w:t>
      </w:r>
    </w:p>
    <w:p w14:paraId="6B238A4B" w14:textId="70B63E8B" w:rsidR="00BF0919" w:rsidRDefault="00BF0919" w:rsidP="00FC6EAB">
      <w:pPr>
        <w:rPr>
          <w:rFonts w:ascii="Times New Roman" w:hAnsi="Times New Roman" w:cs="Times New Roman"/>
          <w:szCs w:val="21"/>
        </w:rPr>
      </w:pPr>
      <w:r>
        <w:rPr>
          <w:rFonts w:ascii="Times New Roman" w:hAnsi="Times New Roman" w:cs="Times New Roman"/>
          <w:szCs w:val="21"/>
        </w:rPr>
        <w:t xml:space="preserve">According to the different </w:t>
      </w:r>
      <w:r>
        <w:rPr>
          <w:rFonts w:ascii="Times New Roman" w:eastAsia="等线" w:hAnsi="Times New Roman" w:cs="Times New Roman"/>
          <w:color w:val="000000"/>
          <w:kern w:val="0"/>
          <w:szCs w:val="21"/>
        </w:rPr>
        <w:t xml:space="preserve">geographic scopes used by selected cases, </w:t>
      </w:r>
      <w:r>
        <w:rPr>
          <w:rFonts w:ascii="Times New Roman" w:hAnsi="Times New Roman" w:cs="Times New Roman"/>
          <w:szCs w:val="21"/>
        </w:rPr>
        <w:t xml:space="preserve">the EC reduction potentials of LCCMs </w:t>
      </w:r>
      <w:r>
        <w:rPr>
          <w:rFonts w:ascii="Times New Roman" w:hAnsi="Times New Roman" w:cs="Times New Roman" w:hint="eastAsia"/>
          <w:szCs w:val="21"/>
        </w:rPr>
        <w:t>are</w:t>
      </w:r>
      <w:r>
        <w:rPr>
          <w:rFonts w:ascii="Times New Roman" w:hAnsi="Times New Roman" w:cs="Times New Roman"/>
          <w:szCs w:val="21"/>
        </w:rPr>
        <w:t xml:space="preserve"> divided into two levels, namely, the concrete and cement (C&amp;C) level and the components and buildings (C&amp;B) level. Such division could be primarily ascribed to that: 1) Cement is the dominant EC contributor, accounting for up to 90% of total EC emissions in concretes </w:t>
      </w:r>
      <w:r>
        <w:rPr>
          <w:rFonts w:ascii="Times New Roman" w:hAnsi="Times New Roman" w:cs="Times New Roman"/>
          <w:noProof/>
          <w:szCs w:val="21"/>
        </w:rPr>
        <w:t>(Stadel, 2012)</w:t>
      </w:r>
      <w:r>
        <w:rPr>
          <w:rFonts w:ascii="Times New Roman" w:hAnsi="Times New Roman" w:cs="Times New Roman"/>
          <w:szCs w:val="21"/>
        </w:rPr>
        <w:t xml:space="preserve">. </w:t>
      </w:r>
      <w:r w:rsidRPr="00F01613">
        <w:rPr>
          <w:rFonts w:ascii="Times New Roman" w:hAnsi="Times New Roman" w:cs="Times New Roman"/>
          <w:szCs w:val="21"/>
        </w:rPr>
        <w:t>EC reduction potential discrepancies between different types of cement are rather close to that of different concretes comprising corresponding types of cement</w:t>
      </w:r>
      <w:r>
        <w:rPr>
          <w:rFonts w:ascii="Times New Roman" w:hAnsi="Times New Roman" w:cs="Times New Roman"/>
          <w:szCs w:val="21"/>
        </w:rPr>
        <w:t>; 2) T</w:t>
      </w:r>
      <w:r>
        <w:rPr>
          <w:rFonts w:ascii="Times New Roman" w:hAnsi="Times New Roman" w:cs="Times New Roman" w:hint="eastAsia"/>
          <w:szCs w:val="21"/>
        </w:rPr>
        <w:t>here</w:t>
      </w:r>
      <w:r>
        <w:rPr>
          <w:rFonts w:ascii="Times New Roman" w:hAnsi="Times New Roman" w:cs="Times New Roman"/>
          <w:szCs w:val="21"/>
        </w:rPr>
        <w:t xml:space="preserve"> </w:t>
      </w:r>
      <w:r>
        <w:rPr>
          <w:rFonts w:ascii="Times New Roman" w:hAnsi="Times New Roman" w:cs="Times New Roman" w:hint="eastAsia"/>
          <w:szCs w:val="21"/>
        </w:rPr>
        <w:t>are</w:t>
      </w:r>
      <w:r>
        <w:rPr>
          <w:rFonts w:ascii="Times New Roman" w:hAnsi="Times New Roman" w:cs="Times New Roman"/>
          <w:szCs w:val="21"/>
        </w:rPr>
        <w:t xml:space="preserve"> several main EC contributors in components or buildings, including concrete, steel reinforcements, even structural steel, etc., amongst which concrete is never the dominant contributor </w:t>
      </w:r>
      <w:r>
        <w:rPr>
          <w:rFonts w:ascii="Times New Roman" w:hAnsi="Times New Roman" w:cs="Times New Roman"/>
          <w:noProof/>
          <w:szCs w:val="21"/>
        </w:rPr>
        <w:t>(Gan, Cheng, et al., 2017)</w:t>
      </w:r>
      <w:r>
        <w:rPr>
          <w:rFonts w:ascii="Times New Roman" w:hAnsi="Times New Roman" w:cs="Times New Roman"/>
          <w:szCs w:val="21"/>
        </w:rPr>
        <w:t xml:space="preserve">. Therefore, the EC reduction potential of LCCMs used in cement or concrete differs significantly from that used in components or a whole building. Many of the identified cases cannot be directly compared due to their different focused </w:t>
      </w:r>
      <w:r>
        <w:rPr>
          <w:rFonts w:ascii="Times New Roman" w:eastAsia="等线" w:hAnsi="Times New Roman" w:cs="Times New Roman"/>
          <w:color w:val="000000"/>
          <w:kern w:val="0"/>
          <w:szCs w:val="21"/>
        </w:rPr>
        <w:t>geographic scopes</w:t>
      </w:r>
      <w:r>
        <w:rPr>
          <w:rFonts w:ascii="Times New Roman" w:hAnsi="Times New Roman" w:cs="Times New Roman"/>
          <w:szCs w:val="21"/>
        </w:rPr>
        <w:t xml:space="preserve">. Therefore, adjustments are needed to achieve a more reliable cross-case comparison. </w:t>
      </w:r>
    </w:p>
    <w:p w14:paraId="4D7D57BB" w14:textId="77777777" w:rsidR="00BF0919" w:rsidRPr="001B2104" w:rsidRDefault="00BF0919" w:rsidP="00FC6EAB">
      <w:pPr>
        <w:rPr>
          <w:rFonts w:ascii="Times New Roman" w:hAnsi="Times New Roman" w:cs="Times New Roman"/>
          <w:szCs w:val="21"/>
        </w:rPr>
      </w:pPr>
    </w:p>
    <w:p w14:paraId="5C9B7DC5" w14:textId="1067DCD5" w:rsidR="00BF0919" w:rsidRDefault="00BF0919" w:rsidP="00CD09F2">
      <w:pPr>
        <w:rPr>
          <w:rFonts w:ascii="Times New Roman" w:hAnsi="Times New Roman" w:cs="Times New Roman"/>
          <w:szCs w:val="21"/>
        </w:rPr>
      </w:pPr>
      <w:r>
        <w:rPr>
          <w:rFonts w:ascii="Times New Roman" w:hAnsi="Times New Roman" w:cs="Times New Roman"/>
          <w:szCs w:val="21"/>
        </w:rPr>
        <w:t xml:space="preserve">Since the EC reduction potential of SCMs depends on not only the material types but also its replacement ratio in applications, a further adjustment based on Fig.6 is conducted for a comparative </w:t>
      </w:r>
      <w:r>
        <w:rPr>
          <w:rFonts w:ascii="Times New Roman" w:hAnsi="Times New Roman" w:cs="Times New Roman"/>
          <w:szCs w:val="21"/>
        </w:rPr>
        <w:lastRenderedPageBreak/>
        <w:t xml:space="preserve">analysis of SCMs at the two levels (as shown in Fig.8). Two SCMs, namely, FA and GGBS, are selected for the comparative analysis, excluding SF mainly due to its insufficient applications at C&amp;B level. After the adjustment, the varying ranges of EC reduction at the C&amp;B level are apparently narrowed as compared to the C&amp;C level. Moreover, the RRF at C&amp;B level is 11.1% and 5.8% smaller for FA and GGBS than that at C&amp;B level. It indicates that if the same replacement ratio is adopted, utilizing SCMs would result in up to 11.1 % less EC reduction potential at the C&amp;B level than the C&amp;C level. The results are consistent with practical experiences since a larger calculation base contains more elements and procedures, which weakens the impact on the total EC. These differentiated RRFs can be used to roughly calculate the EC emission reduction potential in the transition from concrete samples to structures when using such SCMs. </w:t>
      </w:r>
    </w:p>
    <w:p w14:paraId="5434CA6D" w14:textId="77777777" w:rsidR="00BF0919" w:rsidRPr="00327871" w:rsidRDefault="00BF0919" w:rsidP="00CD09F2">
      <w:pPr>
        <w:rPr>
          <w:rFonts w:ascii="Times New Roman" w:hAnsi="Times New Roman" w:cs="Times New Roman"/>
          <w:szCs w:val="21"/>
        </w:rPr>
      </w:pPr>
    </w:p>
    <w:p w14:paraId="0846ABF7" w14:textId="7B8F9A70" w:rsidR="00BF0919" w:rsidRDefault="00BF0919" w:rsidP="00CD09F2">
      <w:pPr>
        <w:pStyle w:val="ListParagraph"/>
        <w:keepNext/>
        <w:ind w:firstLineChars="0" w:firstLine="0"/>
        <w:jc w:val="center"/>
      </w:pPr>
      <w:r>
        <w:object w:dxaOrig="6011" w:dyaOrig="4310" w14:anchorId="27D8930E">
          <v:shape id="_x0000_i1032" type="#_x0000_t75" style="width:297.95pt;height:3in" o:ole="">
            <v:imagedata r:id="rId19" o:title=""/>
          </v:shape>
          <o:OLEObject Type="Embed" ProgID="Visio.Drawing.15" ShapeID="_x0000_i1032" DrawAspect="Content" ObjectID="_1775568122" r:id="rId20"/>
        </w:object>
      </w:r>
    </w:p>
    <w:p w14:paraId="1A3FD995" w14:textId="4CA74B3B" w:rsidR="00BF0919" w:rsidRPr="00AF0F57" w:rsidRDefault="00BF0919" w:rsidP="00DF3739">
      <w:pPr>
        <w:jc w:val="center"/>
        <w:rPr>
          <w:rFonts w:ascii="Times New Roman" w:hAnsi="Times New Roman" w:cs="Times New Roman"/>
          <w:sz w:val="20"/>
          <w:szCs w:val="20"/>
        </w:rPr>
      </w:pPr>
      <w:r w:rsidRPr="00AF0F57">
        <w:rPr>
          <w:rFonts w:ascii="Times New Roman" w:hAnsi="Times New Roman" w:cs="Times New Roman"/>
          <w:b/>
          <w:bCs/>
          <w:sz w:val="20"/>
          <w:szCs w:val="20"/>
        </w:rPr>
        <w:t>Fig. 8</w:t>
      </w:r>
      <w:r w:rsidRPr="00AF0F57">
        <w:rPr>
          <w:rFonts w:ascii="Times New Roman" w:hAnsi="Times New Roman" w:cs="Times New Roman"/>
          <w:sz w:val="20"/>
          <w:szCs w:val="20"/>
        </w:rPr>
        <w:t xml:space="preserve"> Embodied carbon reduction potentials between supplementary cementitious materials in concrete and cement,</w:t>
      </w:r>
      <w:r w:rsidRPr="00AF0F57" w:rsidDel="008A24C2">
        <w:rPr>
          <w:rFonts w:ascii="Times New Roman" w:hAnsi="Times New Roman" w:cs="Times New Roman"/>
          <w:sz w:val="20"/>
          <w:szCs w:val="20"/>
        </w:rPr>
        <w:t xml:space="preserve"> </w:t>
      </w:r>
      <w:r w:rsidRPr="00AF0F57">
        <w:rPr>
          <w:rFonts w:ascii="Times New Roman" w:hAnsi="Times New Roman" w:cs="Times New Roman"/>
          <w:sz w:val="20"/>
          <w:szCs w:val="20"/>
        </w:rPr>
        <w:t>and components and buildings levels. Note: FA (Fly ash), GGBS (Ground granulated blast-furnace slag), C&amp;C (Concrete and cement), C&amp;B (Components and buildings), RRF (Reducing-replacing factor)</w:t>
      </w:r>
    </w:p>
    <w:p w14:paraId="1E8ADB1C" w14:textId="77777777" w:rsidR="00BF0919" w:rsidRDefault="00BF0919" w:rsidP="00FC6EAB">
      <w:pPr>
        <w:rPr>
          <w:rFonts w:ascii="Times New Roman" w:hAnsi="Times New Roman" w:cs="Times New Roman"/>
          <w:szCs w:val="21"/>
        </w:rPr>
      </w:pPr>
    </w:p>
    <w:p w14:paraId="50047A91" w14:textId="138E5680" w:rsidR="00BF0919" w:rsidRDefault="00BF0919" w:rsidP="00FC6EAB">
      <w:pPr>
        <w:rPr>
          <w:rFonts w:ascii="Times New Roman" w:hAnsi="Times New Roman" w:cs="Times New Roman"/>
          <w:szCs w:val="21"/>
        </w:rPr>
      </w:pPr>
      <w:r>
        <w:rPr>
          <w:rFonts w:ascii="Times New Roman" w:hAnsi="Times New Roman" w:cs="Times New Roman"/>
        </w:rPr>
        <w:t>A</w:t>
      </w:r>
      <w:r>
        <w:rPr>
          <w:rFonts w:ascii="Times New Roman" w:hAnsi="Times New Roman" w:cs="Times New Roman"/>
          <w:szCs w:val="21"/>
        </w:rPr>
        <w:t xml:space="preserve">ll of the LCCMs adopted by the 128 cases were analyzed accordingly at either the </w:t>
      </w:r>
      <w:r>
        <w:rPr>
          <w:rFonts w:ascii="Times New Roman" w:hAnsi="Times New Roman" w:cs="Times New Roman"/>
        </w:rPr>
        <w:t>C&amp;C or C&amp;B level</w:t>
      </w:r>
      <w:r>
        <w:rPr>
          <w:rFonts w:ascii="Times New Roman" w:hAnsi="Times New Roman" w:cs="Times New Roman"/>
          <w:szCs w:val="21"/>
        </w:rPr>
        <w:t xml:space="preserve"> to facilitate a more reliable and valid comparison as shown in </w:t>
      </w:r>
      <w:r w:rsidRPr="00ED2815">
        <w:rPr>
          <w:rFonts w:ascii="Times New Roman" w:hAnsi="Times New Roman" w:cs="Times New Roman"/>
          <w:szCs w:val="21"/>
        </w:rPr>
        <w:t>Fig.</w:t>
      </w:r>
      <w:r>
        <w:rPr>
          <w:rFonts w:ascii="Times New Roman" w:hAnsi="Times New Roman" w:cs="Times New Roman"/>
          <w:szCs w:val="21"/>
        </w:rPr>
        <w:t>9. The EC reductions of using SCMs can be divided into the two levels. However, there are insufficient identified cases studying the EC reduction potentials of LCBs and RCAs in C&amp;B level. And the use of HSC at the C&amp;C level will always lead to EC increases. Therefore, the EC reduction potentials of using LCBs and RCAs are solely within the C&amp;C level and the EC reduction potentials of using HSC are merely within the C&amp;B level. A</w:t>
      </w:r>
      <w:r>
        <w:rPr>
          <w:rFonts w:ascii="Times New Roman" w:hAnsi="Times New Roman" w:cs="Times New Roman" w:hint="eastAsia"/>
          <w:szCs w:val="21"/>
        </w:rPr>
        <w:t>s</w:t>
      </w:r>
      <w:r>
        <w:rPr>
          <w:rFonts w:ascii="Times New Roman" w:hAnsi="Times New Roman" w:cs="Times New Roman"/>
          <w:szCs w:val="21"/>
        </w:rPr>
        <w:t xml:space="preserve"> shown in Fig.9, the</w:t>
      </w:r>
      <w:r w:rsidRPr="008B1AAD">
        <w:rPr>
          <w:rFonts w:ascii="Times New Roman" w:hAnsi="Times New Roman" w:cs="Times New Roman"/>
          <w:szCs w:val="21"/>
        </w:rPr>
        <w:t xml:space="preserve"> </w:t>
      </w:r>
      <w:r>
        <w:rPr>
          <w:rFonts w:ascii="Times New Roman" w:hAnsi="Times New Roman" w:cs="Times New Roman"/>
          <w:szCs w:val="21"/>
        </w:rPr>
        <w:t>left</w:t>
      </w:r>
      <w:r w:rsidRPr="008B1AAD">
        <w:rPr>
          <w:rFonts w:ascii="Times New Roman" w:hAnsi="Times New Roman" w:cs="Times New Roman"/>
          <w:szCs w:val="21"/>
        </w:rPr>
        <w:t xml:space="preserve"> part illustrate</w:t>
      </w:r>
      <w:r>
        <w:rPr>
          <w:rFonts w:ascii="Times New Roman" w:hAnsi="Times New Roman" w:cs="Times New Roman"/>
          <w:szCs w:val="21"/>
        </w:rPr>
        <w:t>s</w:t>
      </w:r>
      <w:r w:rsidRPr="008B1AAD">
        <w:rPr>
          <w:rFonts w:ascii="Times New Roman" w:hAnsi="Times New Roman" w:cs="Times New Roman"/>
          <w:szCs w:val="21"/>
        </w:rPr>
        <w:t xml:space="preserve"> the EC reductions pertaining to the utilization of SCMs</w:t>
      </w:r>
      <w:r>
        <w:rPr>
          <w:rFonts w:ascii="Times New Roman" w:hAnsi="Times New Roman" w:cs="Times New Roman"/>
          <w:szCs w:val="21"/>
        </w:rPr>
        <w:t>(C)</w:t>
      </w:r>
      <w:r w:rsidRPr="008B1AAD">
        <w:rPr>
          <w:rFonts w:ascii="Times New Roman" w:hAnsi="Times New Roman" w:cs="Times New Roman"/>
          <w:szCs w:val="21"/>
        </w:rPr>
        <w:t xml:space="preserve">, </w:t>
      </w:r>
      <w:r>
        <w:rPr>
          <w:rFonts w:ascii="Times New Roman" w:hAnsi="Times New Roman" w:cs="Times New Roman"/>
          <w:szCs w:val="21"/>
        </w:rPr>
        <w:t>LCB</w:t>
      </w:r>
      <w:r w:rsidRPr="008B1AAD">
        <w:rPr>
          <w:rFonts w:ascii="Times New Roman" w:hAnsi="Times New Roman" w:cs="Times New Roman"/>
          <w:szCs w:val="21"/>
        </w:rPr>
        <w:t xml:space="preserve">s, and RCAs </w:t>
      </w:r>
      <w:r>
        <w:rPr>
          <w:rFonts w:ascii="Times New Roman" w:hAnsi="Times New Roman" w:cs="Times New Roman" w:hint="eastAsia"/>
          <w:szCs w:val="21"/>
        </w:rPr>
        <w:t>at</w:t>
      </w:r>
      <w:r>
        <w:rPr>
          <w:rFonts w:ascii="Times New Roman" w:hAnsi="Times New Roman" w:cs="Times New Roman"/>
          <w:szCs w:val="21"/>
        </w:rPr>
        <w:t xml:space="preserve"> the </w:t>
      </w:r>
      <w:r w:rsidRPr="008B1AAD">
        <w:rPr>
          <w:rFonts w:ascii="Times New Roman" w:hAnsi="Times New Roman" w:cs="Times New Roman"/>
          <w:szCs w:val="21"/>
        </w:rPr>
        <w:t>C&amp;C</w:t>
      </w:r>
      <w:r>
        <w:rPr>
          <w:rFonts w:ascii="Times New Roman" w:hAnsi="Times New Roman" w:cs="Times New Roman"/>
          <w:szCs w:val="21"/>
        </w:rPr>
        <w:t xml:space="preserve"> level</w:t>
      </w:r>
      <w:r w:rsidRPr="008B1AAD">
        <w:rPr>
          <w:rFonts w:ascii="Times New Roman" w:hAnsi="Times New Roman" w:cs="Times New Roman"/>
          <w:szCs w:val="21"/>
        </w:rPr>
        <w:t xml:space="preserve">. The </w:t>
      </w:r>
      <w:r>
        <w:rPr>
          <w:rFonts w:ascii="Times New Roman" w:hAnsi="Times New Roman" w:cs="Times New Roman"/>
          <w:szCs w:val="21"/>
        </w:rPr>
        <w:t xml:space="preserve">right </w:t>
      </w:r>
      <w:r w:rsidRPr="008B1AAD">
        <w:rPr>
          <w:rFonts w:ascii="Times New Roman" w:hAnsi="Times New Roman" w:cs="Times New Roman"/>
          <w:szCs w:val="21"/>
        </w:rPr>
        <w:t>part describes how the SCMs</w:t>
      </w:r>
      <w:r>
        <w:rPr>
          <w:rFonts w:ascii="Times New Roman" w:hAnsi="Times New Roman" w:cs="Times New Roman"/>
          <w:szCs w:val="21"/>
        </w:rPr>
        <w:t>(B)</w:t>
      </w:r>
      <w:r w:rsidRPr="008B1AAD">
        <w:rPr>
          <w:rFonts w:ascii="Times New Roman" w:hAnsi="Times New Roman" w:cs="Times New Roman"/>
          <w:szCs w:val="21"/>
        </w:rPr>
        <w:t xml:space="preserve">, and HSC decrease </w:t>
      </w:r>
      <w:r>
        <w:rPr>
          <w:rFonts w:ascii="Times New Roman" w:hAnsi="Times New Roman" w:cs="Times New Roman"/>
          <w:szCs w:val="21"/>
        </w:rPr>
        <w:t>EC reduction</w:t>
      </w:r>
      <w:r w:rsidRPr="008B1AAD">
        <w:rPr>
          <w:rFonts w:ascii="Times New Roman" w:hAnsi="Times New Roman" w:cs="Times New Roman"/>
          <w:szCs w:val="21"/>
        </w:rPr>
        <w:t xml:space="preserve"> </w:t>
      </w:r>
      <w:r>
        <w:rPr>
          <w:rFonts w:ascii="Times New Roman" w:hAnsi="Times New Roman" w:cs="Times New Roman"/>
          <w:szCs w:val="21"/>
        </w:rPr>
        <w:t xml:space="preserve">at the </w:t>
      </w:r>
      <w:r w:rsidRPr="008B1AAD">
        <w:rPr>
          <w:rFonts w:ascii="Times New Roman" w:hAnsi="Times New Roman" w:cs="Times New Roman"/>
          <w:szCs w:val="21"/>
        </w:rPr>
        <w:t>C&amp;B</w:t>
      </w:r>
      <w:r>
        <w:rPr>
          <w:rFonts w:ascii="Times New Roman" w:hAnsi="Times New Roman" w:cs="Times New Roman"/>
          <w:szCs w:val="21"/>
        </w:rPr>
        <w:t xml:space="preserve"> level</w:t>
      </w:r>
      <w:r w:rsidRPr="008B1AAD">
        <w:rPr>
          <w:rFonts w:ascii="Times New Roman" w:hAnsi="Times New Roman" w:cs="Times New Roman"/>
          <w:szCs w:val="21"/>
        </w:rPr>
        <w:t xml:space="preserve">.  </w:t>
      </w:r>
    </w:p>
    <w:p w14:paraId="56DEEBC2" w14:textId="77777777" w:rsidR="00BF0919" w:rsidRDefault="00BF0919" w:rsidP="00FC6EAB">
      <w:pPr>
        <w:rPr>
          <w:rFonts w:ascii="Times New Roman" w:hAnsi="Times New Roman" w:cs="Times New Roman"/>
          <w:szCs w:val="21"/>
        </w:rPr>
      </w:pPr>
    </w:p>
    <w:p w14:paraId="41075E93" w14:textId="56992C30" w:rsidR="00BF0919" w:rsidRDefault="00BF0919" w:rsidP="0001689B">
      <w:pPr>
        <w:pStyle w:val="Caption"/>
        <w:jc w:val="center"/>
        <w:rPr>
          <w:rFonts w:ascii="Times New Roman" w:hAnsi="Times New Roman" w:cs="Times New Roman"/>
        </w:rPr>
      </w:pPr>
      <w:r>
        <w:object w:dxaOrig="5371" w:dyaOrig="4321" w14:anchorId="7DF88645">
          <v:shape id="_x0000_i1033" type="#_x0000_t75" style="width:266.4pt;height:3in" o:ole="">
            <v:imagedata r:id="rId21" o:title=""/>
          </v:shape>
          <o:OLEObject Type="Embed" ProgID="Visio.Drawing.15" ShapeID="_x0000_i1033" DrawAspect="Content" ObjectID="_1775568123" r:id="rId22"/>
        </w:object>
      </w:r>
    </w:p>
    <w:p w14:paraId="52C3F2DC" w14:textId="56BEE287" w:rsidR="00BF0919" w:rsidRDefault="00BF0919" w:rsidP="0001689B">
      <w:pPr>
        <w:pStyle w:val="Caption"/>
        <w:jc w:val="center"/>
        <w:rPr>
          <w:rFonts w:ascii="Times New Roman" w:hAnsi="Times New Roman" w:cs="Times New Roman"/>
        </w:rPr>
      </w:pPr>
      <w:r>
        <w:rPr>
          <w:rFonts w:ascii="Times New Roman" w:hAnsi="Times New Roman" w:cs="Times New Roman"/>
          <w:b/>
          <w:bCs/>
        </w:rPr>
        <w:t>Fig. 9</w:t>
      </w:r>
      <w:r>
        <w:rPr>
          <w:rFonts w:ascii="Times New Roman" w:hAnsi="Times New Roman" w:cs="Times New Roman"/>
        </w:rPr>
        <w:t xml:space="preserve"> Embodied carbon reduction potentials between low carbon </w:t>
      </w:r>
      <w:r>
        <w:rPr>
          <w:rFonts w:ascii="Times New Roman" w:eastAsia="等线" w:hAnsi="Times New Roman" w:cs="Times New Roman"/>
          <w:color w:val="000000"/>
          <w:kern w:val="0"/>
          <w:szCs w:val="21"/>
        </w:rPr>
        <w:t>concrete</w:t>
      </w:r>
      <w:r>
        <w:rPr>
          <w:rFonts w:ascii="Times New Roman" w:hAnsi="Times New Roman" w:cs="Times New Roman"/>
        </w:rPr>
        <w:t xml:space="preserve"> materials. Note: SCMs (</w:t>
      </w:r>
      <w:r w:rsidRPr="00EC4967">
        <w:rPr>
          <w:rFonts w:ascii="Times New Roman" w:hAnsi="Times New Roman" w:cs="Times New Roman"/>
        </w:rPr>
        <w:t>Supplementary cementitious materials</w:t>
      </w:r>
      <w:r>
        <w:rPr>
          <w:rFonts w:ascii="Times New Roman" w:hAnsi="Times New Roman" w:cs="Times New Roman"/>
        </w:rPr>
        <w:t>), LCBs (Low carbon binders), RCAs (Recycled concrete aggregates), HSC (High strength concrete), C&amp;C (</w:t>
      </w:r>
      <w:r>
        <w:rPr>
          <w:rFonts w:ascii="Times New Roman" w:hAnsi="Times New Roman" w:cs="Times New Roman"/>
          <w:szCs w:val="21"/>
        </w:rPr>
        <w:t>Concrete and cement), C&amp;B (C</w:t>
      </w:r>
      <w:r w:rsidRPr="00EC4967">
        <w:rPr>
          <w:rFonts w:ascii="Times New Roman" w:hAnsi="Times New Roman" w:cs="Times New Roman"/>
          <w:szCs w:val="21"/>
        </w:rPr>
        <w:t>omponents and buildings</w:t>
      </w:r>
      <w:r>
        <w:rPr>
          <w:rFonts w:ascii="Times New Roman" w:hAnsi="Times New Roman" w:cs="Times New Roman"/>
          <w:szCs w:val="21"/>
        </w:rPr>
        <w:t>),</w:t>
      </w:r>
    </w:p>
    <w:p w14:paraId="4248CA5F" w14:textId="77777777" w:rsidR="00BF0919" w:rsidRDefault="00BF0919" w:rsidP="0001689B">
      <w:pPr>
        <w:pStyle w:val="ListParagraph"/>
        <w:ind w:firstLineChars="0" w:firstLine="0"/>
        <w:rPr>
          <w:rFonts w:ascii="Times New Roman" w:hAnsi="Times New Roman" w:cs="Times New Roman"/>
        </w:rPr>
      </w:pPr>
    </w:p>
    <w:p w14:paraId="7D88804A" w14:textId="74052AAF" w:rsidR="00BF0919" w:rsidRDefault="00BF0919" w:rsidP="00DF3739">
      <w:pPr>
        <w:pStyle w:val="ListParagraph"/>
        <w:ind w:firstLineChars="0" w:firstLine="0"/>
      </w:pPr>
      <w:r>
        <w:rPr>
          <w:rFonts w:ascii="Times New Roman" w:hAnsi="Times New Roman" w:cs="Times New Roman"/>
        </w:rPr>
        <w:t xml:space="preserve">Among selected cases with a focus at C&amp;C, by using SCMs, </w:t>
      </w:r>
      <w:r>
        <w:rPr>
          <w:rFonts w:ascii="Times New Roman" w:hAnsi="Times New Roman" w:cs="Times New Roman"/>
          <w:szCs w:val="21"/>
        </w:rPr>
        <w:t>EC</w:t>
      </w:r>
      <w:r>
        <w:rPr>
          <w:rFonts w:ascii="Times New Roman" w:hAnsi="Times New Roman" w:cs="Times New Roman"/>
        </w:rPr>
        <w:t xml:space="preserve"> reductions from 4.2% to 68.1% are achieved, and the mean reduction is 31.9%. The EC reduction potential for using LCBs ranges from 30% to 79% with an average value of 52.6%. And the use of RCAs in concrete can result in up to 30% EC reductions as well as up to 27.5% EC increases compared with concretes using NAs. The mean EC reduction for RCA concretes is 4.1%. At the C&amp;C level, the average EC reduction potential of LCBs is 64.9% higher than that of SCMs and over 11 times higher than that of RCAs. On the other hand, concerning cases with a focus at C&amp;B, utilizing SCMs leads to 9.8% to 44.8% less EC emissions, and the average reduction is 28.9%. By improving the concrete strength of components or the whole building, 2.5% to 11% of EC emissions can be mitigated, with an average value of 7.9%. At the C&amp;B level, the average EC reduction potential of SCMs is 2.6 times higher than that of HSC. Since the EC reduction potential of LCBs is higher than that of SCMs at the C&amp;C level and the EC reduction potential of SCMs is higher than that of HSC at the C&amp;B level, the LCBs are generally the most EC reduction efficient LCCMs.</w:t>
      </w:r>
    </w:p>
    <w:p w14:paraId="78AE98A8" w14:textId="77777777" w:rsidR="00BF0919" w:rsidRDefault="00BF0919">
      <w:pPr>
        <w:rPr>
          <w:rFonts w:ascii="Times New Roman" w:hAnsi="Times New Roman" w:cs="Times New Roman"/>
        </w:rPr>
      </w:pPr>
    </w:p>
    <w:p w14:paraId="5D2355F2" w14:textId="77777777" w:rsidR="00BF0919" w:rsidRDefault="00BF0919" w:rsidP="00D5302F">
      <w:pPr>
        <w:pStyle w:val="Heading1"/>
        <w:numPr>
          <w:ilvl w:val="0"/>
          <w:numId w:val="17"/>
        </w:numPr>
      </w:pPr>
      <w:r>
        <w:t>Discussion</w:t>
      </w:r>
    </w:p>
    <w:p w14:paraId="2FA51AED" w14:textId="77777777" w:rsidR="00BF0919" w:rsidRDefault="00BF0919">
      <w:pPr>
        <w:rPr>
          <w:rFonts w:ascii="Times New Roman" w:hAnsi="Times New Roman" w:cs="Times New Roman"/>
        </w:rPr>
      </w:pPr>
      <w:r>
        <w:rPr>
          <w:rFonts w:ascii="Times New Roman" w:hAnsi="Times New Roman" w:cs="Times New Roman"/>
        </w:rPr>
        <w:t xml:space="preserve">This paper has conducted a systematic investigation into the EC reduction potentials of different LCCMs. The obtained primary results and identified major research gaps are discussed below. </w:t>
      </w:r>
    </w:p>
    <w:p w14:paraId="6C06D328" w14:textId="77777777" w:rsidR="00BF0919" w:rsidRDefault="00BF0919">
      <w:pPr>
        <w:rPr>
          <w:rFonts w:ascii="Times New Roman" w:hAnsi="Times New Roman" w:cs="Times New Roman"/>
        </w:rPr>
      </w:pPr>
    </w:p>
    <w:p w14:paraId="0895C9B0" w14:textId="1852312A" w:rsidR="00BF0919" w:rsidRDefault="00BF0919">
      <w:pPr>
        <w:rPr>
          <w:rFonts w:ascii="Times New Roman" w:hAnsi="Times New Roman" w:cs="Times New Roman"/>
        </w:rPr>
      </w:pPr>
      <w:r w:rsidRPr="00C52F35">
        <w:rPr>
          <w:rFonts w:ascii="Times New Roman" w:hAnsi="Times New Roman" w:cs="Times New Roman"/>
        </w:rPr>
        <w:t>Firstly, research pertaining to EC reductions on concrete materials is gaining popularity in academia. This can be</w:t>
      </w:r>
      <w:r w:rsidRPr="004E5201">
        <w:rPr>
          <w:rFonts w:ascii="Times New Roman" w:hAnsi="Times New Roman" w:cs="Times New Roman"/>
        </w:rPr>
        <w:t xml:space="preserve"> </w:t>
      </w:r>
      <w:r>
        <w:rPr>
          <w:rFonts w:ascii="Times New Roman" w:hAnsi="Times New Roman" w:cs="Times New Roman"/>
        </w:rPr>
        <w:t>revealed from the fact</w:t>
      </w:r>
      <w:r w:rsidRPr="00C52F35">
        <w:rPr>
          <w:rFonts w:ascii="Times New Roman" w:hAnsi="Times New Roman" w:cs="Times New Roman"/>
        </w:rPr>
        <w:t xml:space="preserve"> that over 80% of the papers are identified following the year 2015. Apart from the discussed LCCMs in this review, novel types of SCMs, e.g., vegetable ashes and quarry dust, are gaining increasing attention</w:t>
      </w:r>
      <w:r>
        <w:rPr>
          <w:rFonts w:ascii="Times New Roman" w:hAnsi="Times New Roman" w:cs="Times New Roman"/>
        </w:rPr>
        <w:t xml:space="preserve"> </w:t>
      </w:r>
      <w:r>
        <w:rPr>
          <w:rFonts w:ascii="Times New Roman" w:hAnsi="Times New Roman" w:cs="Times New Roman"/>
          <w:noProof/>
        </w:rPr>
        <w:t>(Amin &amp; Abdelsalam, 2019; Zhao et al., 2020)</w:t>
      </w:r>
      <w:r>
        <w:rPr>
          <w:rFonts w:ascii="Times New Roman" w:hAnsi="Times New Roman" w:cs="Times New Roman"/>
        </w:rPr>
        <w:t xml:space="preserve">. Also, other binders, such as the </w:t>
      </w:r>
      <w:r w:rsidRPr="00782062">
        <w:rPr>
          <w:rFonts w:ascii="Times New Roman" w:hAnsi="Times New Roman" w:cs="Times New Roman"/>
        </w:rPr>
        <w:t>carbonate binder</w:t>
      </w:r>
      <w:r>
        <w:rPr>
          <w:rFonts w:ascii="Times New Roman" w:hAnsi="Times New Roman" w:cs="Times New Roman"/>
        </w:rPr>
        <w:t xml:space="preserve"> and the </w:t>
      </w:r>
      <w:proofErr w:type="spellStart"/>
      <w:r w:rsidRPr="00B31839">
        <w:rPr>
          <w:rFonts w:ascii="Times New Roman" w:hAnsi="Times New Roman" w:cs="Times New Roman"/>
        </w:rPr>
        <w:t>supersulfated</w:t>
      </w:r>
      <w:proofErr w:type="spellEnd"/>
      <w:r w:rsidRPr="00B31839">
        <w:rPr>
          <w:rFonts w:ascii="Times New Roman" w:hAnsi="Times New Roman" w:cs="Times New Roman"/>
        </w:rPr>
        <w:t xml:space="preserve"> </w:t>
      </w:r>
      <w:r w:rsidRPr="00782062">
        <w:rPr>
          <w:rFonts w:ascii="Times New Roman" w:hAnsi="Times New Roman" w:cs="Times New Roman"/>
        </w:rPr>
        <w:t>binder</w:t>
      </w:r>
      <w:r>
        <w:rPr>
          <w:rFonts w:ascii="Times New Roman" w:hAnsi="Times New Roman" w:cs="Times New Roman"/>
        </w:rPr>
        <w:t xml:space="preserve">, have been developed and </w:t>
      </w:r>
      <w:r w:rsidRPr="00782062">
        <w:rPr>
          <w:rFonts w:ascii="Times New Roman" w:hAnsi="Times New Roman" w:cs="Times New Roman"/>
        </w:rPr>
        <w:t>discuss</w:t>
      </w:r>
      <w:r>
        <w:rPr>
          <w:rFonts w:ascii="Times New Roman" w:hAnsi="Times New Roman" w:cs="Times New Roman"/>
        </w:rPr>
        <w:t xml:space="preserve">ed for decades </w:t>
      </w:r>
      <w:r>
        <w:rPr>
          <w:rFonts w:ascii="Times New Roman" w:hAnsi="Times New Roman" w:cs="Times New Roman"/>
          <w:noProof/>
        </w:rPr>
        <w:t>(Mu et al., 2019; O’Rourke et al., 2009)</w:t>
      </w:r>
      <w:r>
        <w:rPr>
          <w:rFonts w:ascii="Times New Roman" w:hAnsi="Times New Roman" w:cs="Times New Roman"/>
        </w:rPr>
        <w:t xml:space="preserve">. </w:t>
      </w:r>
      <w:r w:rsidRPr="00C52F35">
        <w:rPr>
          <w:rFonts w:ascii="Times New Roman" w:hAnsi="Times New Roman" w:cs="Times New Roman"/>
        </w:rPr>
        <w:t xml:space="preserve">Different from demolished </w:t>
      </w:r>
      <w:r w:rsidRPr="00C52F35">
        <w:rPr>
          <w:rFonts w:ascii="Times New Roman" w:hAnsi="Times New Roman" w:cs="Times New Roman"/>
        </w:rPr>
        <w:lastRenderedPageBreak/>
        <w:t xml:space="preserve">concrete fragments, various industrial wastes have been developed as novel aggregates in concretes, </w:t>
      </w:r>
      <w:r>
        <w:rPr>
          <w:rFonts w:ascii="Times New Roman" w:hAnsi="Times New Roman" w:cs="Times New Roman"/>
        </w:rPr>
        <w:t>with examples including</w:t>
      </w:r>
      <w:r w:rsidRPr="00C52F35">
        <w:rPr>
          <w:rFonts w:ascii="Times New Roman" w:hAnsi="Times New Roman" w:cs="Times New Roman"/>
        </w:rPr>
        <w:t xml:space="preserve"> the plastics</w:t>
      </w:r>
      <w:r>
        <w:rPr>
          <w:rFonts w:ascii="Times New Roman" w:hAnsi="Times New Roman" w:cs="Times New Roman"/>
        </w:rPr>
        <w:t xml:space="preserve"> </w:t>
      </w:r>
      <w:r>
        <w:rPr>
          <w:rFonts w:ascii="Times New Roman" w:hAnsi="Times New Roman" w:cs="Times New Roman"/>
          <w:noProof/>
        </w:rPr>
        <w:t>(Rai et al., 2012)</w:t>
      </w:r>
      <w:r>
        <w:rPr>
          <w:rFonts w:ascii="Times New Roman" w:hAnsi="Times New Roman" w:cs="Times New Roman"/>
        </w:rPr>
        <w:t xml:space="preserve">, glasses </w:t>
      </w:r>
      <w:r>
        <w:rPr>
          <w:rFonts w:ascii="Times New Roman" w:hAnsi="Times New Roman" w:cs="Times New Roman"/>
          <w:noProof/>
        </w:rPr>
        <w:t>(Walczak et al., 2015)</w:t>
      </w:r>
      <w:r>
        <w:rPr>
          <w:rFonts w:ascii="Times New Roman" w:hAnsi="Times New Roman" w:cs="Times New Roman"/>
        </w:rPr>
        <w:t xml:space="preserve"> and </w:t>
      </w:r>
      <w:r w:rsidRPr="00782062">
        <w:rPr>
          <w:rFonts w:ascii="Times New Roman" w:hAnsi="Times New Roman" w:cs="Times New Roman"/>
        </w:rPr>
        <w:t>porcelain</w:t>
      </w:r>
      <w:r>
        <w:rPr>
          <w:rFonts w:ascii="Times New Roman" w:hAnsi="Times New Roman" w:cs="Times New Roman"/>
        </w:rPr>
        <w:t xml:space="preserve">s </w:t>
      </w:r>
      <w:r>
        <w:rPr>
          <w:rFonts w:ascii="Times New Roman" w:hAnsi="Times New Roman" w:cs="Times New Roman"/>
          <w:noProof/>
        </w:rPr>
        <w:t>(Medina et al., 2016)</w:t>
      </w:r>
      <w:r>
        <w:rPr>
          <w:rFonts w:ascii="Times New Roman" w:hAnsi="Times New Roman" w:cs="Times New Roman"/>
        </w:rPr>
        <w:t>.</w:t>
      </w:r>
      <w:r w:rsidRPr="00782062">
        <w:rPr>
          <w:rFonts w:ascii="Times New Roman" w:hAnsi="Times New Roman" w:cs="Times New Roman"/>
        </w:rPr>
        <w:t xml:space="preserve"> </w:t>
      </w:r>
      <w:r w:rsidRPr="00C52F35">
        <w:rPr>
          <w:rFonts w:ascii="Times New Roman" w:hAnsi="Times New Roman" w:cs="Times New Roman"/>
        </w:rPr>
        <w:t>Nevertheless, literature regarding their LCA studies is hardly identified by the authors and their prospects in reducing EC remain vague. Future research is highly recommended to investigate the EC reduction potential of such novel LCCMs.</w:t>
      </w:r>
    </w:p>
    <w:p w14:paraId="756723E0" w14:textId="6CFC50A7" w:rsidR="00BF0919" w:rsidRDefault="00BF0919">
      <w:pPr>
        <w:rPr>
          <w:rFonts w:ascii="Times New Roman" w:hAnsi="Times New Roman" w:cs="Times New Roman"/>
          <w:szCs w:val="21"/>
        </w:rPr>
      </w:pPr>
    </w:p>
    <w:p w14:paraId="10D83865" w14:textId="73FC15F9" w:rsidR="00BF0919" w:rsidRDefault="00BF0919">
      <w:pPr>
        <w:rPr>
          <w:rFonts w:ascii="Times New Roman" w:hAnsi="Times New Roman" w:cs="Times New Roman"/>
          <w:szCs w:val="21"/>
        </w:rPr>
      </w:pPr>
      <w:r w:rsidRPr="00DB5DDF">
        <w:rPr>
          <w:rFonts w:ascii="Times New Roman" w:hAnsi="Times New Roman" w:cs="Times New Roman"/>
          <w:szCs w:val="21"/>
        </w:rPr>
        <w:t xml:space="preserve">Secondly, the proposed framework provides a more structured approach to understanding the EC reduction mechanism of LCCMs by exploring the previous building LCCMs research </w:t>
      </w:r>
      <w:r>
        <w:rPr>
          <w:rFonts w:ascii="Times New Roman" w:hAnsi="Times New Roman" w:cs="Times New Roman"/>
          <w:szCs w:val="21"/>
        </w:rPr>
        <w:t>in detail</w:t>
      </w:r>
      <w:r w:rsidRPr="00DB5DDF">
        <w:rPr>
          <w:rFonts w:ascii="Times New Roman" w:hAnsi="Times New Roman" w:cs="Times New Roman"/>
          <w:szCs w:val="21"/>
        </w:rPr>
        <w:t>. Through its application in this review, the framework has efficaciously demonstrated the diversity but correlation of different LCCMs papers by extracting their key information.</w:t>
      </w:r>
      <w:r w:rsidDel="006F4B04">
        <w:rPr>
          <w:rFonts w:ascii="Times New Roman" w:hAnsi="Times New Roman" w:cs="Times New Roman"/>
          <w:noProof/>
          <w:szCs w:val="21"/>
        </w:rPr>
        <w:t xml:space="preserve"> </w:t>
      </w:r>
      <w:r>
        <w:rPr>
          <w:rFonts w:ascii="Times New Roman" w:hAnsi="Times New Roman" w:cs="Times New Roman"/>
          <w:szCs w:val="21"/>
        </w:rPr>
        <w:t xml:space="preserve">In addition, other studies pertaining to </w:t>
      </w:r>
      <w:r w:rsidRPr="00DB5DDF">
        <w:rPr>
          <w:rFonts w:ascii="Times New Roman" w:hAnsi="Times New Roman" w:cs="Times New Roman"/>
          <w:szCs w:val="21"/>
        </w:rPr>
        <w:t>examining</w:t>
      </w:r>
      <w:r>
        <w:rPr>
          <w:rFonts w:ascii="Times New Roman" w:hAnsi="Times New Roman" w:cs="Times New Roman"/>
          <w:szCs w:val="21"/>
        </w:rPr>
        <w:t xml:space="preserve"> EC in buildings can also be thoroughly assessed using the structured approach </w:t>
      </w:r>
      <w:r>
        <w:rPr>
          <w:rFonts w:ascii="Times New Roman" w:hAnsi="Times New Roman" w:cs="Times New Roman"/>
          <w:noProof/>
          <w:szCs w:val="21"/>
        </w:rPr>
        <w:t>(Teng &amp; Pan, 2019)</w:t>
      </w:r>
      <w:r>
        <w:rPr>
          <w:rFonts w:ascii="Times New Roman" w:hAnsi="Times New Roman" w:cs="Times New Roman"/>
          <w:szCs w:val="21"/>
        </w:rPr>
        <w:t xml:space="preserve">. </w:t>
      </w:r>
      <w:r w:rsidRPr="00DB5DDF">
        <w:rPr>
          <w:rFonts w:ascii="Times New Roman" w:hAnsi="Times New Roman" w:cs="Times New Roman"/>
          <w:szCs w:val="21"/>
        </w:rPr>
        <w:t>Such a framework can also facilitate the analysis of future LCCMs case studies and achieve a reliable and valid cross-case comparison by setting variables as control statistics</w:t>
      </w:r>
      <w:r>
        <w:rPr>
          <w:rFonts w:ascii="Times New Roman" w:hAnsi="Times New Roman" w:cs="Times New Roman"/>
          <w:szCs w:val="21"/>
        </w:rPr>
        <w:t xml:space="preserve"> </w:t>
      </w:r>
      <w:r>
        <w:rPr>
          <w:rFonts w:ascii="Times New Roman" w:hAnsi="Times New Roman" w:cs="Times New Roman"/>
          <w:noProof/>
          <w:szCs w:val="21"/>
        </w:rPr>
        <w:t>(Pan et al., 2018)</w:t>
      </w:r>
      <w:r>
        <w:rPr>
          <w:rFonts w:ascii="Times New Roman" w:hAnsi="Times New Roman" w:cs="Times New Roman"/>
          <w:szCs w:val="21"/>
        </w:rPr>
        <w:t xml:space="preserve">. </w:t>
      </w:r>
      <w:r w:rsidRPr="00DB5DDF">
        <w:rPr>
          <w:rFonts w:ascii="Times New Roman" w:hAnsi="Times New Roman" w:cs="Times New Roman"/>
          <w:szCs w:val="21"/>
        </w:rPr>
        <w:t>Therefore, researchers are expected to gain more in-depth insights of the current state-of-the-art of low carbon concrete materials research</w:t>
      </w:r>
      <w:r>
        <w:rPr>
          <w:rFonts w:ascii="Times New Roman" w:hAnsi="Times New Roman" w:cs="Times New Roman" w:hint="eastAsia"/>
          <w:szCs w:val="21"/>
        </w:rPr>
        <w:t>.</w:t>
      </w:r>
    </w:p>
    <w:p w14:paraId="51F84372" w14:textId="77777777" w:rsidR="00BF0919" w:rsidRDefault="00BF0919">
      <w:pPr>
        <w:rPr>
          <w:rFonts w:ascii="Times New Roman" w:hAnsi="Times New Roman" w:cs="Times New Roman"/>
          <w:szCs w:val="21"/>
        </w:rPr>
      </w:pPr>
    </w:p>
    <w:p w14:paraId="0AF90496" w14:textId="1E40D7F0" w:rsidR="00BF0919" w:rsidRPr="00600602" w:rsidRDefault="00BF0919" w:rsidP="0092536C">
      <w:pPr>
        <w:rPr>
          <w:rFonts w:ascii="Times New Roman" w:hAnsi="Times New Roman" w:cs="Times New Roman"/>
          <w:szCs w:val="21"/>
        </w:rPr>
      </w:pPr>
      <w:r>
        <w:rPr>
          <w:rFonts w:ascii="Times New Roman" w:hAnsi="Times New Roman" w:cs="Times New Roman"/>
          <w:szCs w:val="21"/>
        </w:rPr>
        <w:t xml:space="preserve">Thirdly, </w:t>
      </w:r>
      <w:r w:rsidRPr="00855671">
        <w:rPr>
          <w:rFonts w:ascii="Times New Roman" w:hAnsi="Times New Roman" w:cs="Times New Roman"/>
          <w:szCs w:val="21"/>
        </w:rPr>
        <w:t xml:space="preserve">a unified quantitative </w:t>
      </w:r>
      <w:r>
        <w:rPr>
          <w:rFonts w:ascii="Times New Roman" w:hAnsi="Times New Roman" w:cs="Times New Roman"/>
          <w:szCs w:val="21"/>
        </w:rPr>
        <w:t xml:space="preserve">assessment is rather important to achieve a </w:t>
      </w:r>
      <w:r>
        <w:rPr>
          <w:rFonts w:ascii="Times New Roman" w:hAnsi="Times New Roman"/>
        </w:rPr>
        <w:t>systematic understanding and to compare the EC reduction potentials between LCCMs. Previous research has seldom provided unified and complete statistics of materials’ EC emissions nor EC reduction potentials. This could be fundamentally attributed to the variances in measuring bases (e.g., volume and mass), measuring units (e.g., kg and kg/m</w:t>
      </w:r>
      <w:r w:rsidRPr="00AF0F57">
        <w:rPr>
          <w:rFonts w:ascii="Times New Roman" w:hAnsi="Times New Roman"/>
          <w:vertAlign w:val="superscript"/>
        </w:rPr>
        <w:t>3</w:t>
      </w:r>
      <w:r>
        <w:rPr>
          <w:rFonts w:ascii="Times New Roman" w:hAnsi="Times New Roman"/>
        </w:rPr>
        <w:t xml:space="preserve">), etc., as noted in many studies </w:t>
      </w:r>
      <w:r>
        <w:rPr>
          <w:rFonts w:ascii="Times New Roman" w:hAnsi="Times New Roman"/>
          <w:noProof/>
        </w:rPr>
        <w:t>(Maddalena et al., 2018; Orsini &amp; Marrone, 2019)</w:t>
      </w:r>
      <w:r>
        <w:rPr>
          <w:rFonts w:ascii="Times New Roman" w:hAnsi="Times New Roman"/>
        </w:rPr>
        <w:t xml:space="preserve">. To tackle such dilemmas, this review has conducted a quantitative assessment by constructing a control base and </w:t>
      </w:r>
      <w:r w:rsidRPr="006F4B04">
        <w:rPr>
          <w:rFonts w:ascii="Times New Roman" w:hAnsi="Times New Roman"/>
        </w:rPr>
        <w:t>convert</w:t>
      </w:r>
      <w:r>
        <w:rPr>
          <w:rFonts w:ascii="Times New Roman" w:hAnsi="Times New Roman"/>
        </w:rPr>
        <w:t>ing the EC reductions’ quantities into percentage proportion, so as to provid</w:t>
      </w:r>
      <w:r>
        <w:rPr>
          <w:rFonts w:ascii="Times New Roman" w:hAnsi="Times New Roman" w:hint="eastAsia"/>
        </w:rPr>
        <w:t>e</w:t>
      </w:r>
      <w:r>
        <w:rPr>
          <w:rFonts w:ascii="Times New Roman" w:hAnsi="Times New Roman"/>
        </w:rPr>
        <w:t xml:space="preserve"> direct insights into LCCMs’ weak or strong capabilities in reducing EC. This can help </w:t>
      </w:r>
      <w:r w:rsidRPr="00763529">
        <w:rPr>
          <w:rFonts w:ascii="Times New Roman" w:hAnsi="Times New Roman"/>
        </w:rPr>
        <w:t>practitioners</w:t>
      </w:r>
      <w:r>
        <w:rPr>
          <w:rFonts w:ascii="Times New Roman" w:hAnsi="Times New Roman"/>
        </w:rPr>
        <w:t xml:space="preserve"> in conducting a rough assessment of the EC reduction efficiency in construction projects. </w:t>
      </w:r>
    </w:p>
    <w:p w14:paraId="0E31B407" w14:textId="77777777" w:rsidR="00BF0919" w:rsidRDefault="00BF0919">
      <w:pPr>
        <w:rPr>
          <w:rFonts w:ascii="Times New Roman" w:hAnsi="Times New Roman" w:cs="Times New Roman"/>
        </w:rPr>
      </w:pPr>
    </w:p>
    <w:p w14:paraId="23D4399A" w14:textId="4453A18B" w:rsidR="00BF0919" w:rsidRDefault="00BF0919">
      <w:pPr>
        <w:rPr>
          <w:rFonts w:ascii="Times New Roman" w:hAnsi="Times New Roman" w:cs="Times New Roman"/>
          <w:szCs w:val="21"/>
        </w:rPr>
      </w:pPr>
      <w:r>
        <w:rPr>
          <w:rFonts w:ascii="Times New Roman" w:hAnsi="Times New Roman" w:cs="Times New Roman"/>
        </w:rPr>
        <w:t xml:space="preserve">Fourthly, the application of LCCMs is still in its infancy. </w:t>
      </w:r>
      <w:r>
        <w:rPr>
          <w:rFonts w:ascii="Times New Roman" w:hAnsi="Times New Roman" w:cs="Times New Roman"/>
          <w:szCs w:val="21"/>
        </w:rPr>
        <w:t xml:space="preserve">There is, in most cases studying SCMs, a </w:t>
      </w:r>
      <w:r>
        <w:rPr>
          <w:rFonts w:ascii="Times New Roman" w:hAnsi="Times New Roman" w:cs="Times New Roman" w:hint="eastAsia"/>
          <w:szCs w:val="21"/>
        </w:rPr>
        <w:t>replacing</w:t>
      </w:r>
      <w:r>
        <w:rPr>
          <w:rFonts w:ascii="Times New Roman" w:hAnsi="Times New Roman" w:cs="Times New Roman"/>
          <w:szCs w:val="21"/>
        </w:rPr>
        <w:t xml:space="preserve"> upper limit for the majority of SCMs. Exceeding the limit, the adverse impacts on concrete performances have been widely noted in the literature </w:t>
      </w:r>
      <w:r>
        <w:rPr>
          <w:rFonts w:ascii="Times New Roman" w:hAnsi="Times New Roman" w:cs="Times New Roman"/>
          <w:noProof/>
          <w:szCs w:val="21"/>
        </w:rPr>
        <w:t>(Batista et al., 2019; Lee et al., 2021)</w:t>
      </w:r>
      <w:r>
        <w:rPr>
          <w:rFonts w:ascii="Times New Roman" w:hAnsi="Times New Roman" w:cs="Times New Roman"/>
          <w:szCs w:val="21"/>
        </w:rPr>
        <w:t>. Moreover, since most SCMs are industrial by-products and their production are rather limited, it is hardly possible to promote a large-scale application of SCMs in practical construction. As for LCBs,</w:t>
      </w:r>
      <w:r w:rsidDel="006B78AE">
        <w:rPr>
          <w:rFonts w:ascii="Times New Roman" w:hAnsi="Times New Roman" w:cs="Times New Roman"/>
          <w:szCs w:val="21"/>
        </w:rPr>
        <w:t xml:space="preserve"> </w:t>
      </w:r>
      <w:r>
        <w:rPr>
          <w:rFonts w:ascii="Times New Roman" w:hAnsi="Times New Roman" w:cs="Times New Roman"/>
          <w:szCs w:val="21"/>
        </w:rPr>
        <w:t xml:space="preserve">the lack of a well-established supply chain, competition on </w:t>
      </w:r>
      <w:proofErr w:type="spellStart"/>
      <w:r>
        <w:rPr>
          <w:rFonts w:ascii="Times New Roman" w:hAnsi="Times New Roman" w:cs="Times New Roman"/>
        </w:rPr>
        <w:t>alumino</w:t>
      </w:r>
      <w:proofErr w:type="spellEnd"/>
      <w:r>
        <w:rPr>
          <w:rFonts w:ascii="Times New Roman" w:hAnsi="Times New Roman" w:cs="Times New Roman"/>
        </w:rPr>
        <w:t>-silicate</w:t>
      </w:r>
      <w:r>
        <w:rPr>
          <w:rFonts w:ascii="Times New Roman" w:hAnsi="Times New Roman" w:cs="Times New Roman"/>
          <w:szCs w:val="21"/>
        </w:rPr>
        <w:t xml:space="preserve"> sources with </w:t>
      </w:r>
      <w:proofErr w:type="spellStart"/>
      <w:r>
        <w:rPr>
          <w:rFonts w:ascii="Times New Roman" w:hAnsi="Times New Roman" w:cs="Times New Roman"/>
          <w:szCs w:val="21"/>
        </w:rPr>
        <w:t>OPC</w:t>
      </w:r>
      <w:proofErr w:type="spellEnd"/>
      <w:r>
        <w:rPr>
          <w:rFonts w:ascii="Times New Roman" w:hAnsi="Times New Roman" w:cs="Times New Roman"/>
          <w:szCs w:val="21"/>
        </w:rPr>
        <w:t xml:space="preserve"> and much higher expenditures than OPC are the main roadblocks facing large-scale application </w:t>
      </w:r>
      <w:r>
        <w:rPr>
          <w:rFonts w:ascii="Times New Roman" w:hAnsi="Times New Roman" w:cs="Times New Roman"/>
          <w:noProof/>
          <w:szCs w:val="21"/>
        </w:rPr>
        <w:t>(Habert &amp; Ouellet-Plamondon, 2016; Provis, 2018)</w:t>
      </w:r>
      <w:r>
        <w:rPr>
          <w:rFonts w:ascii="Times New Roman" w:hAnsi="Times New Roman" w:cs="Times New Roman"/>
          <w:szCs w:val="21"/>
        </w:rPr>
        <w:t>. A</w:t>
      </w:r>
      <w:r>
        <w:rPr>
          <w:rFonts w:ascii="Times New Roman" w:hAnsi="Times New Roman" w:cs="Times New Roman" w:hint="eastAsia"/>
          <w:szCs w:val="21"/>
        </w:rPr>
        <w:t>lt</w:t>
      </w:r>
      <w:r>
        <w:rPr>
          <w:rFonts w:ascii="Times New Roman" w:hAnsi="Times New Roman" w:cs="Times New Roman"/>
          <w:szCs w:val="21"/>
        </w:rPr>
        <w:t xml:space="preserve">hough the use of RCAs has also been studied in some papers for achieving EC savings, additional </w:t>
      </w:r>
      <w:r w:rsidRPr="00855671">
        <w:rPr>
          <w:rFonts w:ascii="Times New Roman" w:hAnsi="Times New Roman" w:cs="Times New Roman"/>
          <w:szCs w:val="21"/>
        </w:rPr>
        <w:t>carbon</w:t>
      </w:r>
      <w:r w:rsidRPr="00855671" w:rsidDel="00855671">
        <w:rPr>
          <w:rFonts w:ascii="Times New Roman" w:hAnsi="Times New Roman" w:cs="Times New Roman"/>
          <w:szCs w:val="21"/>
        </w:rPr>
        <w:t xml:space="preserve"> </w:t>
      </w:r>
      <w:r>
        <w:rPr>
          <w:rFonts w:ascii="Times New Roman" w:hAnsi="Times New Roman" w:cs="Times New Roman"/>
          <w:szCs w:val="21"/>
        </w:rPr>
        <w:t xml:space="preserve">emitted during treatment before utilization is inevitable </w:t>
      </w:r>
      <w:r>
        <w:rPr>
          <w:rFonts w:ascii="Times New Roman" w:hAnsi="Times New Roman" w:cs="Times New Roman"/>
          <w:noProof/>
          <w:szCs w:val="21"/>
        </w:rPr>
        <w:t>(Gravina &amp; Xie, 2022; Lee et al., 2012)</w:t>
      </w:r>
      <w:r>
        <w:rPr>
          <w:rFonts w:ascii="Times New Roman" w:hAnsi="Times New Roman" w:cs="Times New Roman"/>
          <w:szCs w:val="21"/>
        </w:rPr>
        <w:t xml:space="preserve">. It may compromise the EC savings or even cause increments. HSC cannot always entail lower EC emissions unless striking a balance between the reduced concrete usage and corresponding increased EC per unit volume due to the improved concrete strength </w:t>
      </w:r>
      <w:r>
        <w:rPr>
          <w:rFonts w:ascii="Times New Roman" w:hAnsi="Times New Roman" w:cs="Times New Roman"/>
          <w:noProof/>
          <w:szCs w:val="21"/>
        </w:rPr>
        <w:t>(Park et al., 2012; Thilakarathna et al., 2020)</w:t>
      </w:r>
      <w:r>
        <w:rPr>
          <w:rFonts w:ascii="Times New Roman" w:hAnsi="Times New Roman" w:cs="Times New Roman"/>
          <w:szCs w:val="21"/>
        </w:rPr>
        <w:t xml:space="preserve">. </w:t>
      </w:r>
    </w:p>
    <w:p w14:paraId="1FB2803F" w14:textId="77777777" w:rsidR="00BF0919" w:rsidRDefault="00BF0919">
      <w:pPr>
        <w:rPr>
          <w:rFonts w:ascii="Times New Roman" w:hAnsi="Times New Roman" w:cs="Times New Roman"/>
          <w:szCs w:val="21"/>
        </w:rPr>
      </w:pPr>
    </w:p>
    <w:p w14:paraId="1DEEA650" w14:textId="77777777" w:rsidR="00BF0919" w:rsidRDefault="00BF0919" w:rsidP="00D5302F">
      <w:pPr>
        <w:pStyle w:val="Heading1"/>
        <w:numPr>
          <w:ilvl w:val="0"/>
          <w:numId w:val="17"/>
        </w:numPr>
      </w:pPr>
      <w:r>
        <w:t>Conclusions</w:t>
      </w:r>
    </w:p>
    <w:p w14:paraId="676F1218" w14:textId="1268D353" w:rsidR="00BF0919" w:rsidRDefault="00BF0919" w:rsidP="00DF3739">
      <w:pPr>
        <w:rPr>
          <w:rFonts w:ascii="Times New Roman" w:hAnsi="Times New Roman" w:cs="Times New Roman"/>
        </w:rPr>
      </w:pPr>
      <w:r>
        <w:rPr>
          <w:rFonts w:ascii="Times New Roman" w:hAnsi="Times New Roman" w:cs="Times New Roman"/>
        </w:rPr>
        <w:t xml:space="preserve">This paper has identified and reviewed the </w:t>
      </w:r>
      <w:proofErr w:type="gramStart"/>
      <w:r>
        <w:rPr>
          <w:rFonts w:ascii="Times New Roman" w:hAnsi="Times New Roman" w:cs="Times New Roman"/>
        </w:rPr>
        <w:t>potentials</w:t>
      </w:r>
      <w:proofErr w:type="gramEnd"/>
      <w:r>
        <w:rPr>
          <w:rFonts w:ascii="Times New Roman" w:hAnsi="Times New Roman" w:cs="Times New Roman"/>
        </w:rPr>
        <w:t xml:space="preserve"> of using LCCMs for EC reduction by collecting </w:t>
      </w:r>
      <w:r>
        <w:rPr>
          <w:rFonts w:ascii="Times New Roman" w:hAnsi="Times New Roman" w:cs="Times New Roman"/>
        </w:rPr>
        <w:lastRenderedPageBreak/>
        <w:t xml:space="preserve">information of 128 cases from 65 </w:t>
      </w:r>
      <w:proofErr w:type="gramStart"/>
      <w:r>
        <w:rPr>
          <w:rFonts w:ascii="Times New Roman" w:hAnsi="Times New Roman" w:cs="Times New Roman"/>
        </w:rPr>
        <w:t>carefully-selected</w:t>
      </w:r>
      <w:proofErr w:type="gramEnd"/>
      <w:r>
        <w:rPr>
          <w:rFonts w:ascii="Times New Roman" w:hAnsi="Times New Roman" w:cs="Times New Roman"/>
        </w:rPr>
        <w:t xml:space="preserve"> papers published between 2001 and 2022. A</w:t>
      </w:r>
      <w:r w:rsidRPr="002A2016">
        <w:rPr>
          <w:rFonts w:ascii="Times New Roman" w:hAnsi="Times New Roman" w:cs="Times New Roman"/>
        </w:rPr>
        <w:t xml:space="preserve"> </w:t>
      </w:r>
      <w:r>
        <w:rPr>
          <w:rFonts w:ascii="Times New Roman" w:hAnsi="Times New Roman" w:cs="Times New Roman"/>
        </w:rPr>
        <w:t xml:space="preserve">three-dimensional theoretical </w:t>
      </w:r>
      <w:r w:rsidRPr="002A2016">
        <w:rPr>
          <w:rFonts w:ascii="Times New Roman" w:hAnsi="Times New Roman" w:cs="Times New Roman"/>
        </w:rPr>
        <w:t xml:space="preserve">framework </w:t>
      </w:r>
      <w:r>
        <w:rPr>
          <w:rFonts w:ascii="Times New Roman" w:hAnsi="Times New Roman" w:cs="Times New Roman"/>
        </w:rPr>
        <w:t xml:space="preserve">of </w:t>
      </w:r>
      <w:r w:rsidRPr="000E0E0C">
        <w:rPr>
          <w:rFonts w:ascii="Times New Roman" w:hAnsi="Times New Roman" w:cs="Times New Roman"/>
        </w:rPr>
        <w:t xml:space="preserve">buildings’ LCCMs </w:t>
      </w:r>
      <w:r>
        <w:rPr>
          <w:rFonts w:ascii="Times New Roman" w:hAnsi="Times New Roman" w:cs="Times New Roman"/>
        </w:rPr>
        <w:t>is developed to guide the critical review in the concept, methodology and value dimensions. The main findings and conclusions of this paper are provided below.</w:t>
      </w:r>
    </w:p>
    <w:p w14:paraId="2B16040D" w14:textId="77777777" w:rsidR="00BF0919" w:rsidRDefault="00BF0919">
      <w:pPr>
        <w:pStyle w:val="ListParagraph"/>
        <w:ind w:firstLineChars="0" w:firstLine="0"/>
        <w:rPr>
          <w:rFonts w:ascii="Times New Roman" w:hAnsi="Times New Roman" w:cs="Times New Roman"/>
        </w:rPr>
      </w:pPr>
    </w:p>
    <w:p w14:paraId="06A63EB1" w14:textId="14D349E1" w:rsidR="00BF0919" w:rsidRDefault="00BF0919" w:rsidP="00C328D0">
      <w:pPr>
        <w:pStyle w:val="ListParagraph"/>
        <w:ind w:firstLineChars="0" w:firstLine="0"/>
        <w:rPr>
          <w:rFonts w:ascii="Times New Roman" w:hAnsi="Times New Roman" w:cs="Times New Roman"/>
        </w:rPr>
      </w:pPr>
      <w:r>
        <w:rPr>
          <w:rFonts w:ascii="Times New Roman" w:hAnsi="Times New Roman" w:cs="Times New Roman"/>
        </w:rPr>
        <w:t>Firstly, the LCCMs research discipline has been receiving profuse attention from researchers during the past decade, especially after the year 2015. T</w:t>
      </w:r>
      <w:r>
        <w:rPr>
          <w:rFonts w:ascii="Times New Roman" w:hAnsi="Times New Roman" w:cs="Times New Roman" w:hint="eastAsia"/>
        </w:rPr>
        <w:t>he</w:t>
      </w:r>
      <w:r>
        <w:rPr>
          <w:rFonts w:ascii="Times New Roman" w:hAnsi="Times New Roman" w:cs="Times New Roman"/>
        </w:rPr>
        <w:t xml:space="preserve"> </w:t>
      </w:r>
      <w:r>
        <w:rPr>
          <w:rFonts w:ascii="Times New Roman" w:hAnsi="Times New Roman" w:cs="Times New Roman" w:hint="eastAsia"/>
        </w:rPr>
        <w:t>f</w:t>
      </w:r>
      <w:r>
        <w:rPr>
          <w:rFonts w:ascii="Times New Roman" w:hAnsi="Times New Roman" w:cs="Times New Roman"/>
        </w:rPr>
        <w:t>ive hottest topics in the knowledge of LCCMs discipline are identified as life cycle assessment, CO</w:t>
      </w:r>
      <w:r w:rsidRPr="00AF0F57">
        <w:rPr>
          <w:rFonts w:ascii="Times New Roman" w:hAnsi="Times New Roman" w:cs="Times New Roman"/>
          <w:vertAlign w:val="subscript"/>
        </w:rPr>
        <w:t>2</w:t>
      </w:r>
      <w:r>
        <w:rPr>
          <w:rFonts w:ascii="Times New Roman" w:hAnsi="Times New Roman" w:cs="Times New Roman"/>
        </w:rPr>
        <w:t xml:space="preserve">, recycled aggregate, concrete, and fly ash. Scholars from Australia, China and European countries are making considerable contributions and playing an essential role in mapping the region-varying EC reducing potentials, and thus promoting the development of LCCMs in the construction industry. It serves as an important basis for building the knowledge structure in applying LCCMs. </w:t>
      </w:r>
    </w:p>
    <w:p w14:paraId="32BFC938" w14:textId="77777777" w:rsidR="00BF0919" w:rsidRDefault="00BF0919" w:rsidP="00D81386">
      <w:pPr>
        <w:pStyle w:val="ListParagraph"/>
        <w:ind w:firstLineChars="0" w:firstLine="0"/>
        <w:rPr>
          <w:rFonts w:ascii="Times New Roman" w:hAnsi="Times New Roman" w:cs="Times New Roman"/>
        </w:rPr>
      </w:pPr>
    </w:p>
    <w:p w14:paraId="029736AC" w14:textId="5D788730" w:rsidR="00BF0919" w:rsidRPr="00F942C6" w:rsidRDefault="00BF0919" w:rsidP="00D81386">
      <w:pPr>
        <w:pStyle w:val="ListParagraph"/>
        <w:ind w:firstLineChars="0" w:firstLine="0"/>
        <w:rPr>
          <w:rFonts w:ascii="Times New Roman" w:hAnsi="Times New Roman" w:cs="Times New Roman"/>
        </w:rPr>
      </w:pPr>
      <w:r>
        <w:rPr>
          <w:rFonts w:ascii="Times New Roman" w:hAnsi="Times New Roman" w:cs="Times New Roman"/>
        </w:rPr>
        <w:t xml:space="preserve">Secondly, the paper identifies the potential EC reduction of four types of LCCMs, namely, supplementary cementitious materials (SCMs), low-carbon cementitious binders (LCBs), </w:t>
      </w:r>
      <w:r>
        <w:rPr>
          <w:rFonts w:ascii="Times New Roman" w:hAnsi="Times New Roman" w:cs="Times New Roman"/>
          <w:szCs w:val="21"/>
        </w:rPr>
        <w:t>r</w:t>
      </w:r>
      <w:r w:rsidRPr="005F4EC5">
        <w:rPr>
          <w:rFonts w:ascii="Times New Roman" w:hAnsi="Times New Roman" w:cs="Times New Roman"/>
          <w:szCs w:val="21"/>
        </w:rPr>
        <w:t>ecycled concrete aggregates</w:t>
      </w:r>
      <w:r>
        <w:rPr>
          <w:rFonts w:ascii="Times New Roman" w:hAnsi="Times New Roman" w:cs="Times New Roman"/>
        </w:rPr>
        <w:t xml:space="preserve"> (RCAs) and high strength concrete (HSC). Among them, the use of SCMs has been the most widely used </w:t>
      </w:r>
      <w:r w:rsidRPr="00855671">
        <w:rPr>
          <w:rFonts w:ascii="Times New Roman" w:hAnsi="Times New Roman" w:cs="Times New Roman"/>
        </w:rPr>
        <w:t>strategy</w:t>
      </w:r>
      <w:r>
        <w:rPr>
          <w:rFonts w:ascii="Times New Roman" w:hAnsi="Times New Roman" w:cs="Times New Roman"/>
        </w:rPr>
        <w:t xml:space="preserve"> due to its wide </w:t>
      </w:r>
      <w:r w:rsidRPr="0079198C">
        <w:rPr>
          <w:rFonts w:ascii="Times New Roman" w:hAnsi="Times New Roman" w:cs="Times New Roman"/>
        </w:rPr>
        <w:t>availability</w:t>
      </w:r>
      <w:r>
        <w:rPr>
          <w:rFonts w:ascii="Times New Roman" w:hAnsi="Times New Roman" w:cs="Times New Roman"/>
        </w:rPr>
        <w:t xml:space="preserve"> and low cost of the materials such as FA and GGBS. Considering both the replacement ratio and the EC reduction potential, </w:t>
      </w:r>
      <w:r>
        <w:rPr>
          <w:rFonts w:ascii="Times New Roman" w:hAnsi="Times New Roman" w:cs="Times New Roman"/>
          <w:szCs w:val="21"/>
        </w:rPr>
        <w:t xml:space="preserve">the use of FA is more </w:t>
      </w:r>
      <w:r w:rsidRPr="0079198C">
        <w:rPr>
          <w:rFonts w:ascii="Times New Roman" w:hAnsi="Times New Roman" w:cs="Times New Roman"/>
          <w:szCs w:val="21"/>
        </w:rPr>
        <w:t>preferable</w:t>
      </w:r>
      <w:r>
        <w:rPr>
          <w:rFonts w:ascii="Times New Roman" w:hAnsi="Times New Roman" w:cs="Times New Roman"/>
          <w:szCs w:val="21"/>
        </w:rPr>
        <w:t xml:space="preserve"> than GGBS with a 14.9% higher RRF. T</w:t>
      </w:r>
      <w:r>
        <w:rPr>
          <w:rFonts w:ascii="Times New Roman" w:hAnsi="Times New Roman" w:cs="Times New Roman"/>
        </w:rPr>
        <w:t xml:space="preserve">he average EC reduction potential of LCBs is 64.9% higher than that of SCMs. The use of RCA concrete and HSC has demonstrated a lower EC reduction potential. In particular, this paper also concludes that the increased use of </w:t>
      </w:r>
      <w:r>
        <w:rPr>
          <w:rFonts w:ascii="Times New Roman" w:hAnsi="Times New Roman" w:cs="Times New Roman"/>
          <w:szCs w:val="21"/>
        </w:rPr>
        <w:t>RCAs and HSC</w:t>
      </w:r>
      <w:r>
        <w:rPr>
          <w:rFonts w:ascii="Times New Roman" w:hAnsi="Times New Roman" w:cs="Times New Roman"/>
        </w:rPr>
        <w:t xml:space="preserve"> does not necessarily result in a reduced EC. </w:t>
      </w:r>
      <w:r>
        <w:rPr>
          <w:rFonts w:ascii="Times New Roman" w:hAnsi="Times New Roman" w:cs="Times New Roman"/>
          <w:szCs w:val="21"/>
        </w:rPr>
        <w:t xml:space="preserve">Therefore, a balance should be made by carefully examining the availability and the reduction potentials of materials. It provides a new direction for designers to select suitable and applicable low carbon materials in an early design stage. </w:t>
      </w:r>
    </w:p>
    <w:p w14:paraId="7E192957" w14:textId="77777777" w:rsidR="00BF0919" w:rsidRDefault="00BF0919">
      <w:pPr>
        <w:pStyle w:val="ListParagraph"/>
        <w:ind w:firstLineChars="0" w:firstLine="0"/>
        <w:rPr>
          <w:rFonts w:ascii="Times New Roman" w:hAnsi="Times New Roman" w:cs="Times New Roman"/>
        </w:rPr>
      </w:pPr>
    </w:p>
    <w:p w14:paraId="2653EC0A" w14:textId="23DE16F6" w:rsidR="00BF0919" w:rsidRPr="00D65F51" w:rsidRDefault="00BF0919" w:rsidP="00D65F51">
      <w:pPr>
        <w:pStyle w:val="ListParagraph"/>
        <w:ind w:firstLineChars="0" w:firstLine="0"/>
        <w:rPr>
          <w:rFonts w:ascii="Times New Roman" w:hAnsi="Times New Roman" w:cs="Times New Roman"/>
          <w:szCs w:val="21"/>
        </w:rPr>
      </w:pPr>
      <w:r>
        <w:rPr>
          <w:rFonts w:ascii="Times New Roman" w:hAnsi="Times New Roman" w:cs="Times New Roman"/>
          <w:szCs w:val="21"/>
        </w:rPr>
        <w:t xml:space="preserve">Thirdly, this paper emphasizes the importance of comparing the EC reduction potentials at the same level. </w:t>
      </w:r>
      <w:r>
        <w:rPr>
          <w:rFonts w:ascii="Times New Roman" w:hAnsi="Times New Roman" w:cs="Times New Roman"/>
        </w:rPr>
        <w:t>T</w:t>
      </w:r>
      <w:r w:rsidRPr="00352D1A">
        <w:rPr>
          <w:rFonts w:ascii="Times New Roman" w:hAnsi="Times New Roman" w:cs="Times New Roman"/>
        </w:rPr>
        <w:t xml:space="preserve">he lack of a unified </w:t>
      </w:r>
      <w:r>
        <w:rPr>
          <w:rFonts w:ascii="Times New Roman" w:hAnsi="Times New Roman" w:cs="Times New Roman"/>
        </w:rPr>
        <w:t>measuring levels</w:t>
      </w:r>
      <w:r w:rsidRPr="00352D1A">
        <w:rPr>
          <w:rFonts w:ascii="Times New Roman" w:hAnsi="Times New Roman" w:cs="Times New Roman"/>
        </w:rPr>
        <w:t xml:space="preserve"> is emphasized as </w:t>
      </w:r>
      <w:r>
        <w:rPr>
          <w:rFonts w:ascii="Times New Roman" w:hAnsi="Times New Roman" w:cs="Times New Roman"/>
        </w:rPr>
        <w:t xml:space="preserve">a primary </w:t>
      </w:r>
      <w:r w:rsidRPr="00352D1A">
        <w:rPr>
          <w:rFonts w:ascii="Times New Roman" w:hAnsi="Times New Roman" w:cs="Times New Roman"/>
        </w:rPr>
        <w:t>impediment to comparing EC reduction potentials</w:t>
      </w:r>
      <w:r>
        <w:rPr>
          <w:rFonts w:ascii="Times New Roman" w:hAnsi="Times New Roman" w:cs="Times New Roman"/>
        </w:rPr>
        <w:t xml:space="preserve"> between LCCMs. </w:t>
      </w:r>
      <w:r>
        <w:rPr>
          <w:rFonts w:ascii="Times New Roman" w:hAnsi="Times New Roman" w:cs="Times New Roman"/>
          <w:szCs w:val="21"/>
        </w:rPr>
        <w:t xml:space="preserve">After dividing the EC reduction potentials of the papers studying SCMs into </w:t>
      </w:r>
      <w:r>
        <w:rPr>
          <w:rFonts w:ascii="Times New Roman" w:hAnsi="Times New Roman" w:cs="Times New Roman"/>
        </w:rPr>
        <w:t xml:space="preserve">C&amp;B and </w:t>
      </w:r>
      <w:r>
        <w:rPr>
          <w:rFonts w:ascii="Times New Roman" w:hAnsi="Times New Roman" w:cs="Times New Roman"/>
          <w:szCs w:val="21"/>
        </w:rPr>
        <w:t>C&amp;C level, up to 11.1% difference in EC reduction potentials is noticed between these two levels. This observation highlights</w:t>
      </w:r>
      <w:r>
        <w:rPr>
          <w:rFonts w:ascii="Times New Roman" w:hAnsi="Times New Roman" w:cs="Times New Roman"/>
        </w:rPr>
        <w:t xml:space="preserve"> the importance of a unified comparison of EC reduction at the same level among different cases. On the other hand, the cross-level comparison is achieved by comparing LCBs and HSC with the same LCCMs, i.e., the SCMs, at C&amp;B and </w:t>
      </w:r>
      <w:r>
        <w:rPr>
          <w:rFonts w:ascii="Times New Roman" w:hAnsi="Times New Roman" w:cs="Times New Roman"/>
          <w:szCs w:val="21"/>
        </w:rPr>
        <w:t xml:space="preserve">C&amp;C levels. Based on the comparison, </w:t>
      </w:r>
      <w:r>
        <w:rPr>
          <w:rFonts w:ascii="Times New Roman" w:hAnsi="Times New Roman" w:cs="Times New Roman"/>
        </w:rPr>
        <w:t xml:space="preserve">the LCBs are generally the most effective in EC reduction amongst all the identified LCCMs. For achieving reliable and valid cross-case comparisons, it is rather important to keep EC reduction potentials measured at the same level. Findings in this paper could help to conduct </w:t>
      </w:r>
      <w:r w:rsidRPr="00D72A17">
        <w:rPr>
          <w:rFonts w:ascii="Times New Roman" w:hAnsi="Times New Roman" w:cs="Times New Roman"/>
        </w:rPr>
        <w:t xml:space="preserve">scenario and sensitivity analysis in future research for </w:t>
      </w:r>
      <w:r>
        <w:rPr>
          <w:rFonts w:ascii="Times New Roman" w:hAnsi="Times New Roman" w:cs="Times New Roman"/>
        </w:rPr>
        <w:t xml:space="preserve">further </w:t>
      </w:r>
      <w:r w:rsidRPr="00D72A17">
        <w:rPr>
          <w:rFonts w:ascii="Times New Roman" w:hAnsi="Times New Roman" w:cs="Times New Roman"/>
        </w:rPr>
        <w:t>exploring EC reduction potentials.</w:t>
      </w:r>
    </w:p>
    <w:p w14:paraId="7C9308BB" w14:textId="77777777" w:rsidR="00BF0919" w:rsidRDefault="00BF0919">
      <w:pPr>
        <w:pStyle w:val="ListParagraph"/>
        <w:ind w:firstLineChars="0" w:firstLine="0"/>
        <w:rPr>
          <w:rFonts w:ascii="Times New Roman" w:hAnsi="Times New Roman" w:cs="Times New Roman"/>
          <w:szCs w:val="21"/>
        </w:rPr>
      </w:pPr>
    </w:p>
    <w:p w14:paraId="2FC2EA9E" w14:textId="1A23AEFD" w:rsidR="00BF0919" w:rsidRDefault="00BF0919">
      <w:pPr>
        <w:pStyle w:val="ListParagraph"/>
        <w:ind w:firstLineChars="0" w:firstLine="0"/>
        <w:rPr>
          <w:rFonts w:ascii="Times New Roman" w:hAnsi="Times New Roman" w:cs="Times New Roman"/>
        </w:rPr>
      </w:pPr>
      <w:r>
        <w:rPr>
          <w:rFonts w:ascii="Times New Roman" w:hAnsi="Times New Roman" w:cs="Times New Roman"/>
          <w:szCs w:val="21"/>
        </w:rPr>
        <w:t xml:space="preserve">Finally, the large-scale adoption of LCCMs in the construction industry has a long way to go. There are several issues with their wide applications, e.g., the weakened concrete performances, utilization upper limits, a lack of well-established supply chain, sources competition with OPC, higher expenditures, and so on. The research findings presented in this review can help policy makers to promote the standardization in the utilization of LCCMs, and thus facilitate the achievement of the global carbon reduction goal. </w:t>
      </w:r>
    </w:p>
    <w:p w14:paraId="63AF6C77" w14:textId="77777777" w:rsidR="00BF0919" w:rsidRDefault="00BF0919">
      <w:pPr>
        <w:pStyle w:val="ListParagraph"/>
        <w:ind w:firstLineChars="0" w:firstLine="0"/>
        <w:rPr>
          <w:rFonts w:ascii="Times New Roman" w:hAnsi="Times New Roman" w:cs="Times New Roman"/>
          <w:szCs w:val="21"/>
        </w:rPr>
      </w:pPr>
    </w:p>
    <w:p w14:paraId="5BE0EC7E" w14:textId="77777777" w:rsidR="00BF0919" w:rsidRDefault="00BF0919">
      <w:pPr>
        <w:rPr>
          <w:rFonts w:ascii="Times New Roman" w:hAnsi="Times New Roman" w:cs="Times New Roman"/>
        </w:rPr>
      </w:pPr>
      <w:r>
        <w:rPr>
          <w:rFonts w:ascii="Times New Roman" w:hAnsi="Times New Roman" w:cs="Times New Roman"/>
        </w:rPr>
        <w:t xml:space="preserve">Nevertheless, there are some limitations to this review. First, due to strict filtering conditions, only 65 papers were selected for analysis. However, the filtering conditions ensured a rigorous assessment of current research on LCCMs, and the selected papers helped to better address the focus of this review. Second, the interrelationships between different LCCMs have not been considered. Scenario analysis of the varied combinations are recommended for future research. </w:t>
      </w:r>
    </w:p>
    <w:p w14:paraId="5EDD80C1" w14:textId="77777777" w:rsidR="00BF0919" w:rsidRDefault="00BF0919">
      <w:pPr>
        <w:rPr>
          <w:rFonts w:ascii="Times New Roman" w:hAnsi="Times New Roman" w:cs="Times New Roman"/>
        </w:rPr>
      </w:pPr>
    </w:p>
    <w:p w14:paraId="72A143ED" w14:textId="77777777" w:rsidR="00BF0919" w:rsidRDefault="00BF0919" w:rsidP="00AF4387">
      <w:pPr>
        <w:pStyle w:val="Heading1"/>
      </w:pPr>
      <w:proofErr w:type="spellStart"/>
      <w:r w:rsidRPr="00272242">
        <w:t>CRediT</w:t>
      </w:r>
      <w:proofErr w:type="spellEnd"/>
      <w:r w:rsidRPr="00272242">
        <w:t xml:space="preserve"> authorship contribution statement</w:t>
      </w:r>
    </w:p>
    <w:p w14:paraId="2FB7D6CE" w14:textId="77777777" w:rsidR="00BF0919" w:rsidRDefault="00BF0919" w:rsidP="008A4F34">
      <w:r w:rsidRPr="00AF0F57">
        <w:rPr>
          <w:b/>
          <w:bCs/>
        </w:rPr>
        <w:t>Siwei Chen</w:t>
      </w:r>
      <w:r>
        <w:rPr>
          <w:b/>
          <w:bCs/>
        </w:rPr>
        <w:t xml:space="preserve">: </w:t>
      </w:r>
      <w:r w:rsidRPr="00C30DF9">
        <w:t>Conceptualization</w:t>
      </w:r>
      <w:r>
        <w:t>,</w:t>
      </w:r>
      <w:r w:rsidRPr="00C30DF9">
        <w:t xml:space="preserve"> Data curation</w:t>
      </w:r>
      <w:r>
        <w:t>,</w:t>
      </w:r>
      <w:r w:rsidRPr="00C30DF9">
        <w:t xml:space="preserve"> Methodology</w:t>
      </w:r>
      <w:r>
        <w:t xml:space="preserve">, </w:t>
      </w:r>
      <w:r w:rsidRPr="00C30DF9">
        <w:t>Writing – original draft,</w:t>
      </w:r>
      <w:r>
        <w:t xml:space="preserve"> </w:t>
      </w:r>
      <w:r w:rsidRPr="00C30DF9">
        <w:t xml:space="preserve">Writing – review &amp; editing, Visualization, Validation, </w:t>
      </w:r>
      <w:r>
        <w:t>Investigation</w:t>
      </w:r>
      <w:r w:rsidRPr="00C30DF9">
        <w:t>.</w:t>
      </w:r>
    </w:p>
    <w:p w14:paraId="3AB8727B" w14:textId="77777777" w:rsidR="00BF0919" w:rsidRDefault="00BF0919" w:rsidP="008A4F34">
      <w:r w:rsidRPr="00AF0F57">
        <w:rPr>
          <w:b/>
          <w:bCs/>
        </w:rPr>
        <w:t>Yue Teng:</w:t>
      </w:r>
      <w:r>
        <w:t xml:space="preserve"> </w:t>
      </w:r>
      <w:r w:rsidRPr="00C30DF9">
        <w:t>Methodology</w:t>
      </w:r>
      <w:r>
        <w:t xml:space="preserve">, </w:t>
      </w:r>
      <w:r w:rsidRPr="00C30DF9">
        <w:t>Data curation</w:t>
      </w:r>
      <w:r>
        <w:t>,</w:t>
      </w:r>
      <w:r w:rsidRPr="00C30DF9">
        <w:t xml:space="preserve"> Writing – review &amp; editing</w:t>
      </w:r>
      <w:r>
        <w:t xml:space="preserve">, </w:t>
      </w:r>
      <w:r w:rsidRPr="00C30DF9">
        <w:t>Visualization, Validation,</w:t>
      </w:r>
      <w:r>
        <w:t xml:space="preserve"> Investigation. </w:t>
      </w:r>
    </w:p>
    <w:p w14:paraId="510CA3C3" w14:textId="77777777" w:rsidR="00BF0919" w:rsidRDefault="00BF0919" w:rsidP="008A4F34">
      <w:r w:rsidRPr="00AF0F57">
        <w:rPr>
          <w:b/>
          <w:bCs/>
        </w:rPr>
        <w:t xml:space="preserve">Yang Zhang: </w:t>
      </w:r>
      <w:r w:rsidRPr="00D47F8C">
        <w:t xml:space="preserve">Writing – review &amp; editing, </w:t>
      </w:r>
      <w:r w:rsidRPr="00C30DF9">
        <w:t>Visualization</w:t>
      </w:r>
      <w:r>
        <w:rPr>
          <w:rFonts w:hint="eastAsia"/>
        </w:rPr>
        <w:t>,</w:t>
      </w:r>
      <w:r>
        <w:t xml:space="preserve"> </w:t>
      </w:r>
      <w:r w:rsidRPr="00D47F8C">
        <w:t>Validation.</w:t>
      </w:r>
    </w:p>
    <w:p w14:paraId="6CF349D4" w14:textId="77777777" w:rsidR="00BF0919" w:rsidRDefault="00BF0919" w:rsidP="008A4F34">
      <w:r w:rsidRPr="00AF0F57">
        <w:rPr>
          <w:rFonts w:ascii="Times New Roman" w:hAnsi="Times New Roman" w:cs="Times New Roman"/>
          <w:b/>
          <w:bCs/>
        </w:rPr>
        <w:t>Christopher K.Y. Leung</w:t>
      </w:r>
      <w:r>
        <w:rPr>
          <w:rFonts w:ascii="Times New Roman" w:hAnsi="Times New Roman" w:cs="Times New Roman"/>
        </w:rPr>
        <w:t xml:space="preserve">: </w:t>
      </w:r>
      <w:r w:rsidRPr="00D47F8C">
        <w:t>Writing – review &amp; editing</w:t>
      </w:r>
      <w:r>
        <w:t xml:space="preserve">, </w:t>
      </w:r>
      <w:r w:rsidRPr="00D0774D">
        <w:t>Project administration</w:t>
      </w:r>
      <w:r>
        <w:t xml:space="preserve">. </w:t>
      </w:r>
    </w:p>
    <w:p w14:paraId="4C6429A0" w14:textId="77777777" w:rsidR="00BF0919" w:rsidRDefault="00BF0919" w:rsidP="008A4F34">
      <w:r w:rsidRPr="00AF0F57">
        <w:rPr>
          <w:b/>
          <w:bCs/>
        </w:rPr>
        <w:t>Wei Pan:</w:t>
      </w:r>
      <w:r>
        <w:t xml:space="preserve"> </w:t>
      </w:r>
      <w:r w:rsidRPr="00D47F8C">
        <w:t>Writing – review &amp; editing</w:t>
      </w:r>
      <w:r>
        <w:t xml:space="preserve">, </w:t>
      </w:r>
      <w:r w:rsidRPr="00D0774D">
        <w:t>Supervision, Project administration, Funding acquisition.</w:t>
      </w:r>
    </w:p>
    <w:p w14:paraId="399DB046" w14:textId="77777777" w:rsidR="00BF0919" w:rsidRPr="00804822" w:rsidRDefault="00BF0919" w:rsidP="00AF0F57"/>
    <w:p w14:paraId="71803C67" w14:textId="77777777" w:rsidR="00BF0919" w:rsidRPr="000C6F13" w:rsidRDefault="00BF0919" w:rsidP="00AF4387">
      <w:pPr>
        <w:pStyle w:val="Heading1"/>
      </w:pPr>
      <w:r w:rsidRPr="000C6F13">
        <w:rPr>
          <w:rFonts w:hint="eastAsia"/>
        </w:rPr>
        <w:t>Acknowledgment</w:t>
      </w:r>
      <w:r>
        <w:t>s</w:t>
      </w:r>
    </w:p>
    <w:p w14:paraId="5F9A267D" w14:textId="77777777" w:rsidR="00BF0919" w:rsidRDefault="00BF0919" w:rsidP="007D36E1">
      <w:pPr>
        <w:spacing w:after="240"/>
        <w:rPr>
          <w:rFonts w:ascii="Times New Roman" w:hAnsi="Times New Roman" w:cs="Times New Roman"/>
        </w:rPr>
      </w:pPr>
      <w:r>
        <w:rPr>
          <w:rFonts w:ascii="Times New Roman" w:hAnsi="Times New Roman" w:cs="Times New Roman"/>
        </w:rPr>
        <w:t xml:space="preserve">The work presented in this paper was supported by the Collaborative Research Fund (Project No. C7047-20GF) and the General Research Fund (Project No. 17201120) of the Hong Kong Research Grants Council. </w:t>
      </w:r>
    </w:p>
    <w:p w14:paraId="37C378FB" w14:textId="77777777" w:rsidR="00BF0919" w:rsidRPr="00DF3739" w:rsidRDefault="00BF0919" w:rsidP="00AF4387">
      <w:pPr>
        <w:pStyle w:val="Heading1"/>
      </w:pPr>
      <w:r w:rsidRPr="007D36E1">
        <w:rPr>
          <w:rFonts w:hint="eastAsia"/>
        </w:rPr>
        <w:t>Reference</w:t>
      </w:r>
      <w:r>
        <w:t>s</w:t>
      </w:r>
      <w:r w:rsidRPr="007D36E1">
        <w:rPr>
          <w:rFonts w:hint="eastAsia"/>
        </w:rPr>
        <w:t xml:space="preserve"> </w:t>
      </w:r>
    </w:p>
    <w:p w14:paraId="6104FA6A" w14:textId="77777777" w:rsidR="00BF0919" w:rsidRPr="00665AA9" w:rsidRDefault="00BF0919" w:rsidP="00665AA9">
      <w:pPr>
        <w:pStyle w:val="EndNoteBibliography"/>
        <w:ind w:left="720" w:hanging="720"/>
        <w:rPr>
          <w:noProof/>
        </w:rPr>
      </w:pPr>
      <w:bookmarkStart w:id="13" w:name="_Hlk95924316"/>
      <w:r w:rsidRPr="00665AA9">
        <w:rPr>
          <w:noProof/>
        </w:rPr>
        <w:t xml:space="preserve">Abbas, R., Khereby, M. A., Ghorab, H. Y., &amp; Elkhoshkhany, N. (2020). Preparation of geopolymer concrete using Egyptian kaolin clay and the study of its environmental effects and economic cost. </w:t>
      </w:r>
      <w:r w:rsidRPr="00665AA9">
        <w:rPr>
          <w:i/>
          <w:noProof/>
        </w:rPr>
        <w:t>Clean Technologies and Environmental Policy</w:t>
      </w:r>
      <w:r w:rsidRPr="00665AA9">
        <w:rPr>
          <w:noProof/>
        </w:rPr>
        <w:t xml:space="preserve">, 1-19. </w:t>
      </w:r>
      <w:r w:rsidRPr="00BF0919">
        <w:rPr>
          <w:noProof/>
        </w:rPr>
        <w:t>https://doi.org/10.1007/s10098-020-01811-4</w:t>
      </w:r>
      <w:r w:rsidRPr="00665AA9">
        <w:rPr>
          <w:noProof/>
        </w:rPr>
        <w:t xml:space="preserve"> </w:t>
      </w:r>
    </w:p>
    <w:p w14:paraId="1707AE6B" w14:textId="77777777" w:rsidR="00BF0919" w:rsidRPr="00665AA9" w:rsidRDefault="00BF0919" w:rsidP="00665AA9">
      <w:pPr>
        <w:pStyle w:val="EndNoteBibliography"/>
        <w:ind w:left="720" w:hanging="720"/>
        <w:rPr>
          <w:noProof/>
        </w:rPr>
      </w:pPr>
      <w:r w:rsidRPr="00665AA9">
        <w:rPr>
          <w:noProof/>
        </w:rPr>
        <w:t xml:space="preserve">Akbarnezhad, A., &amp; Xiao, J. (2017). Estimation and minimization of embodied carbon of buildings: a review. </w:t>
      </w:r>
      <w:r w:rsidRPr="00665AA9">
        <w:rPr>
          <w:i/>
          <w:noProof/>
        </w:rPr>
        <w:t>Buildings</w:t>
      </w:r>
      <w:r w:rsidRPr="00665AA9">
        <w:rPr>
          <w:noProof/>
        </w:rPr>
        <w:t>,</w:t>
      </w:r>
      <w:r w:rsidRPr="00665AA9">
        <w:rPr>
          <w:i/>
          <w:noProof/>
        </w:rPr>
        <w:t xml:space="preserve"> 7</w:t>
      </w:r>
      <w:r w:rsidRPr="00665AA9">
        <w:rPr>
          <w:noProof/>
        </w:rPr>
        <w:t xml:space="preserve">(1), 5. </w:t>
      </w:r>
      <w:r w:rsidRPr="00BF0919">
        <w:rPr>
          <w:noProof/>
        </w:rPr>
        <w:t>https://doi.org/10.3390/buildings7010005</w:t>
      </w:r>
      <w:r w:rsidRPr="00665AA9">
        <w:rPr>
          <w:noProof/>
        </w:rPr>
        <w:t xml:space="preserve"> </w:t>
      </w:r>
    </w:p>
    <w:p w14:paraId="1CBB06A8" w14:textId="77777777" w:rsidR="00BF0919" w:rsidRPr="00665AA9" w:rsidRDefault="00BF0919" w:rsidP="00665AA9">
      <w:pPr>
        <w:pStyle w:val="EndNoteBibliography"/>
        <w:ind w:left="720" w:hanging="720"/>
        <w:rPr>
          <w:noProof/>
        </w:rPr>
      </w:pPr>
      <w:r w:rsidRPr="00665AA9">
        <w:rPr>
          <w:noProof/>
        </w:rPr>
        <w:t xml:space="preserve">Amin, M., &amp; Abdelsalam, B. A. (2019). Efficiency of rice husk ash and fly ash as reactivity materials in sustainable concrete. </w:t>
      </w:r>
      <w:r w:rsidRPr="00665AA9">
        <w:rPr>
          <w:i/>
          <w:noProof/>
        </w:rPr>
        <w:t>Sustainable Environment Research</w:t>
      </w:r>
      <w:r w:rsidRPr="00665AA9">
        <w:rPr>
          <w:noProof/>
        </w:rPr>
        <w:t>,</w:t>
      </w:r>
      <w:r w:rsidRPr="00665AA9">
        <w:rPr>
          <w:i/>
          <w:noProof/>
        </w:rPr>
        <w:t xml:space="preserve"> 29</w:t>
      </w:r>
      <w:r w:rsidRPr="00665AA9">
        <w:rPr>
          <w:noProof/>
        </w:rPr>
        <w:t xml:space="preserve">(1). </w:t>
      </w:r>
      <w:r w:rsidRPr="00BF0919">
        <w:rPr>
          <w:noProof/>
        </w:rPr>
        <w:t>https://doi.org/10.1186/s42834-019-0035-2</w:t>
      </w:r>
      <w:r w:rsidRPr="00665AA9">
        <w:rPr>
          <w:noProof/>
        </w:rPr>
        <w:t xml:space="preserve"> </w:t>
      </w:r>
    </w:p>
    <w:p w14:paraId="4DFB0EF5" w14:textId="77777777" w:rsidR="00BF0919" w:rsidRPr="00665AA9" w:rsidRDefault="00BF0919" w:rsidP="00665AA9">
      <w:pPr>
        <w:pStyle w:val="EndNoteBibliography"/>
        <w:ind w:left="720" w:hanging="720"/>
        <w:rPr>
          <w:noProof/>
        </w:rPr>
      </w:pPr>
      <w:r w:rsidRPr="00665AA9">
        <w:rPr>
          <w:noProof/>
        </w:rPr>
        <w:t xml:space="preserve">Batista, R. P., Trindade, A. C. C., Borges, P. H., &amp; Silva, F. d. A. (2019). Silica fume as precursor in the development of sustainable and high-performance MK-based alkali-activated materials reinforced with short PVA fibers. </w:t>
      </w:r>
      <w:r w:rsidRPr="00665AA9">
        <w:rPr>
          <w:i/>
          <w:noProof/>
        </w:rPr>
        <w:t>Frontiers in Materials</w:t>
      </w:r>
      <w:r w:rsidRPr="00665AA9">
        <w:rPr>
          <w:noProof/>
        </w:rPr>
        <w:t>,</w:t>
      </w:r>
      <w:r w:rsidRPr="00665AA9">
        <w:rPr>
          <w:i/>
          <w:noProof/>
        </w:rPr>
        <w:t xml:space="preserve"> 6</w:t>
      </w:r>
      <w:r w:rsidRPr="00665AA9">
        <w:rPr>
          <w:noProof/>
        </w:rPr>
        <w:t xml:space="preserve">, 77. </w:t>
      </w:r>
      <w:r w:rsidRPr="00BF0919">
        <w:rPr>
          <w:noProof/>
        </w:rPr>
        <w:t>https://doi.org/10.3389/fmats.2019.00077</w:t>
      </w:r>
      <w:r w:rsidRPr="00665AA9">
        <w:rPr>
          <w:noProof/>
        </w:rPr>
        <w:t xml:space="preserve"> </w:t>
      </w:r>
    </w:p>
    <w:p w14:paraId="3379A220" w14:textId="77777777" w:rsidR="00BF0919" w:rsidRPr="00665AA9" w:rsidRDefault="00BF0919" w:rsidP="00665AA9">
      <w:pPr>
        <w:pStyle w:val="EndNoteBibliography"/>
        <w:ind w:left="720" w:hanging="720"/>
        <w:rPr>
          <w:noProof/>
        </w:rPr>
      </w:pPr>
      <w:r w:rsidRPr="00665AA9">
        <w:rPr>
          <w:noProof/>
        </w:rPr>
        <w:t xml:space="preserve">Batuecas, E., Ramón-Álvarez, I., Sánchez-Delgado, S., &amp; Torres-Carrasco, M. (2021). Carbon footprint and water use of alkali-activated and hybrid cement mortars. </w:t>
      </w:r>
      <w:r w:rsidRPr="00665AA9">
        <w:rPr>
          <w:i/>
          <w:noProof/>
        </w:rPr>
        <w:t>Journal of Cleaner Production</w:t>
      </w:r>
      <w:r w:rsidRPr="00665AA9">
        <w:rPr>
          <w:noProof/>
        </w:rPr>
        <w:t>,</w:t>
      </w:r>
      <w:r w:rsidRPr="00665AA9">
        <w:rPr>
          <w:i/>
          <w:noProof/>
        </w:rPr>
        <w:t xml:space="preserve"> 319</w:t>
      </w:r>
      <w:r w:rsidRPr="00665AA9">
        <w:rPr>
          <w:noProof/>
        </w:rPr>
        <w:t xml:space="preserve">. </w:t>
      </w:r>
      <w:r w:rsidRPr="00BF0919">
        <w:rPr>
          <w:noProof/>
        </w:rPr>
        <w:t>https://doi.org/10.1016/j.jclepro.2021.128653</w:t>
      </w:r>
      <w:r w:rsidRPr="00665AA9">
        <w:rPr>
          <w:noProof/>
        </w:rPr>
        <w:t xml:space="preserve"> </w:t>
      </w:r>
    </w:p>
    <w:p w14:paraId="5C4D6649" w14:textId="77777777" w:rsidR="00BF0919" w:rsidRPr="00665AA9" w:rsidRDefault="00BF0919" w:rsidP="00665AA9">
      <w:pPr>
        <w:pStyle w:val="EndNoteBibliography"/>
        <w:ind w:left="720" w:hanging="720"/>
        <w:rPr>
          <w:noProof/>
        </w:rPr>
      </w:pPr>
      <w:r w:rsidRPr="00665AA9">
        <w:rPr>
          <w:noProof/>
        </w:rPr>
        <w:t xml:space="preserve">Berndt, M. L. (2015). Influence of concrete mix design on CO2 emissions for large wind turbine foundations. </w:t>
      </w:r>
      <w:r w:rsidRPr="00665AA9">
        <w:rPr>
          <w:i/>
          <w:noProof/>
        </w:rPr>
        <w:t>Renewable Energy</w:t>
      </w:r>
      <w:r w:rsidRPr="00665AA9">
        <w:rPr>
          <w:noProof/>
        </w:rPr>
        <w:t>,</w:t>
      </w:r>
      <w:r w:rsidRPr="00665AA9">
        <w:rPr>
          <w:i/>
          <w:noProof/>
        </w:rPr>
        <w:t xml:space="preserve"> 83</w:t>
      </w:r>
      <w:r w:rsidRPr="00665AA9">
        <w:rPr>
          <w:noProof/>
        </w:rPr>
        <w:t xml:space="preserve">, 608-614. </w:t>
      </w:r>
      <w:r w:rsidRPr="00BF0919">
        <w:rPr>
          <w:noProof/>
        </w:rPr>
        <w:t>https://doi.org/10.1016/j.renene.2015.05.002</w:t>
      </w:r>
      <w:r w:rsidRPr="00665AA9">
        <w:rPr>
          <w:noProof/>
        </w:rPr>
        <w:t xml:space="preserve"> </w:t>
      </w:r>
    </w:p>
    <w:p w14:paraId="2059F55C" w14:textId="77777777" w:rsidR="00BF0919" w:rsidRPr="00665AA9" w:rsidRDefault="00BF0919" w:rsidP="00665AA9">
      <w:pPr>
        <w:pStyle w:val="EndNoteBibliography"/>
        <w:ind w:left="720" w:hanging="720"/>
        <w:rPr>
          <w:noProof/>
        </w:rPr>
      </w:pPr>
      <w:r w:rsidRPr="00665AA9">
        <w:rPr>
          <w:noProof/>
        </w:rPr>
        <w:t xml:space="preserve">Bertalanffy, L. v. (1968). General systems theory as integrating factor in contemporary science. </w:t>
      </w:r>
      <w:r w:rsidRPr="00665AA9">
        <w:rPr>
          <w:i/>
          <w:noProof/>
        </w:rPr>
        <w:t>Akten des XIV. Internationalen Kongresses für Philosophie</w:t>
      </w:r>
      <w:r w:rsidRPr="00665AA9">
        <w:rPr>
          <w:noProof/>
        </w:rPr>
        <w:t>,</w:t>
      </w:r>
      <w:r w:rsidRPr="00665AA9">
        <w:rPr>
          <w:i/>
          <w:noProof/>
        </w:rPr>
        <w:t xml:space="preserve"> 2</w:t>
      </w:r>
      <w:r w:rsidRPr="00665AA9">
        <w:rPr>
          <w:noProof/>
        </w:rPr>
        <w:t xml:space="preserve">, 335-340. </w:t>
      </w:r>
      <w:r w:rsidRPr="00BF0919">
        <w:rPr>
          <w:noProof/>
        </w:rPr>
        <w:t>https://doi.org/10.5840/wcp1419682120</w:t>
      </w:r>
      <w:r w:rsidRPr="00665AA9">
        <w:rPr>
          <w:noProof/>
        </w:rPr>
        <w:t xml:space="preserve"> </w:t>
      </w:r>
    </w:p>
    <w:p w14:paraId="3626810C" w14:textId="77777777" w:rsidR="00BF0919" w:rsidRPr="00665AA9" w:rsidRDefault="00BF0919" w:rsidP="00665AA9">
      <w:pPr>
        <w:pStyle w:val="EndNoteBibliography"/>
        <w:ind w:left="720" w:hanging="720"/>
        <w:rPr>
          <w:noProof/>
        </w:rPr>
      </w:pPr>
      <w:r w:rsidRPr="00665AA9">
        <w:rPr>
          <w:noProof/>
        </w:rPr>
        <w:t xml:space="preserve">Blankendaal, T., Schuur, P., &amp; Voordijk, H. (2014). Reducing the environmental impact of concrete and asphalt: a scenario approach. </w:t>
      </w:r>
      <w:r w:rsidRPr="00665AA9">
        <w:rPr>
          <w:i/>
          <w:noProof/>
        </w:rPr>
        <w:t>Journal of Cleaner Production</w:t>
      </w:r>
      <w:r w:rsidRPr="00665AA9">
        <w:rPr>
          <w:noProof/>
        </w:rPr>
        <w:t>,</w:t>
      </w:r>
      <w:r w:rsidRPr="00665AA9">
        <w:rPr>
          <w:i/>
          <w:noProof/>
        </w:rPr>
        <w:t xml:space="preserve"> 66</w:t>
      </w:r>
      <w:r w:rsidRPr="00665AA9">
        <w:rPr>
          <w:noProof/>
        </w:rPr>
        <w:t xml:space="preserve">, 27-36. </w:t>
      </w:r>
      <w:r w:rsidRPr="00BF0919">
        <w:rPr>
          <w:noProof/>
        </w:rPr>
        <w:t>https://doi.org/10.1016/j.jclepro.2013.10.012</w:t>
      </w:r>
      <w:r w:rsidRPr="00665AA9">
        <w:rPr>
          <w:noProof/>
        </w:rPr>
        <w:t xml:space="preserve"> </w:t>
      </w:r>
    </w:p>
    <w:p w14:paraId="7E316CCB" w14:textId="77777777" w:rsidR="00BF0919" w:rsidRPr="00665AA9" w:rsidRDefault="00BF0919" w:rsidP="00665AA9">
      <w:pPr>
        <w:pStyle w:val="EndNoteBibliography"/>
        <w:ind w:left="720" w:hanging="720"/>
        <w:rPr>
          <w:noProof/>
        </w:rPr>
      </w:pPr>
      <w:r w:rsidRPr="00665AA9">
        <w:rPr>
          <w:noProof/>
        </w:rPr>
        <w:lastRenderedPageBreak/>
        <w:t xml:space="preserve">Bostanci, S. C., Limbachiya, M., &amp; Kew, H. (2018). Use of recycled aggregates for low carbon and cost effective concrete construction. </w:t>
      </w:r>
      <w:r w:rsidRPr="00665AA9">
        <w:rPr>
          <w:i/>
          <w:noProof/>
        </w:rPr>
        <w:t>Journal of Cleaner Production</w:t>
      </w:r>
      <w:r w:rsidRPr="00665AA9">
        <w:rPr>
          <w:noProof/>
        </w:rPr>
        <w:t>,</w:t>
      </w:r>
      <w:r w:rsidRPr="00665AA9">
        <w:rPr>
          <w:i/>
          <w:noProof/>
        </w:rPr>
        <w:t xml:space="preserve"> 189</w:t>
      </w:r>
      <w:r w:rsidRPr="00665AA9">
        <w:rPr>
          <w:noProof/>
        </w:rPr>
        <w:t xml:space="preserve">, 176-196. </w:t>
      </w:r>
      <w:r w:rsidRPr="00BF0919">
        <w:rPr>
          <w:noProof/>
        </w:rPr>
        <w:t>https://doi.org/10.1016/j.jclepro.2018.04.090</w:t>
      </w:r>
      <w:r w:rsidRPr="00665AA9">
        <w:rPr>
          <w:noProof/>
        </w:rPr>
        <w:t xml:space="preserve"> </w:t>
      </w:r>
    </w:p>
    <w:p w14:paraId="492793DE" w14:textId="77777777" w:rsidR="00BF0919" w:rsidRPr="00665AA9" w:rsidRDefault="00BF0919" w:rsidP="00665AA9">
      <w:pPr>
        <w:pStyle w:val="EndNoteBibliography"/>
        <w:ind w:left="720" w:hanging="720"/>
        <w:rPr>
          <w:noProof/>
        </w:rPr>
      </w:pPr>
      <w:r w:rsidRPr="00665AA9">
        <w:rPr>
          <w:noProof/>
        </w:rPr>
        <w:t xml:space="preserve">Braga, A. M., Silvestre, J. D., &amp; de Brito, J. (2017). Compared environmental and economic impact from cradle to gate of concrete with natural and recycled coarse aggregates. </w:t>
      </w:r>
      <w:r w:rsidRPr="00665AA9">
        <w:rPr>
          <w:i/>
          <w:noProof/>
        </w:rPr>
        <w:t>Journal of Cleaner Production</w:t>
      </w:r>
      <w:r w:rsidRPr="00665AA9">
        <w:rPr>
          <w:noProof/>
        </w:rPr>
        <w:t>,</w:t>
      </w:r>
      <w:r w:rsidRPr="00665AA9">
        <w:rPr>
          <w:i/>
          <w:noProof/>
        </w:rPr>
        <w:t xml:space="preserve"> 162</w:t>
      </w:r>
      <w:r w:rsidRPr="00665AA9">
        <w:rPr>
          <w:noProof/>
        </w:rPr>
        <w:t xml:space="preserve">, 529-543. </w:t>
      </w:r>
      <w:r w:rsidRPr="00BF0919">
        <w:rPr>
          <w:noProof/>
        </w:rPr>
        <w:t>https://doi.org/10.1016/j.jclepro.2017.06.057</w:t>
      </w:r>
      <w:r w:rsidRPr="00665AA9">
        <w:rPr>
          <w:noProof/>
        </w:rPr>
        <w:t xml:space="preserve"> </w:t>
      </w:r>
    </w:p>
    <w:p w14:paraId="0E6089B0" w14:textId="77777777" w:rsidR="00BF0919" w:rsidRPr="00665AA9" w:rsidRDefault="00BF0919" w:rsidP="00665AA9">
      <w:pPr>
        <w:pStyle w:val="EndNoteBibliography"/>
        <w:ind w:left="720" w:hanging="720"/>
        <w:rPr>
          <w:noProof/>
        </w:rPr>
      </w:pPr>
      <w:r w:rsidRPr="00665AA9">
        <w:rPr>
          <w:noProof/>
        </w:rPr>
        <w:t xml:space="preserve">Cabeza, L. F., Barreneche, C., Miró, L., Morera, J. M., Bartolí, E., &amp; Inés Fernández, A. (2013). Low carbon and low embodied energy materials in buildings: A review. </w:t>
      </w:r>
      <w:r w:rsidRPr="00665AA9">
        <w:rPr>
          <w:i/>
          <w:noProof/>
        </w:rPr>
        <w:t>Renewable and Sustainable Energy Reviews</w:t>
      </w:r>
      <w:r w:rsidRPr="00665AA9">
        <w:rPr>
          <w:noProof/>
        </w:rPr>
        <w:t>,</w:t>
      </w:r>
      <w:r w:rsidRPr="00665AA9">
        <w:rPr>
          <w:i/>
          <w:noProof/>
        </w:rPr>
        <w:t xml:space="preserve"> 23</w:t>
      </w:r>
      <w:r w:rsidRPr="00665AA9">
        <w:rPr>
          <w:noProof/>
        </w:rPr>
        <w:t xml:space="preserve">, 536-542. </w:t>
      </w:r>
      <w:r w:rsidRPr="00BF0919">
        <w:rPr>
          <w:noProof/>
        </w:rPr>
        <w:t>https://doi.org/10.1016/j.rser.2013.03.017</w:t>
      </w:r>
      <w:r w:rsidRPr="00665AA9">
        <w:rPr>
          <w:noProof/>
        </w:rPr>
        <w:t xml:space="preserve"> </w:t>
      </w:r>
    </w:p>
    <w:p w14:paraId="288ED6D7" w14:textId="77777777" w:rsidR="00BF0919" w:rsidRPr="00665AA9" w:rsidRDefault="00BF0919" w:rsidP="00665AA9">
      <w:pPr>
        <w:pStyle w:val="EndNoteBibliography"/>
        <w:ind w:left="720" w:hanging="720"/>
        <w:rPr>
          <w:noProof/>
        </w:rPr>
      </w:pPr>
      <w:r w:rsidRPr="00665AA9">
        <w:rPr>
          <w:noProof/>
        </w:rPr>
        <w:t xml:space="preserve">Cabeza, L. F., Boquera, L., Chàfer, M., &amp; Vérez, D. (2021). Embodied energy and embodied carbon of structural building materials: Worldwide progress and barriers through literature map analysis. </w:t>
      </w:r>
      <w:r w:rsidRPr="00665AA9">
        <w:rPr>
          <w:i/>
          <w:noProof/>
        </w:rPr>
        <w:t>Energy and Buildings</w:t>
      </w:r>
      <w:r w:rsidRPr="00665AA9">
        <w:rPr>
          <w:noProof/>
        </w:rPr>
        <w:t>,</w:t>
      </w:r>
      <w:r w:rsidRPr="00665AA9">
        <w:rPr>
          <w:i/>
          <w:noProof/>
        </w:rPr>
        <w:t xml:space="preserve"> 231</w:t>
      </w:r>
      <w:r w:rsidRPr="00665AA9">
        <w:rPr>
          <w:noProof/>
        </w:rPr>
        <w:t xml:space="preserve">, 110612. </w:t>
      </w:r>
      <w:r w:rsidRPr="00BF0919">
        <w:rPr>
          <w:noProof/>
        </w:rPr>
        <w:t>https://doi.org/10.1016/j.enbuild.2020.110612</w:t>
      </w:r>
      <w:r w:rsidRPr="00665AA9">
        <w:rPr>
          <w:noProof/>
        </w:rPr>
        <w:t xml:space="preserve"> </w:t>
      </w:r>
    </w:p>
    <w:p w14:paraId="0AD4CEE6" w14:textId="77777777" w:rsidR="00BF0919" w:rsidRPr="00665AA9" w:rsidRDefault="00BF0919" w:rsidP="00665AA9">
      <w:pPr>
        <w:pStyle w:val="EndNoteBibliography"/>
        <w:ind w:left="720" w:hanging="720"/>
        <w:rPr>
          <w:noProof/>
        </w:rPr>
      </w:pPr>
      <w:r w:rsidRPr="00665AA9">
        <w:rPr>
          <w:noProof/>
        </w:rPr>
        <w:t xml:space="preserve">Chen, S., Chen, B., Feng, K., Liu, Z., Fromer, N., Tan, X., Alsaedi, A., Hayat, T., Weisz, H., Schellnhuber, H. J., &amp; Hubacek, K. (2020). Physical and virtual carbon metabolism of global cities. </w:t>
      </w:r>
      <w:r w:rsidRPr="00665AA9">
        <w:rPr>
          <w:i/>
          <w:noProof/>
        </w:rPr>
        <w:t>Nat Commun</w:t>
      </w:r>
      <w:r w:rsidRPr="00665AA9">
        <w:rPr>
          <w:noProof/>
        </w:rPr>
        <w:t>,</w:t>
      </w:r>
      <w:r w:rsidRPr="00665AA9">
        <w:rPr>
          <w:i/>
          <w:noProof/>
        </w:rPr>
        <w:t xml:space="preserve"> 11</w:t>
      </w:r>
      <w:r w:rsidRPr="00665AA9">
        <w:rPr>
          <w:noProof/>
        </w:rPr>
        <w:t xml:space="preserve">(1), 182. </w:t>
      </w:r>
      <w:r w:rsidRPr="00BF0919">
        <w:rPr>
          <w:noProof/>
        </w:rPr>
        <w:t>https://doi.org/10.1038/s41467-019-13757-3</w:t>
      </w:r>
      <w:r w:rsidRPr="00665AA9">
        <w:rPr>
          <w:noProof/>
        </w:rPr>
        <w:t xml:space="preserve"> </w:t>
      </w:r>
    </w:p>
    <w:p w14:paraId="21120A66" w14:textId="77777777" w:rsidR="00BF0919" w:rsidRPr="00665AA9" w:rsidRDefault="00BF0919" w:rsidP="00665AA9">
      <w:pPr>
        <w:pStyle w:val="EndNoteBibliography"/>
        <w:ind w:left="720" w:hanging="720"/>
        <w:rPr>
          <w:noProof/>
        </w:rPr>
      </w:pPr>
      <w:r w:rsidRPr="00665AA9">
        <w:rPr>
          <w:noProof/>
        </w:rPr>
        <w:t xml:space="preserve">Chen, S., Liu, Z., Chen, B., Zhu, F., Fath, B. D., Liang, S., Su, M., &amp; Yang, J. (2019). Dynamic Carbon Emission Linkages Across Boundaries. </w:t>
      </w:r>
      <w:r w:rsidRPr="00665AA9">
        <w:rPr>
          <w:i/>
          <w:noProof/>
        </w:rPr>
        <w:t>Earth's Future</w:t>
      </w:r>
      <w:r w:rsidRPr="00665AA9">
        <w:rPr>
          <w:noProof/>
        </w:rPr>
        <w:t>,</w:t>
      </w:r>
      <w:r w:rsidRPr="00665AA9">
        <w:rPr>
          <w:i/>
          <w:noProof/>
        </w:rPr>
        <w:t xml:space="preserve"> 7</w:t>
      </w:r>
      <w:r w:rsidRPr="00665AA9">
        <w:rPr>
          <w:noProof/>
        </w:rPr>
        <w:t xml:space="preserve">(2), 197-209. </w:t>
      </w:r>
      <w:r w:rsidRPr="00BF0919">
        <w:rPr>
          <w:noProof/>
        </w:rPr>
        <w:t>https://doi.org/10.1029/2018ef000811</w:t>
      </w:r>
      <w:r w:rsidRPr="00665AA9">
        <w:rPr>
          <w:noProof/>
        </w:rPr>
        <w:t xml:space="preserve"> </w:t>
      </w:r>
    </w:p>
    <w:p w14:paraId="4C25B169" w14:textId="77777777" w:rsidR="00BF0919" w:rsidRPr="00665AA9" w:rsidRDefault="00BF0919" w:rsidP="00665AA9">
      <w:pPr>
        <w:pStyle w:val="EndNoteBibliography"/>
        <w:ind w:left="720" w:hanging="720"/>
        <w:rPr>
          <w:noProof/>
        </w:rPr>
      </w:pPr>
      <w:r w:rsidRPr="00665AA9">
        <w:rPr>
          <w:noProof/>
        </w:rPr>
        <w:t xml:space="preserve">Chen, S., Long, H., &amp; Chen, B. (2021). Assessing urban low-carbon performance from a metabolic perspective. </w:t>
      </w:r>
      <w:r w:rsidRPr="00665AA9">
        <w:rPr>
          <w:i/>
          <w:noProof/>
        </w:rPr>
        <w:t>Science China Earth Sciences</w:t>
      </w:r>
      <w:r w:rsidRPr="00665AA9">
        <w:rPr>
          <w:noProof/>
        </w:rPr>
        <w:t>,</w:t>
      </w:r>
      <w:r w:rsidRPr="00665AA9">
        <w:rPr>
          <w:i/>
          <w:noProof/>
        </w:rPr>
        <w:t xml:space="preserve"> 64</w:t>
      </w:r>
      <w:r w:rsidRPr="00665AA9">
        <w:rPr>
          <w:noProof/>
        </w:rPr>
        <w:t xml:space="preserve">(10), 1721-1734. </w:t>
      </w:r>
      <w:r w:rsidRPr="00BF0919">
        <w:rPr>
          <w:noProof/>
        </w:rPr>
        <w:t>https://doi.org/10.1007/s11430-020-9807-y</w:t>
      </w:r>
      <w:r w:rsidRPr="00665AA9">
        <w:rPr>
          <w:noProof/>
        </w:rPr>
        <w:t xml:space="preserve"> </w:t>
      </w:r>
    </w:p>
    <w:p w14:paraId="5D13F87D" w14:textId="77777777" w:rsidR="00BF0919" w:rsidRPr="00665AA9" w:rsidRDefault="00BF0919" w:rsidP="00665AA9">
      <w:pPr>
        <w:pStyle w:val="EndNoteBibliography"/>
        <w:ind w:left="720" w:hanging="720"/>
        <w:rPr>
          <w:noProof/>
        </w:rPr>
      </w:pPr>
      <w:r w:rsidRPr="00665AA9">
        <w:rPr>
          <w:noProof/>
        </w:rPr>
        <w:t xml:space="preserve">Choi, S. W., Oh, B. K., &amp; Park, H. S. (2017). Design technology based on resizing method for reduction of costs and carbon dioxide emissions of high-rise buildings. </w:t>
      </w:r>
      <w:r w:rsidRPr="00665AA9">
        <w:rPr>
          <w:i/>
          <w:noProof/>
        </w:rPr>
        <w:t>Energy &amp; Buildings</w:t>
      </w:r>
      <w:r w:rsidRPr="00665AA9">
        <w:rPr>
          <w:noProof/>
        </w:rPr>
        <w:t>,</w:t>
      </w:r>
      <w:r w:rsidRPr="00665AA9">
        <w:rPr>
          <w:i/>
          <w:noProof/>
        </w:rPr>
        <w:t xml:space="preserve"> 138</w:t>
      </w:r>
      <w:r w:rsidRPr="00665AA9">
        <w:rPr>
          <w:noProof/>
        </w:rPr>
        <w:t xml:space="preserve">, 612-620. </w:t>
      </w:r>
      <w:r w:rsidRPr="00BF0919">
        <w:rPr>
          <w:noProof/>
        </w:rPr>
        <w:t>https://doi.org/10.1016/j.enbuild.2016.12.095</w:t>
      </w:r>
      <w:r w:rsidRPr="00665AA9">
        <w:rPr>
          <w:noProof/>
        </w:rPr>
        <w:t xml:space="preserve"> </w:t>
      </w:r>
    </w:p>
    <w:p w14:paraId="6230AA1A" w14:textId="77777777" w:rsidR="00BF0919" w:rsidRPr="00665AA9" w:rsidRDefault="00BF0919" w:rsidP="00665AA9">
      <w:pPr>
        <w:pStyle w:val="EndNoteBibliography"/>
        <w:ind w:left="720" w:hanging="720"/>
        <w:rPr>
          <w:noProof/>
        </w:rPr>
      </w:pPr>
      <w:r w:rsidRPr="00665AA9">
        <w:rPr>
          <w:noProof/>
        </w:rPr>
        <w:t xml:space="preserve">Choi, S. W., Oh, B. K., Park, J. S., &amp; Park, H. S. (2016). Sustainable design model to reduce environmental impact of building construction with composite structures. </w:t>
      </w:r>
      <w:r w:rsidRPr="00665AA9">
        <w:rPr>
          <w:i/>
          <w:noProof/>
        </w:rPr>
        <w:t>Journal of Cleaner Production</w:t>
      </w:r>
      <w:r w:rsidRPr="00665AA9">
        <w:rPr>
          <w:noProof/>
        </w:rPr>
        <w:t>,</w:t>
      </w:r>
      <w:r w:rsidRPr="00665AA9">
        <w:rPr>
          <w:i/>
          <w:noProof/>
        </w:rPr>
        <w:t xml:space="preserve"> 137</w:t>
      </w:r>
      <w:r w:rsidRPr="00665AA9">
        <w:rPr>
          <w:noProof/>
        </w:rPr>
        <w:t xml:space="preserve">, 823-832. </w:t>
      </w:r>
      <w:r w:rsidRPr="00BF0919">
        <w:rPr>
          <w:noProof/>
        </w:rPr>
        <w:t>https://doi.org/10.1016/j.jclepro.2016.07.174</w:t>
      </w:r>
      <w:r w:rsidRPr="00665AA9">
        <w:rPr>
          <w:noProof/>
        </w:rPr>
        <w:t xml:space="preserve"> </w:t>
      </w:r>
    </w:p>
    <w:p w14:paraId="7FFA875A" w14:textId="77777777" w:rsidR="00BF0919" w:rsidRPr="00665AA9" w:rsidRDefault="00BF0919" w:rsidP="00665AA9">
      <w:pPr>
        <w:pStyle w:val="EndNoteBibliography"/>
        <w:ind w:left="720" w:hanging="720"/>
        <w:rPr>
          <w:noProof/>
        </w:rPr>
      </w:pPr>
      <w:r w:rsidRPr="00665AA9">
        <w:rPr>
          <w:noProof/>
        </w:rPr>
        <w:t xml:space="preserve">Crossin, E. (2015). The greenhouse gas implications of using ground granulated blast furnace slag as a cement substitute. </w:t>
      </w:r>
      <w:r w:rsidRPr="00665AA9">
        <w:rPr>
          <w:i/>
          <w:noProof/>
        </w:rPr>
        <w:t>Journal of Cleaner Production</w:t>
      </w:r>
      <w:r w:rsidRPr="00665AA9">
        <w:rPr>
          <w:noProof/>
        </w:rPr>
        <w:t>,</w:t>
      </w:r>
      <w:r w:rsidRPr="00665AA9">
        <w:rPr>
          <w:i/>
          <w:noProof/>
        </w:rPr>
        <w:t xml:space="preserve"> 95</w:t>
      </w:r>
      <w:r w:rsidRPr="00665AA9">
        <w:rPr>
          <w:noProof/>
        </w:rPr>
        <w:t xml:space="preserve">, 101-108. </w:t>
      </w:r>
      <w:r w:rsidRPr="00BF0919">
        <w:rPr>
          <w:noProof/>
        </w:rPr>
        <w:t>https://doi.org/10.1016/j.jclepro.2015.02.082</w:t>
      </w:r>
      <w:r w:rsidRPr="00665AA9">
        <w:rPr>
          <w:noProof/>
        </w:rPr>
        <w:t xml:space="preserve"> </w:t>
      </w:r>
    </w:p>
    <w:p w14:paraId="492774B7" w14:textId="77777777" w:rsidR="00BF0919" w:rsidRPr="00665AA9" w:rsidRDefault="00BF0919" w:rsidP="00665AA9">
      <w:pPr>
        <w:pStyle w:val="EndNoteBibliography"/>
        <w:ind w:left="720" w:hanging="720"/>
        <w:rPr>
          <w:noProof/>
        </w:rPr>
      </w:pPr>
      <w:r w:rsidRPr="00665AA9">
        <w:rPr>
          <w:noProof/>
        </w:rPr>
        <w:t xml:space="preserve">Ding, T., Xiao, J., &amp; Tam, V. W. (2016). A closed-loop life cycle assessment of recycled aggregate concrete utilization in China. </w:t>
      </w:r>
      <w:r w:rsidRPr="00665AA9">
        <w:rPr>
          <w:i/>
          <w:noProof/>
        </w:rPr>
        <w:t>Waste Manag</w:t>
      </w:r>
      <w:r w:rsidRPr="00665AA9">
        <w:rPr>
          <w:noProof/>
        </w:rPr>
        <w:t>,</w:t>
      </w:r>
      <w:r w:rsidRPr="00665AA9">
        <w:rPr>
          <w:i/>
          <w:noProof/>
        </w:rPr>
        <w:t xml:space="preserve"> 56</w:t>
      </w:r>
      <w:r w:rsidRPr="00665AA9">
        <w:rPr>
          <w:noProof/>
        </w:rPr>
        <w:t xml:space="preserve">, 367-375. </w:t>
      </w:r>
      <w:r w:rsidRPr="00BF0919">
        <w:rPr>
          <w:noProof/>
        </w:rPr>
        <w:t>https://doi.org/10.1016/j.wasman.2016.05.031</w:t>
      </w:r>
      <w:r w:rsidRPr="00665AA9">
        <w:rPr>
          <w:noProof/>
        </w:rPr>
        <w:t xml:space="preserve"> </w:t>
      </w:r>
    </w:p>
    <w:p w14:paraId="09B5756A" w14:textId="77777777" w:rsidR="00BF0919" w:rsidRPr="00665AA9" w:rsidRDefault="00BF0919" w:rsidP="00665AA9">
      <w:pPr>
        <w:pStyle w:val="EndNoteBibliography"/>
        <w:ind w:left="720" w:hanging="720"/>
        <w:rPr>
          <w:noProof/>
        </w:rPr>
      </w:pPr>
      <w:r w:rsidRPr="00665AA9">
        <w:rPr>
          <w:noProof/>
        </w:rPr>
        <w:t xml:space="preserve">Dong, Y. (2018). Performance assessment and design of ultra-high performance concrete (UHPC) structures incorporating life-cycle cost and environmental impacts. </w:t>
      </w:r>
      <w:r w:rsidRPr="00665AA9">
        <w:rPr>
          <w:i/>
          <w:noProof/>
        </w:rPr>
        <w:t>Construction and Building Materials</w:t>
      </w:r>
      <w:r w:rsidRPr="00665AA9">
        <w:rPr>
          <w:noProof/>
        </w:rPr>
        <w:t>,</w:t>
      </w:r>
      <w:r w:rsidRPr="00665AA9">
        <w:rPr>
          <w:i/>
          <w:noProof/>
        </w:rPr>
        <w:t xml:space="preserve"> 167</w:t>
      </w:r>
      <w:r w:rsidRPr="00665AA9">
        <w:rPr>
          <w:noProof/>
        </w:rPr>
        <w:t xml:space="preserve">, 414-425. </w:t>
      </w:r>
      <w:r w:rsidRPr="00BF0919">
        <w:rPr>
          <w:noProof/>
        </w:rPr>
        <w:t>https://doi.org/10.1016/j.conbuildmat.2018.02.037</w:t>
      </w:r>
      <w:r w:rsidRPr="00665AA9">
        <w:rPr>
          <w:noProof/>
        </w:rPr>
        <w:t xml:space="preserve"> </w:t>
      </w:r>
    </w:p>
    <w:p w14:paraId="11660A53" w14:textId="77777777" w:rsidR="00BF0919" w:rsidRPr="00665AA9" w:rsidRDefault="00BF0919" w:rsidP="00665AA9">
      <w:pPr>
        <w:pStyle w:val="EndNoteBibliography"/>
        <w:ind w:left="720" w:hanging="720"/>
        <w:rPr>
          <w:noProof/>
        </w:rPr>
      </w:pPr>
      <w:r w:rsidRPr="00665AA9">
        <w:rPr>
          <w:noProof/>
        </w:rPr>
        <w:t xml:space="preserve">Ellis, L. D., Badel, A. F., Chiang, M. L., Park, R. J.-Y., &amp; Chiang, Y.-M. (2020). Toward electrochemical synthesis of cement—An electrolyzer-based process for decarbonating CaCO3 while producing useful gas streams. </w:t>
      </w:r>
      <w:r w:rsidRPr="00665AA9">
        <w:rPr>
          <w:i/>
          <w:noProof/>
        </w:rPr>
        <w:t>Proceedings of the National Academy of Sciences</w:t>
      </w:r>
      <w:r w:rsidRPr="00665AA9">
        <w:rPr>
          <w:noProof/>
        </w:rPr>
        <w:t>,</w:t>
      </w:r>
      <w:r w:rsidRPr="00665AA9">
        <w:rPr>
          <w:i/>
          <w:noProof/>
        </w:rPr>
        <w:t xml:space="preserve"> 117</w:t>
      </w:r>
      <w:r w:rsidRPr="00665AA9">
        <w:rPr>
          <w:noProof/>
        </w:rPr>
        <w:t xml:space="preserve">(23), 12584-12591. </w:t>
      </w:r>
      <w:r w:rsidRPr="00BF0919">
        <w:rPr>
          <w:noProof/>
        </w:rPr>
        <w:t>https://doi.org/10.1073/pnas.1821673116</w:t>
      </w:r>
      <w:r w:rsidRPr="00665AA9">
        <w:rPr>
          <w:noProof/>
        </w:rPr>
        <w:t xml:space="preserve"> </w:t>
      </w:r>
    </w:p>
    <w:p w14:paraId="12A6C914" w14:textId="77777777" w:rsidR="00BF0919" w:rsidRPr="00665AA9" w:rsidRDefault="00BF0919" w:rsidP="00665AA9">
      <w:pPr>
        <w:pStyle w:val="EndNoteBibliography"/>
        <w:ind w:left="720" w:hanging="720"/>
        <w:rPr>
          <w:noProof/>
        </w:rPr>
      </w:pPr>
      <w:r w:rsidRPr="00665AA9">
        <w:rPr>
          <w:noProof/>
        </w:rPr>
        <w:t xml:space="preserve">Farahani, J. N., Shafigh, P., Alsubari, B., Shahnazar, S., &amp; Mahmud, H. B. (2017). Engineering properties of lightweight aggregate concrete containing binary and ternary blended cement. </w:t>
      </w:r>
      <w:r w:rsidRPr="00665AA9">
        <w:rPr>
          <w:i/>
          <w:noProof/>
        </w:rPr>
        <w:t>Journal of Cleaner Production</w:t>
      </w:r>
      <w:r w:rsidRPr="00665AA9">
        <w:rPr>
          <w:noProof/>
        </w:rPr>
        <w:t>,</w:t>
      </w:r>
      <w:r w:rsidRPr="00665AA9">
        <w:rPr>
          <w:i/>
          <w:noProof/>
        </w:rPr>
        <w:t xml:space="preserve"> 149</w:t>
      </w:r>
      <w:r w:rsidRPr="00665AA9">
        <w:rPr>
          <w:noProof/>
        </w:rPr>
        <w:t xml:space="preserve">, 976-988. </w:t>
      </w:r>
      <w:r w:rsidRPr="00BF0919">
        <w:rPr>
          <w:noProof/>
        </w:rPr>
        <w:t>https://doi.org/10.1016/j.jclepro.2017.02.077</w:t>
      </w:r>
      <w:r w:rsidRPr="00665AA9">
        <w:rPr>
          <w:noProof/>
        </w:rPr>
        <w:t xml:space="preserve"> </w:t>
      </w:r>
    </w:p>
    <w:p w14:paraId="237CBD37" w14:textId="77777777" w:rsidR="00BF0919" w:rsidRPr="00665AA9" w:rsidRDefault="00BF0919" w:rsidP="00665AA9">
      <w:pPr>
        <w:pStyle w:val="EndNoteBibliography"/>
        <w:ind w:left="720" w:hanging="720"/>
        <w:rPr>
          <w:noProof/>
        </w:rPr>
      </w:pPr>
      <w:r w:rsidRPr="00665AA9">
        <w:rPr>
          <w:noProof/>
        </w:rPr>
        <w:t xml:space="preserve">Feiz, R., Ammenberg, J., Baas, L., Eklund, M., Helgstrand, A., &amp; Marshall, R. (2015). Improving the CO2 performance of cement, part I: utilizing life-cycle assessment and key performance indicators to assess development within the cement industry. </w:t>
      </w:r>
      <w:r w:rsidRPr="00665AA9">
        <w:rPr>
          <w:i/>
          <w:noProof/>
        </w:rPr>
        <w:t>Journal of Cleaner Production</w:t>
      </w:r>
      <w:r w:rsidRPr="00665AA9">
        <w:rPr>
          <w:noProof/>
        </w:rPr>
        <w:t>,</w:t>
      </w:r>
      <w:r w:rsidRPr="00665AA9">
        <w:rPr>
          <w:i/>
          <w:noProof/>
        </w:rPr>
        <w:t xml:space="preserve"> 98</w:t>
      </w:r>
      <w:r w:rsidRPr="00665AA9">
        <w:rPr>
          <w:noProof/>
        </w:rPr>
        <w:t xml:space="preserve">, 272-281. </w:t>
      </w:r>
      <w:r w:rsidRPr="00BF0919">
        <w:rPr>
          <w:noProof/>
        </w:rPr>
        <w:t>https://doi.org/10.1016/j.jclepro.2014.01.083</w:t>
      </w:r>
      <w:r w:rsidRPr="00665AA9">
        <w:rPr>
          <w:noProof/>
        </w:rPr>
        <w:t xml:space="preserve"> </w:t>
      </w:r>
    </w:p>
    <w:p w14:paraId="03739C42" w14:textId="77777777" w:rsidR="00BF0919" w:rsidRPr="00665AA9" w:rsidRDefault="00BF0919" w:rsidP="00665AA9">
      <w:pPr>
        <w:pStyle w:val="EndNoteBibliography"/>
        <w:ind w:left="720" w:hanging="720"/>
        <w:rPr>
          <w:noProof/>
        </w:rPr>
      </w:pPr>
      <w:r w:rsidRPr="00665AA9">
        <w:rPr>
          <w:noProof/>
        </w:rPr>
        <w:t xml:space="preserve">Flower, D. J. M., &amp; Sanjayan, J. G. (2007). Green house gas emissions due to concrete manufacture. </w:t>
      </w:r>
      <w:r w:rsidRPr="00665AA9">
        <w:rPr>
          <w:i/>
          <w:noProof/>
        </w:rPr>
        <w:t xml:space="preserve">The </w:t>
      </w:r>
      <w:r w:rsidRPr="00665AA9">
        <w:rPr>
          <w:i/>
          <w:noProof/>
        </w:rPr>
        <w:lastRenderedPageBreak/>
        <w:t>International Journal of Life Cycle Assessment</w:t>
      </w:r>
      <w:r w:rsidRPr="00665AA9">
        <w:rPr>
          <w:noProof/>
        </w:rPr>
        <w:t>,</w:t>
      </w:r>
      <w:r w:rsidRPr="00665AA9">
        <w:rPr>
          <w:i/>
          <w:noProof/>
        </w:rPr>
        <w:t xml:space="preserve"> 12</w:t>
      </w:r>
      <w:r w:rsidRPr="00665AA9">
        <w:rPr>
          <w:noProof/>
        </w:rPr>
        <w:t xml:space="preserve">(5), 282-288. </w:t>
      </w:r>
      <w:r w:rsidRPr="00BF0919">
        <w:rPr>
          <w:noProof/>
        </w:rPr>
        <w:t>https://doi.org/10.1065/lca2007.05.327</w:t>
      </w:r>
      <w:r w:rsidRPr="00665AA9">
        <w:rPr>
          <w:noProof/>
        </w:rPr>
        <w:t xml:space="preserve"> </w:t>
      </w:r>
    </w:p>
    <w:p w14:paraId="053E4913" w14:textId="77777777" w:rsidR="00BF0919" w:rsidRPr="00665AA9" w:rsidRDefault="00BF0919" w:rsidP="00665AA9">
      <w:pPr>
        <w:pStyle w:val="EndNoteBibliography"/>
        <w:ind w:left="720" w:hanging="720"/>
        <w:rPr>
          <w:noProof/>
        </w:rPr>
      </w:pPr>
      <w:r w:rsidRPr="00665AA9">
        <w:rPr>
          <w:noProof/>
        </w:rPr>
        <w:t xml:space="preserve">Fraj, A. B., &amp; Idir, R. (2017). Concrete based on recycled aggregates – Recycling and environmental analysis: A case study of paris’ region. </w:t>
      </w:r>
      <w:r w:rsidRPr="00665AA9">
        <w:rPr>
          <w:i/>
          <w:noProof/>
        </w:rPr>
        <w:t>Construction and Building Materials</w:t>
      </w:r>
      <w:r w:rsidRPr="00665AA9">
        <w:rPr>
          <w:noProof/>
        </w:rPr>
        <w:t>,</w:t>
      </w:r>
      <w:r w:rsidRPr="00665AA9">
        <w:rPr>
          <w:i/>
          <w:noProof/>
        </w:rPr>
        <w:t xml:space="preserve"> 157</w:t>
      </w:r>
      <w:r w:rsidRPr="00665AA9">
        <w:rPr>
          <w:noProof/>
        </w:rPr>
        <w:t xml:space="preserve">, 952-964. </w:t>
      </w:r>
      <w:r w:rsidRPr="00BF0919">
        <w:rPr>
          <w:noProof/>
        </w:rPr>
        <w:t>https://doi.org/10.1016/j.conbuildmat.2017.09.059</w:t>
      </w:r>
      <w:r w:rsidRPr="00665AA9">
        <w:rPr>
          <w:noProof/>
        </w:rPr>
        <w:t xml:space="preserve"> </w:t>
      </w:r>
    </w:p>
    <w:p w14:paraId="4186211D" w14:textId="77777777" w:rsidR="00BF0919" w:rsidRPr="00665AA9" w:rsidRDefault="00BF0919" w:rsidP="00665AA9">
      <w:pPr>
        <w:pStyle w:val="EndNoteBibliography"/>
        <w:ind w:left="720" w:hanging="720"/>
        <w:rPr>
          <w:noProof/>
        </w:rPr>
      </w:pPr>
      <w:r w:rsidRPr="00665AA9">
        <w:rPr>
          <w:noProof/>
        </w:rPr>
        <w:t xml:space="preserve">Galvez-Martos, J.-L., Chaliulina, R., Elhoweris, A., Mwanda, J., Hakki, A., &amp; Al-horr, Y. (2021). Techno-economic assessment of calcium sulfoaluminate clinker production using elemental sulfur as raw material. </w:t>
      </w:r>
      <w:r w:rsidRPr="00665AA9">
        <w:rPr>
          <w:i/>
          <w:noProof/>
        </w:rPr>
        <w:t>Journal of Cleaner Production</w:t>
      </w:r>
      <w:r w:rsidRPr="00665AA9">
        <w:rPr>
          <w:noProof/>
        </w:rPr>
        <w:t>,</w:t>
      </w:r>
      <w:r w:rsidRPr="00665AA9">
        <w:rPr>
          <w:i/>
          <w:noProof/>
        </w:rPr>
        <w:t xml:space="preserve"> 301</w:t>
      </w:r>
      <w:r w:rsidRPr="00665AA9">
        <w:rPr>
          <w:noProof/>
        </w:rPr>
        <w:t xml:space="preserve">. </w:t>
      </w:r>
      <w:r w:rsidRPr="00BF0919">
        <w:rPr>
          <w:noProof/>
        </w:rPr>
        <w:t>https://doi.org/10.1016/j.jclepro.2021.126888</w:t>
      </w:r>
      <w:r w:rsidRPr="00665AA9">
        <w:rPr>
          <w:noProof/>
        </w:rPr>
        <w:t xml:space="preserve"> </w:t>
      </w:r>
    </w:p>
    <w:p w14:paraId="51B12CC0" w14:textId="77777777" w:rsidR="00BF0919" w:rsidRPr="00665AA9" w:rsidRDefault="00BF0919" w:rsidP="00665AA9">
      <w:pPr>
        <w:pStyle w:val="EndNoteBibliography"/>
        <w:ind w:left="720" w:hanging="720"/>
        <w:rPr>
          <w:noProof/>
        </w:rPr>
      </w:pPr>
      <w:r w:rsidRPr="00665AA9">
        <w:rPr>
          <w:rFonts w:hint="eastAsia"/>
          <w:noProof/>
        </w:rPr>
        <w:t>Galvez</w:t>
      </w:r>
      <w:r w:rsidRPr="00665AA9">
        <w:rPr>
          <w:rFonts w:hint="eastAsia"/>
          <w:noProof/>
        </w:rPr>
        <w:t>‐</w:t>
      </w:r>
      <w:r w:rsidRPr="00665AA9">
        <w:rPr>
          <w:rFonts w:hint="eastAsia"/>
          <w:noProof/>
        </w:rPr>
        <w:t>Martos, J. L., Valente, A., Martinez</w:t>
      </w:r>
      <w:r w:rsidRPr="00665AA9">
        <w:rPr>
          <w:rFonts w:hint="eastAsia"/>
          <w:noProof/>
        </w:rPr>
        <w:t>‐</w:t>
      </w:r>
      <w:r w:rsidRPr="00665AA9">
        <w:rPr>
          <w:rFonts w:hint="eastAsia"/>
          <w:noProof/>
        </w:rPr>
        <w:t>Fernandez, M., &amp; Dufour, J. (2020). Eco</w:t>
      </w:r>
      <w:r w:rsidRPr="00665AA9">
        <w:rPr>
          <w:rFonts w:hint="eastAsia"/>
          <w:noProof/>
        </w:rPr>
        <w:t>‐</w:t>
      </w:r>
      <w:r w:rsidRPr="00665AA9">
        <w:rPr>
          <w:rFonts w:hint="eastAsia"/>
          <w:noProof/>
        </w:rPr>
        <w:t xml:space="preserve">efficiency assessment of calcium sulfoaluminate clinker production. </w:t>
      </w:r>
      <w:r w:rsidRPr="00665AA9">
        <w:rPr>
          <w:rFonts w:hint="eastAsia"/>
          <w:i/>
          <w:noProof/>
        </w:rPr>
        <w:t>Journal of Industrial Ecology</w:t>
      </w:r>
      <w:r w:rsidRPr="00665AA9">
        <w:rPr>
          <w:rFonts w:hint="eastAsia"/>
          <w:noProof/>
        </w:rPr>
        <w:t>,</w:t>
      </w:r>
      <w:r w:rsidRPr="00665AA9">
        <w:rPr>
          <w:rFonts w:hint="eastAsia"/>
          <w:i/>
          <w:noProof/>
        </w:rPr>
        <w:t xml:space="preserve"> 24</w:t>
      </w:r>
      <w:r w:rsidRPr="00665AA9">
        <w:rPr>
          <w:rFonts w:hint="eastAsia"/>
          <w:noProof/>
        </w:rPr>
        <w:t xml:space="preserve">(3), 695-706. </w:t>
      </w:r>
      <w:r w:rsidRPr="00BF0919">
        <w:rPr>
          <w:rFonts w:hint="eastAsia"/>
          <w:noProof/>
        </w:rPr>
        <w:t>https://doi.org/10.1111/</w:t>
      </w:r>
      <w:r w:rsidRPr="00BF0919">
        <w:rPr>
          <w:noProof/>
        </w:rPr>
        <w:t>jiec.12967</w:t>
      </w:r>
      <w:r w:rsidRPr="00665AA9">
        <w:rPr>
          <w:noProof/>
        </w:rPr>
        <w:t xml:space="preserve"> </w:t>
      </w:r>
    </w:p>
    <w:p w14:paraId="150EAC14" w14:textId="77777777" w:rsidR="00BF0919" w:rsidRPr="00665AA9" w:rsidRDefault="00BF0919" w:rsidP="00665AA9">
      <w:pPr>
        <w:pStyle w:val="EndNoteBibliography"/>
        <w:ind w:left="720" w:hanging="720"/>
        <w:rPr>
          <w:noProof/>
        </w:rPr>
      </w:pPr>
      <w:r w:rsidRPr="00665AA9">
        <w:rPr>
          <w:noProof/>
        </w:rPr>
        <w:t xml:space="preserve">Gan, V. J. L., Chan, C. M., Tse, K. T., Lo, I. M. C., &amp; Cheng, J. C. P. (2017). A comparative analysis of embodied carbon in high-rise buildings regarding different design parameters. </w:t>
      </w:r>
      <w:r w:rsidRPr="00665AA9">
        <w:rPr>
          <w:i/>
          <w:noProof/>
        </w:rPr>
        <w:t>Journal of Cleaner Production</w:t>
      </w:r>
      <w:r w:rsidRPr="00665AA9">
        <w:rPr>
          <w:noProof/>
        </w:rPr>
        <w:t>,</w:t>
      </w:r>
      <w:r w:rsidRPr="00665AA9">
        <w:rPr>
          <w:i/>
          <w:noProof/>
        </w:rPr>
        <w:t xml:space="preserve"> 161</w:t>
      </w:r>
      <w:r w:rsidRPr="00665AA9">
        <w:rPr>
          <w:noProof/>
        </w:rPr>
        <w:t xml:space="preserve">, 663-675. </w:t>
      </w:r>
      <w:r w:rsidRPr="00BF0919">
        <w:rPr>
          <w:noProof/>
        </w:rPr>
        <w:t>https://doi.org/10.1016/j.jclepro.2017.05.156</w:t>
      </w:r>
      <w:r w:rsidRPr="00665AA9">
        <w:rPr>
          <w:noProof/>
        </w:rPr>
        <w:t xml:space="preserve"> </w:t>
      </w:r>
    </w:p>
    <w:p w14:paraId="6EEC2513" w14:textId="77777777" w:rsidR="00BF0919" w:rsidRPr="00665AA9" w:rsidRDefault="00BF0919" w:rsidP="00665AA9">
      <w:pPr>
        <w:pStyle w:val="EndNoteBibliography"/>
        <w:ind w:left="720" w:hanging="720"/>
        <w:rPr>
          <w:noProof/>
        </w:rPr>
      </w:pPr>
      <w:r w:rsidRPr="00665AA9">
        <w:rPr>
          <w:noProof/>
        </w:rPr>
        <w:t xml:space="preserve">Gan, V. J. L., Cheng, J. C. P., &amp; Lo, I. M. C. (2019). A comprehensive approach to mitigation of embodied carbon in reinforced concrete buildings. </w:t>
      </w:r>
      <w:r w:rsidRPr="00665AA9">
        <w:rPr>
          <w:i/>
          <w:noProof/>
        </w:rPr>
        <w:t>Journal of Cleaner Production</w:t>
      </w:r>
      <w:r w:rsidRPr="00665AA9">
        <w:rPr>
          <w:noProof/>
        </w:rPr>
        <w:t>,</w:t>
      </w:r>
      <w:r w:rsidRPr="00665AA9">
        <w:rPr>
          <w:i/>
          <w:noProof/>
        </w:rPr>
        <w:t xml:space="preserve"> 229</w:t>
      </w:r>
      <w:r w:rsidRPr="00665AA9">
        <w:rPr>
          <w:noProof/>
        </w:rPr>
        <w:t xml:space="preserve">, 582-597. </w:t>
      </w:r>
      <w:r w:rsidRPr="00BF0919">
        <w:rPr>
          <w:noProof/>
        </w:rPr>
        <w:t>https://doi.org/10.1016/j.jclepro.2019.05.035</w:t>
      </w:r>
      <w:r w:rsidRPr="00665AA9">
        <w:rPr>
          <w:noProof/>
        </w:rPr>
        <w:t xml:space="preserve"> </w:t>
      </w:r>
    </w:p>
    <w:p w14:paraId="74573160" w14:textId="77777777" w:rsidR="00BF0919" w:rsidRPr="00665AA9" w:rsidRDefault="00BF0919" w:rsidP="00665AA9">
      <w:pPr>
        <w:pStyle w:val="EndNoteBibliography"/>
        <w:ind w:left="720" w:hanging="720"/>
        <w:rPr>
          <w:noProof/>
        </w:rPr>
      </w:pPr>
      <w:r w:rsidRPr="00665AA9">
        <w:rPr>
          <w:noProof/>
        </w:rPr>
        <w:t xml:space="preserve">Gan, V. J. L., Cheng, J. C. P., Lo, I. M. C., &amp; Chan, C. M. (2017). Developing a CO2-e accounting method for quantification and analysis of embodied carbon in high-rise buildings. </w:t>
      </w:r>
      <w:r w:rsidRPr="00665AA9">
        <w:rPr>
          <w:i/>
          <w:noProof/>
        </w:rPr>
        <w:t>Journal of Cleaner Production</w:t>
      </w:r>
      <w:r w:rsidRPr="00665AA9">
        <w:rPr>
          <w:noProof/>
        </w:rPr>
        <w:t>,</w:t>
      </w:r>
      <w:r w:rsidRPr="00665AA9">
        <w:rPr>
          <w:i/>
          <w:noProof/>
        </w:rPr>
        <w:t xml:space="preserve"> 141</w:t>
      </w:r>
      <w:r w:rsidRPr="00665AA9">
        <w:rPr>
          <w:noProof/>
        </w:rPr>
        <w:t xml:space="preserve">, 825-836. </w:t>
      </w:r>
      <w:r w:rsidRPr="00BF0919">
        <w:rPr>
          <w:noProof/>
        </w:rPr>
        <w:t>https://doi.org/10.1016/j.jclepro.2016.09.126</w:t>
      </w:r>
      <w:r w:rsidRPr="00665AA9">
        <w:rPr>
          <w:noProof/>
        </w:rPr>
        <w:t xml:space="preserve"> </w:t>
      </w:r>
    </w:p>
    <w:p w14:paraId="500E2A3B" w14:textId="77777777" w:rsidR="00BF0919" w:rsidRPr="00665AA9" w:rsidRDefault="00BF0919" w:rsidP="00665AA9">
      <w:pPr>
        <w:pStyle w:val="EndNoteBibliography"/>
        <w:ind w:left="720" w:hanging="720"/>
        <w:rPr>
          <w:noProof/>
        </w:rPr>
      </w:pPr>
      <w:r w:rsidRPr="00665AA9">
        <w:rPr>
          <w:noProof/>
        </w:rPr>
        <w:t xml:space="preserve">Gan, V. J. L., Deng, M., Tse, K. T., Chan, C. M., Lo, I. M. C., &amp; Cheng, J. C. P. (2018). Holistic BIM framework for sustainable low carbon design of high-rise buildings. </w:t>
      </w:r>
      <w:r w:rsidRPr="00665AA9">
        <w:rPr>
          <w:i/>
          <w:noProof/>
        </w:rPr>
        <w:t>Journal of Cleaner Production</w:t>
      </w:r>
      <w:r w:rsidRPr="00665AA9">
        <w:rPr>
          <w:noProof/>
        </w:rPr>
        <w:t>,</w:t>
      </w:r>
      <w:r w:rsidRPr="00665AA9">
        <w:rPr>
          <w:i/>
          <w:noProof/>
        </w:rPr>
        <w:t xml:space="preserve"> 195</w:t>
      </w:r>
      <w:r w:rsidRPr="00665AA9">
        <w:rPr>
          <w:noProof/>
        </w:rPr>
        <w:t xml:space="preserve">, 1091-1104. </w:t>
      </w:r>
      <w:r w:rsidRPr="00BF0919">
        <w:rPr>
          <w:noProof/>
        </w:rPr>
        <w:t>https://doi.org/10.1016/j.jclepro.2018.05.272</w:t>
      </w:r>
      <w:r w:rsidRPr="00665AA9">
        <w:rPr>
          <w:noProof/>
        </w:rPr>
        <w:t xml:space="preserve"> </w:t>
      </w:r>
    </w:p>
    <w:p w14:paraId="4A770B19" w14:textId="77777777" w:rsidR="00BF0919" w:rsidRPr="00665AA9" w:rsidRDefault="00BF0919" w:rsidP="00665AA9">
      <w:pPr>
        <w:pStyle w:val="EndNoteBibliography"/>
        <w:ind w:left="720" w:hanging="720"/>
        <w:rPr>
          <w:noProof/>
        </w:rPr>
      </w:pPr>
      <w:r w:rsidRPr="00665AA9">
        <w:rPr>
          <w:noProof/>
        </w:rPr>
        <w:t xml:space="preserve">Gao, W., Ariyama, T., Ojima, T., &amp; Meier, A. (2001). Energy impacts of recycling disassembly material in residential buildings. </w:t>
      </w:r>
      <w:r w:rsidRPr="00665AA9">
        <w:rPr>
          <w:i/>
          <w:noProof/>
        </w:rPr>
        <w:t>Energy and Buildings</w:t>
      </w:r>
      <w:r w:rsidRPr="00665AA9">
        <w:rPr>
          <w:noProof/>
        </w:rPr>
        <w:t>,</w:t>
      </w:r>
      <w:r w:rsidRPr="00665AA9">
        <w:rPr>
          <w:i/>
          <w:noProof/>
        </w:rPr>
        <w:t xml:space="preserve"> 33</w:t>
      </w:r>
      <w:r w:rsidRPr="00665AA9">
        <w:rPr>
          <w:noProof/>
        </w:rPr>
        <w:t xml:space="preserve">(6), 553-562. </w:t>
      </w:r>
      <w:r w:rsidRPr="00BF0919">
        <w:rPr>
          <w:noProof/>
        </w:rPr>
        <w:t>https://doi.org/10.1016/S0378-7788(00)00096-7</w:t>
      </w:r>
      <w:r w:rsidRPr="00665AA9">
        <w:rPr>
          <w:noProof/>
        </w:rPr>
        <w:t xml:space="preserve"> </w:t>
      </w:r>
    </w:p>
    <w:p w14:paraId="53F1ACFA" w14:textId="77777777" w:rsidR="00BF0919" w:rsidRPr="00665AA9" w:rsidRDefault="00BF0919" w:rsidP="00665AA9">
      <w:pPr>
        <w:pStyle w:val="EndNoteBibliography"/>
        <w:ind w:left="720" w:hanging="720"/>
        <w:rPr>
          <w:noProof/>
        </w:rPr>
      </w:pPr>
      <w:r w:rsidRPr="00665AA9">
        <w:rPr>
          <w:noProof/>
        </w:rPr>
        <w:t xml:space="preserve">Gartner, E. (2004). Industrially interesting approaches to “low-CO2” cements. </w:t>
      </w:r>
      <w:r w:rsidRPr="00665AA9">
        <w:rPr>
          <w:i/>
          <w:noProof/>
        </w:rPr>
        <w:t>Cement and Concrete Research</w:t>
      </w:r>
      <w:r w:rsidRPr="00665AA9">
        <w:rPr>
          <w:noProof/>
        </w:rPr>
        <w:t>,</w:t>
      </w:r>
      <w:r w:rsidRPr="00665AA9">
        <w:rPr>
          <w:i/>
          <w:noProof/>
        </w:rPr>
        <w:t xml:space="preserve"> 34</w:t>
      </w:r>
      <w:r w:rsidRPr="00665AA9">
        <w:rPr>
          <w:noProof/>
        </w:rPr>
        <w:t xml:space="preserve">(9), 1489-1498. </w:t>
      </w:r>
      <w:r w:rsidRPr="00BF0919">
        <w:rPr>
          <w:noProof/>
        </w:rPr>
        <w:t>https://doi.org/10.1016/j.cemconres.2004.01.021</w:t>
      </w:r>
      <w:r w:rsidRPr="00665AA9">
        <w:rPr>
          <w:noProof/>
        </w:rPr>
        <w:t xml:space="preserve"> </w:t>
      </w:r>
    </w:p>
    <w:p w14:paraId="7985C610" w14:textId="77777777" w:rsidR="00BF0919" w:rsidRPr="00665AA9" w:rsidRDefault="00BF0919" w:rsidP="00665AA9">
      <w:pPr>
        <w:pStyle w:val="EndNoteBibliography"/>
        <w:ind w:left="720" w:hanging="720"/>
        <w:rPr>
          <w:noProof/>
        </w:rPr>
      </w:pPr>
      <w:r w:rsidRPr="00665AA9">
        <w:rPr>
          <w:noProof/>
        </w:rPr>
        <w:t xml:space="preserve">Glass, J., Dyer, T., Georgopoulos, C., Goodier, C., Paine, K., Parry, T., Baumann, H., &amp; Gluch, P. (2013). Future use of life-cycle assessment in civil engineering. </w:t>
      </w:r>
      <w:r w:rsidRPr="00665AA9">
        <w:rPr>
          <w:i/>
          <w:noProof/>
        </w:rPr>
        <w:t>Proceedings of the Institution of Civil Engineers - Construction Materials</w:t>
      </w:r>
      <w:r w:rsidRPr="00665AA9">
        <w:rPr>
          <w:noProof/>
        </w:rPr>
        <w:t>,</w:t>
      </w:r>
      <w:r w:rsidRPr="00665AA9">
        <w:rPr>
          <w:i/>
          <w:noProof/>
        </w:rPr>
        <w:t xml:space="preserve"> 166</w:t>
      </w:r>
      <w:r w:rsidRPr="00665AA9">
        <w:rPr>
          <w:noProof/>
        </w:rPr>
        <w:t xml:space="preserve">(4), 204-212. </w:t>
      </w:r>
      <w:r w:rsidRPr="00BF0919">
        <w:rPr>
          <w:noProof/>
        </w:rPr>
        <w:t>https://doi.org/10.1680/coma.12.00037</w:t>
      </w:r>
      <w:r w:rsidRPr="00665AA9">
        <w:rPr>
          <w:noProof/>
        </w:rPr>
        <w:t xml:space="preserve"> </w:t>
      </w:r>
    </w:p>
    <w:p w14:paraId="1C0C4C73" w14:textId="77777777" w:rsidR="00BF0919" w:rsidRPr="00665AA9" w:rsidRDefault="00BF0919" w:rsidP="00665AA9">
      <w:pPr>
        <w:pStyle w:val="EndNoteBibliography"/>
        <w:ind w:left="720" w:hanging="720"/>
        <w:rPr>
          <w:noProof/>
        </w:rPr>
      </w:pPr>
      <w:r w:rsidRPr="00665AA9">
        <w:rPr>
          <w:noProof/>
        </w:rPr>
        <w:t xml:space="preserve">Gomes, K. C., Carvalho, M., Diniz, D. d. P., Abrantes, R. d. C. C., Branco, M. A., &amp; Carvalho, P. R. O. d. (2019). Carbon emissions associated with two types of foundations: CP-II Portland cement-based composite vs. geopolymer concrete. </w:t>
      </w:r>
      <w:r w:rsidRPr="00665AA9">
        <w:rPr>
          <w:i/>
          <w:noProof/>
        </w:rPr>
        <w:t>Matéria (Rio de Janeiro)</w:t>
      </w:r>
      <w:r w:rsidRPr="00665AA9">
        <w:rPr>
          <w:noProof/>
        </w:rPr>
        <w:t>,</w:t>
      </w:r>
      <w:r w:rsidRPr="00665AA9">
        <w:rPr>
          <w:i/>
          <w:noProof/>
        </w:rPr>
        <w:t xml:space="preserve"> 24</w:t>
      </w:r>
      <w:r w:rsidRPr="00665AA9">
        <w:rPr>
          <w:noProof/>
        </w:rPr>
        <w:t xml:space="preserve">. </w:t>
      </w:r>
      <w:r w:rsidRPr="00BF0919">
        <w:rPr>
          <w:noProof/>
        </w:rPr>
        <w:t>https://doi.org/10.1590/S1517-707620190004.0850</w:t>
      </w:r>
      <w:r w:rsidRPr="00665AA9">
        <w:rPr>
          <w:noProof/>
        </w:rPr>
        <w:t xml:space="preserve"> </w:t>
      </w:r>
    </w:p>
    <w:p w14:paraId="1EDD9C57" w14:textId="77777777" w:rsidR="00BF0919" w:rsidRPr="00665AA9" w:rsidRDefault="00BF0919" w:rsidP="00665AA9">
      <w:pPr>
        <w:pStyle w:val="EndNoteBibliography"/>
        <w:ind w:left="720" w:hanging="720"/>
        <w:rPr>
          <w:noProof/>
        </w:rPr>
      </w:pPr>
      <w:r w:rsidRPr="00665AA9">
        <w:rPr>
          <w:noProof/>
        </w:rPr>
        <w:t xml:space="preserve">Gravina, R. J., &amp; Xie, T. (2022). Toward the development of sustainable concrete with Crumb Rubber: Design-oriented Models, Life-Cycle-Assessment and a site application. </w:t>
      </w:r>
      <w:r w:rsidRPr="00665AA9">
        <w:rPr>
          <w:i/>
          <w:noProof/>
        </w:rPr>
        <w:t>Construction and Building Materials</w:t>
      </w:r>
      <w:r w:rsidRPr="00665AA9">
        <w:rPr>
          <w:noProof/>
        </w:rPr>
        <w:t>,</w:t>
      </w:r>
      <w:r w:rsidRPr="00665AA9">
        <w:rPr>
          <w:i/>
          <w:noProof/>
        </w:rPr>
        <w:t xml:space="preserve"> 315</w:t>
      </w:r>
      <w:r w:rsidRPr="00665AA9">
        <w:rPr>
          <w:noProof/>
        </w:rPr>
        <w:t xml:space="preserve">. </w:t>
      </w:r>
      <w:r w:rsidRPr="00BF0919">
        <w:rPr>
          <w:noProof/>
        </w:rPr>
        <w:t>https://doi.org/10.1016/j.conbuildmat.2021.125565</w:t>
      </w:r>
      <w:r w:rsidRPr="00665AA9">
        <w:rPr>
          <w:noProof/>
        </w:rPr>
        <w:t xml:space="preserve"> </w:t>
      </w:r>
    </w:p>
    <w:p w14:paraId="36C370CD" w14:textId="77777777" w:rsidR="00BF0919" w:rsidRPr="00665AA9" w:rsidRDefault="00BF0919" w:rsidP="00665AA9">
      <w:pPr>
        <w:pStyle w:val="EndNoteBibliography"/>
        <w:ind w:left="720" w:hanging="720"/>
        <w:rPr>
          <w:noProof/>
        </w:rPr>
      </w:pPr>
      <w:r w:rsidRPr="00665AA9">
        <w:rPr>
          <w:noProof/>
        </w:rPr>
        <w:t xml:space="preserve">Guo, Z., Tu, A., Chen, C., &amp; Lehman, D. E. (2018). Mechanical properties, durability, and life-cycle assessment of concrete building blocks incorporating recycled concrete aggregates. </w:t>
      </w:r>
      <w:r w:rsidRPr="00665AA9">
        <w:rPr>
          <w:i/>
          <w:noProof/>
        </w:rPr>
        <w:t>Journal of Cleaner Production</w:t>
      </w:r>
      <w:r w:rsidRPr="00665AA9">
        <w:rPr>
          <w:noProof/>
        </w:rPr>
        <w:t>,</w:t>
      </w:r>
      <w:r w:rsidRPr="00665AA9">
        <w:rPr>
          <w:i/>
          <w:noProof/>
        </w:rPr>
        <w:t xml:space="preserve"> 199</w:t>
      </w:r>
      <w:r w:rsidRPr="00665AA9">
        <w:rPr>
          <w:noProof/>
        </w:rPr>
        <w:t xml:space="preserve">, 136-149. </w:t>
      </w:r>
      <w:r w:rsidRPr="00BF0919">
        <w:rPr>
          <w:noProof/>
        </w:rPr>
        <w:t>https://doi.org/10.1016/j.jclepro.2018.07.069</w:t>
      </w:r>
      <w:r w:rsidRPr="00665AA9">
        <w:rPr>
          <w:noProof/>
        </w:rPr>
        <w:t xml:space="preserve"> </w:t>
      </w:r>
    </w:p>
    <w:p w14:paraId="02CB2EFC" w14:textId="77777777" w:rsidR="00BF0919" w:rsidRPr="00665AA9" w:rsidRDefault="00BF0919" w:rsidP="00665AA9">
      <w:pPr>
        <w:pStyle w:val="EndNoteBibliography"/>
        <w:ind w:left="720" w:hanging="720"/>
        <w:rPr>
          <w:noProof/>
        </w:rPr>
      </w:pPr>
      <w:r w:rsidRPr="00665AA9">
        <w:rPr>
          <w:noProof/>
        </w:rPr>
        <w:t xml:space="preserve">Habert, G., J. B. D’Espinose de Lacaillerie, E. Lanta &amp; N. Roussel. (2010). </w:t>
      </w:r>
      <w:r w:rsidRPr="00665AA9">
        <w:rPr>
          <w:i/>
          <w:noProof/>
        </w:rPr>
        <w:t>Environmental evaluation for cement substitution with geopolymers</w:t>
      </w:r>
      <w:r w:rsidRPr="00665AA9">
        <w:rPr>
          <w:noProof/>
        </w:rPr>
        <w:t xml:space="preserve"> 2nd int conf sustainable construction materials and technologies, Ancona, Italy. </w:t>
      </w:r>
      <w:r w:rsidRPr="00BF0919">
        <w:rPr>
          <w:noProof/>
        </w:rPr>
        <w:t>http://www.claisse.info/2010%20papers/k29.pdf</w:t>
      </w:r>
    </w:p>
    <w:p w14:paraId="47D62A1A" w14:textId="77777777" w:rsidR="00BF0919" w:rsidRPr="00665AA9" w:rsidRDefault="00BF0919" w:rsidP="00665AA9">
      <w:pPr>
        <w:pStyle w:val="EndNoteBibliography"/>
        <w:ind w:left="720" w:hanging="720"/>
        <w:rPr>
          <w:noProof/>
        </w:rPr>
      </w:pPr>
      <w:r w:rsidRPr="00665AA9">
        <w:rPr>
          <w:noProof/>
        </w:rPr>
        <w:t xml:space="preserve">Habert, G., &amp; Ouellet-Plamondon, C. (2016). Recent update on the environmental impact of geopolymers. </w:t>
      </w:r>
      <w:r w:rsidRPr="00665AA9">
        <w:rPr>
          <w:i/>
          <w:noProof/>
        </w:rPr>
        <w:t>RILEM Technical Letters</w:t>
      </w:r>
      <w:r w:rsidRPr="00665AA9">
        <w:rPr>
          <w:noProof/>
        </w:rPr>
        <w:t xml:space="preserve">, 17-23. </w:t>
      </w:r>
      <w:r w:rsidRPr="00BF0919">
        <w:rPr>
          <w:noProof/>
        </w:rPr>
        <w:t>https://doi.org/10.21809/rilemtechlett.2016.6</w:t>
      </w:r>
      <w:r w:rsidRPr="00665AA9">
        <w:rPr>
          <w:noProof/>
        </w:rPr>
        <w:t xml:space="preserve"> </w:t>
      </w:r>
    </w:p>
    <w:p w14:paraId="7E19F5E5" w14:textId="77777777" w:rsidR="00BF0919" w:rsidRPr="00665AA9" w:rsidRDefault="00BF0919" w:rsidP="00665AA9">
      <w:pPr>
        <w:pStyle w:val="EndNoteBibliography"/>
        <w:ind w:left="720" w:hanging="720"/>
        <w:rPr>
          <w:noProof/>
        </w:rPr>
      </w:pPr>
      <w:r w:rsidRPr="00665AA9">
        <w:rPr>
          <w:noProof/>
        </w:rPr>
        <w:t xml:space="preserve">Habert, G., &amp; Roussel, N. (2009). Study of two concrete mix-design strategies to reach carbon mitigation objectives. </w:t>
      </w:r>
      <w:r w:rsidRPr="00665AA9">
        <w:rPr>
          <w:i/>
          <w:noProof/>
        </w:rPr>
        <w:lastRenderedPageBreak/>
        <w:t>Cement and Concrete Composites</w:t>
      </w:r>
      <w:r w:rsidRPr="00665AA9">
        <w:rPr>
          <w:noProof/>
        </w:rPr>
        <w:t>,</w:t>
      </w:r>
      <w:r w:rsidRPr="00665AA9">
        <w:rPr>
          <w:i/>
          <w:noProof/>
        </w:rPr>
        <w:t xml:space="preserve"> 31</w:t>
      </w:r>
      <w:r w:rsidRPr="00665AA9">
        <w:rPr>
          <w:noProof/>
        </w:rPr>
        <w:t xml:space="preserve">(6), 397-402. </w:t>
      </w:r>
      <w:r w:rsidRPr="00BF0919">
        <w:rPr>
          <w:noProof/>
        </w:rPr>
        <w:t>https://doi.org/10.1016/j.cemconcomp.2009.04.001</w:t>
      </w:r>
      <w:r w:rsidRPr="00665AA9">
        <w:rPr>
          <w:noProof/>
        </w:rPr>
        <w:t xml:space="preserve"> </w:t>
      </w:r>
    </w:p>
    <w:p w14:paraId="44FB49DA" w14:textId="77777777" w:rsidR="00BF0919" w:rsidRPr="00665AA9" w:rsidRDefault="00BF0919" w:rsidP="00665AA9">
      <w:pPr>
        <w:pStyle w:val="EndNoteBibliography"/>
        <w:ind w:left="720" w:hanging="720"/>
        <w:rPr>
          <w:noProof/>
        </w:rPr>
      </w:pPr>
      <w:r w:rsidRPr="00665AA9">
        <w:rPr>
          <w:noProof/>
        </w:rPr>
        <w:t xml:space="preserve">Hammond, G., Jones, C., Lowrie, E. F., &amp; Tse, P. (2011). Embodied carbon. </w:t>
      </w:r>
      <w:r w:rsidRPr="00665AA9">
        <w:rPr>
          <w:i/>
          <w:noProof/>
        </w:rPr>
        <w:t>The inventory of carbon and energy (ICE). Version (2.0)</w:t>
      </w:r>
      <w:r w:rsidRPr="00665AA9">
        <w:rPr>
          <w:noProof/>
        </w:rPr>
        <w:t xml:space="preserve">. </w:t>
      </w:r>
      <w:r w:rsidRPr="00BF0919">
        <w:rPr>
          <w:noProof/>
        </w:rPr>
        <w:t>http://greenbuildingencyclopaedia.uk/wp-content/uploads/2014/07/Full-BSRIA-ICE-guide.pdf</w:t>
      </w:r>
      <w:r w:rsidRPr="00665AA9">
        <w:rPr>
          <w:noProof/>
        </w:rPr>
        <w:t xml:space="preserve"> </w:t>
      </w:r>
    </w:p>
    <w:p w14:paraId="774D0D2E" w14:textId="77777777" w:rsidR="00BF0919" w:rsidRPr="00665AA9" w:rsidRDefault="00BF0919" w:rsidP="00665AA9">
      <w:pPr>
        <w:pStyle w:val="EndNoteBibliography"/>
        <w:ind w:left="720" w:hanging="720"/>
        <w:rPr>
          <w:noProof/>
        </w:rPr>
      </w:pPr>
      <w:r w:rsidRPr="00665AA9">
        <w:rPr>
          <w:noProof/>
        </w:rPr>
        <w:t xml:space="preserve">Hanein, T., Galvez-Martos, J.-L., &amp; Bannerman, M. N. (2018). Carbon footprint of calcium sulfoaluminate clinker production. </w:t>
      </w:r>
      <w:r w:rsidRPr="00665AA9">
        <w:rPr>
          <w:i/>
          <w:noProof/>
        </w:rPr>
        <w:t>Journal of Cleaner Production</w:t>
      </w:r>
      <w:r w:rsidRPr="00665AA9">
        <w:rPr>
          <w:noProof/>
        </w:rPr>
        <w:t>,</w:t>
      </w:r>
      <w:r w:rsidRPr="00665AA9">
        <w:rPr>
          <w:i/>
          <w:noProof/>
        </w:rPr>
        <w:t xml:space="preserve"> 172</w:t>
      </w:r>
      <w:r w:rsidRPr="00665AA9">
        <w:rPr>
          <w:noProof/>
        </w:rPr>
        <w:t xml:space="preserve">, 2278-2287. </w:t>
      </w:r>
      <w:r w:rsidRPr="00BF0919">
        <w:rPr>
          <w:noProof/>
        </w:rPr>
        <w:t>https://doi.org/10.1016/j.jclepro.2017.11.183</w:t>
      </w:r>
      <w:r w:rsidRPr="00665AA9">
        <w:rPr>
          <w:noProof/>
        </w:rPr>
        <w:t xml:space="preserve"> </w:t>
      </w:r>
    </w:p>
    <w:p w14:paraId="61FF8782" w14:textId="77777777" w:rsidR="00BF0919" w:rsidRPr="00665AA9" w:rsidRDefault="00BF0919" w:rsidP="00665AA9">
      <w:pPr>
        <w:pStyle w:val="EndNoteBibliography"/>
        <w:ind w:left="720" w:hanging="720"/>
        <w:rPr>
          <w:noProof/>
        </w:rPr>
      </w:pPr>
      <w:r w:rsidRPr="00665AA9">
        <w:rPr>
          <w:noProof/>
        </w:rPr>
        <w:t xml:space="preserve">Hanein, T., Imbabi, M. S., Glasser, F. P., &amp; Bannerman, M. N. (2016). </w:t>
      </w:r>
      <w:r w:rsidRPr="00665AA9">
        <w:rPr>
          <w:i/>
          <w:noProof/>
        </w:rPr>
        <w:t>Lowering the carbon footprint and energy consumption of cement production: A novel Calcium SulfoAluminate cement production process</w:t>
      </w:r>
      <w:r w:rsidRPr="00665AA9">
        <w:rPr>
          <w:noProof/>
        </w:rPr>
        <w:t xml:space="preserve"> proceedings of the 1st International Conference on Grand Challenges in Construction Materials, Los Angeles,  </w:t>
      </w:r>
      <w:r w:rsidRPr="00BF0919">
        <w:rPr>
          <w:noProof/>
        </w:rPr>
        <w:t>http://igcmat.com/papers/Hanein_igcmat_2016.pdf</w:t>
      </w:r>
    </w:p>
    <w:p w14:paraId="22FE725A" w14:textId="77777777" w:rsidR="00BF0919" w:rsidRPr="00665AA9" w:rsidRDefault="00BF0919" w:rsidP="00665AA9">
      <w:pPr>
        <w:pStyle w:val="EndNoteBibliography"/>
        <w:ind w:left="720" w:hanging="720"/>
        <w:rPr>
          <w:noProof/>
        </w:rPr>
      </w:pPr>
      <w:r w:rsidRPr="00665AA9">
        <w:rPr>
          <w:noProof/>
        </w:rPr>
        <w:t xml:space="preserve">Hossain, M. U., Dong, Y., &amp; Ng, S. T. (2021). Influence of supplementary cementitious materials in sustainability performance of concrete industry: A case study in Hong Kong. </w:t>
      </w:r>
      <w:r w:rsidRPr="00665AA9">
        <w:rPr>
          <w:i/>
          <w:noProof/>
        </w:rPr>
        <w:t>Case Studies in Construction Materials</w:t>
      </w:r>
      <w:r w:rsidRPr="00665AA9">
        <w:rPr>
          <w:noProof/>
        </w:rPr>
        <w:t>,</w:t>
      </w:r>
      <w:r w:rsidRPr="00665AA9">
        <w:rPr>
          <w:i/>
          <w:noProof/>
        </w:rPr>
        <w:t xml:space="preserve"> 15</w:t>
      </w:r>
      <w:r w:rsidRPr="00665AA9">
        <w:rPr>
          <w:noProof/>
        </w:rPr>
        <w:t xml:space="preserve">. </w:t>
      </w:r>
      <w:r w:rsidRPr="00BF0919">
        <w:rPr>
          <w:noProof/>
        </w:rPr>
        <w:t>https://doi.org/10.1016/j.cscm.2021.e00659</w:t>
      </w:r>
      <w:r w:rsidRPr="00665AA9">
        <w:rPr>
          <w:noProof/>
        </w:rPr>
        <w:t xml:space="preserve"> </w:t>
      </w:r>
    </w:p>
    <w:p w14:paraId="16759E4C" w14:textId="77777777" w:rsidR="00BF0919" w:rsidRPr="00665AA9" w:rsidRDefault="00BF0919" w:rsidP="00665AA9">
      <w:pPr>
        <w:pStyle w:val="EndNoteBibliography"/>
        <w:ind w:left="720" w:hanging="720"/>
        <w:rPr>
          <w:noProof/>
        </w:rPr>
      </w:pPr>
      <w:r w:rsidRPr="00665AA9">
        <w:rPr>
          <w:noProof/>
        </w:rPr>
        <w:t xml:space="preserve">Hossain, M. U., Poon, C. S., Lo, I. M. C., &amp; Cheng, J. C. P. (2017). Comparative LCA on using waste materials in the cement industry: A Hong Kong case study. </w:t>
      </w:r>
      <w:r w:rsidRPr="00665AA9">
        <w:rPr>
          <w:i/>
          <w:noProof/>
        </w:rPr>
        <w:t>Resources, Conservation and Recycling</w:t>
      </w:r>
      <w:r w:rsidRPr="00665AA9">
        <w:rPr>
          <w:noProof/>
        </w:rPr>
        <w:t>,</w:t>
      </w:r>
      <w:r w:rsidRPr="00665AA9">
        <w:rPr>
          <w:i/>
          <w:noProof/>
        </w:rPr>
        <w:t xml:space="preserve"> 120</w:t>
      </w:r>
      <w:r w:rsidRPr="00665AA9">
        <w:rPr>
          <w:noProof/>
        </w:rPr>
        <w:t xml:space="preserve">, 199-208. </w:t>
      </w:r>
      <w:r w:rsidRPr="00BF0919">
        <w:rPr>
          <w:noProof/>
        </w:rPr>
        <w:t>https://doi.org/10.1016/j.resconrec.2016.12.012</w:t>
      </w:r>
      <w:r w:rsidRPr="00665AA9">
        <w:rPr>
          <w:noProof/>
        </w:rPr>
        <w:t xml:space="preserve"> </w:t>
      </w:r>
    </w:p>
    <w:p w14:paraId="3946748B" w14:textId="77777777" w:rsidR="00BF0919" w:rsidRPr="00665AA9" w:rsidRDefault="00BF0919" w:rsidP="00665AA9">
      <w:pPr>
        <w:pStyle w:val="EndNoteBibliography"/>
        <w:ind w:left="720" w:hanging="720"/>
        <w:rPr>
          <w:noProof/>
        </w:rPr>
      </w:pPr>
      <w:r w:rsidRPr="00665AA9">
        <w:rPr>
          <w:noProof/>
        </w:rPr>
        <w:t xml:space="preserve">Huang, H., Wang, T., Kolosz, B., Andresen, J., Garcia, S., Fang, M., &amp; Maroto-Valer, M. M. (2019). Life-cycle assessment of emerging CO2 mineral carbonation-cured concrete blocks: Comparative analysis of CO2 reduction potential and optimization of environmental impacts. </w:t>
      </w:r>
      <w:r w:rsidRPr="00665AA9">
        <w:rPr>
          <w:i/>
          <w:noProof/>
        </w:rPr>
        <w:t>Journal of Cleaner Production</w:t>
      </w:r>
      <w:r w:rsidRPr="00665AA9">
        <w:rPr>
          <w:noProof/>
        </w:rPr>
        <w:t>,</w:t>
      </w:r>
      <w:r w:rsidRPr="00665AA9">
        <w:rPr>
          <w:i/>
          <w:noProof/>
        </w:rPr>
        <w:t xml:space="preserve"> 241</w:t>
      </w:r>
      <w:r w:rsidRPr="00665AA9">
        <w:rPr>
          <w:noProof/>
        </w:rPr>
        <w:t xml:space="preserve">. </w:t>
      </w:r>
      <w:r w:rsidRPr="00BF0919">
        <w:rPr>
          <w:noProof/>
        </w:rPr>
        <w:t>https://doi.org/10.1016/j.jclepro.2019.118359</w:t>
      </w:r>
      <w:r w:rsidRPr="00665AA9">
        <w:rPr>
          <w:noProof/>
        </w:rPr>
        <w:t xml:space="preserve"> </w:t>
      </w:r>
    </w:p>
    <w:p w14:paraId="5EF1D568" w14:textId="77777777" w:rsidR="00BF0919" w:rsidRPr="00665AA9" w:rsidRDefault="00BF0919" w:rsidP="00665AA9">
      <w:pPr>
        <w:pStyle w:val="EndNoteBibliography"/>
        <w:ind w:left="720" w:hanging="720"/>
        <w:rPr>
          <w:noProof/>
        </w:rPr>
      </w:pPr>
      <w:r w:rsidRPr="00665AA9">
        <w:rPr>
          <w:noProof/>
        </w:rPr>
        <w:t xml:space="preserve">Ibn-Mohammed, T., Greenough, R., Taylor, S., Ozawa-Meida, L., &amp; Acquaye, A. (2013). Operational vs. embodied emissions in buildings—A review of current trends. </w:t>
      </w:r>
      <w:r w:rsidRPr="00665AA9">
        <w:rPr>
          <w:i/>
          <w:noProof/>
        </w:rPr>
        <w:t>Energy and Buildings</w:t>
      </w:r>
      <w:r w:rsidRPr="00665AA9">
        <w:rPr>
          <w:noProof/>
        </w:rPr>
        <w:t>,</w:t>
      </w:r>
      <w:r w:rsidRPr="00665AA9">
        <w:rPr>
          <w:i/>
          <w:noProof/>
        </w:rPr>
        <w:t xml:space="preserve"> 66</w:t>
      </w:r>
      <w:r w:rsidRPr="00665AA9">
        <w:rPr>
          <w:noProof/>
        </w:rPr>
        <w:t xml:space="preserve">, 232-245. </w:t>
      </w:r>
      <w:r w:rsidRPr="00BF0919">
        <w:rPr>
          <w:noProof/>
        </w:rPr>
        <w:t>https://doi.org/10.1016/j.enbuild.2013.07.026</w:t>
      </w:r>
      <w:r w:rsidRPr="00665AA9">
        <w:rPr>
          <w:noProof/>
        </w:rPr>
        <w:t xml:space="preserve"> </w:t>
      </w:r>
    </w:p>
    <w:p w14:paraId="7E94D99C" w14:textId="77777777" w:rsidR="00BF0919" w:rsidRPr="00665AA9" w:rsidRDefault="00BF0919" w:rsidP="00665AA9">
      <w:pPr>
        <w:pStyle w:val="EndNoteBibliography"/>
        <w:ind w:left="720" w:hanging="720"/>
        <w:rPr>
          <w:noProof/>
        </w:rPr>
      </w:pPr>
      <w:r w:rsidRPr="00665AA9">
        <w:rPr>
          <w:noProof/>
        </w:rPr>
        <w:t xml:space="preserve">Islam, A., Alengaram, U. J., Jumaat, M. Z., Bashar, I. I., &amp; Kabir, S. A. (2015). Engineering properties and carbon footprint of ground granulated blast-furnace slag-palm oil fuel ash-based structural geopolymer concrete. </w:t>
      </w:r>
      <w:r w:rsidRPr="00665AA9">
        <w:rPr>
          <w:i/>
          <w:noProof/>
        </w:rPr>
        <w:t>Construction and Building Materials</w:t>
      </w:r>
      <w:r w:rsidRPr="00665AA9">
        <w:rPr>
          <w:noProof/>
        </w:rPr>
        <w:t>,</w:t>
      </w:r>
      <w:r w:rsidRPr="00665AA9">
        <w:rPr>
          <w:i/>
          <w:noProof/>
        </w:rPr>
        <w:t xml:space="preserve"> 101</w:t>
      </w:r>
      <w:r w:rsidRPr="00665AA9">
        <w:rPr>
          <w:noProof/>
        </w:rPr>
        <w:t xml:space="preserve">, 503-521. </w:t>
      </w:r>
      <w:r w:rsidRPr="00BF0919">
        <w:rPr>
          <w:noProof/>
        </w:rPr>
        <w:t>https://doi.org/10.1016/j.conbuildmat.2015.10.026</w:t>
      </w:r>
      <w:r w:rsidRPr="00665AA9">
        <w:rPr>
          <w:noProof/>
        </w:rPr>
        <w:t xml:space="preserve"> </w:t>
      </w:r>
    </w:p>
    <w:p w14:paraId="2F6D25EA" w14:textId="77777777" w:rsidR="00BF0919" w:rsidRPr="00665AA9" w:rsidRDefault="00BF0919" w:rsidP="00665AA9">
      <w:pPr>
        <w:pStyle w:val="EndNoteBibliography"/>
        <w:ind w:left="720" w:hanging="720"/>
        <w:rPr>
          <w:noProof/>
        </w:rPr>
      </w:pPr>
      <w:r w:rsidRPr="00665AA9">
        <w:rPr>
          <w:noProof/>
        </w:rPr>
        <w:t xml:space="preserve">Ji, C., Hong, T., &amp; Park, H. S. (2014). Comparative analysis of decision-making methods for integrating cost and CO2 emission–focus on building structural design–. </w:t>
      </w:r>
      <w:r w:rsidRPr="00665AA9">
        <w:rPr>
          <w:i/>
          <w:noProof/>
        </w:rPr>
        <w:t>Energy and Buildings</w:t>
      </w:r>
      <w:r w:rsidRPr="00665AA9">
        <w:rPr>
          <w:noProof/>
        </w:rPr>
        <w:t>,</w:t>
      </w:r>
      <w:r w:rsidRPr="00665AA9">
        <w:rPr>
          <w:i/>
          <w:noProof/>
        </w:rPr>
        <w:t xml:space="preserve"> 72</w:t>
      </w:r>
      <w:r w:rsidRPr="00665AA9">
        <w:rPr>
          <w:noProof/>
        </w:rPr>
        <w:t xml:space="preserve">, 186-194. </w:t>
      </w:r>
      <w:r w:rsidRPr="00BF0919">
        <w:rPr>
          <w:noProof/>
        </w:rPr>
        <w:t>https://doi.org/10.1016/j.enbuild.2013.12.045</w:t>
      </w:r>
      <w:r w:rsidRPr="00665AA9">
        <w:rPr>
          <w:noProof/>
        </w:rPr>
        <w:t xml:space="preserve"> </w:t>
      </w:r>
    </w:p>
    <w:p w14:paraId="09545FBF" w14:textId="77777777" w:rsidR="00BF0919" w:rsidRPr="00665AA9" w:rsidRDefault="00BF0919" w:rsidP="00665AA9">
      <w:pPr>
        <w:pStyle w:val="EndNoteBibliography"/>
        <w:ind w:left="720" w:hanging="720"/>
        <w:rPr>
          <w:noProof/>
        </w:rPr>
      </w:pPr>
      <w:r w:rsidRPr="00665AA9">
        <w:rPr>
          <w:noProof/>
        </w:rPr>
        <w:t xml:space="preserve">Kleijer, A. L., Lasvaux, S., Citherlet, S., &amp; Viviani, M. (2017). Product-specific Life Cycle Assessment of ready mix concrete: Comparison between a recycled and an ordinary concrete. </w:t>
      </w:r>
      <w:r w:rsidRPr="00665AA9">
        <w:rPr>
          <w:i/>
          <w:noProof/>
        </w:rPr>
        <w:t>Resources, Conservation and Recycling</w:t>
      </w:r>
      <w:r w:rsidRPr="00665AA9">
        <w:rPr>
          <w:noProof/>
        </w:rPr>
        <w:t>,</w:t>
      </w:r>
      <w:r w:rsidRPr="00665AA9">
        <w:rPr>
          <w:i/>
          <w:noProof/>
        </w:rPr>
        <w:t xml:space="preserve"> 122</w:t>
      </w:r>
      <w:r w:rsidRPr="00665AA9">
        <w:rPr>
          <w:noProof/>
        </w:rPr>
        <w:t xml:space="preserve">, 210-218. </w:t>
      </w:r>
      <w:r w:rsidRPr="00BF0919">
        <w:rPr>
          <w:noProof/>
        </w:rPr>
        <w:t>https://doi.org/10.1016/j.resconrec.2017.02.004</w:t>
      </w:r>
      <w:r w:rsidRPr="00665AA9">
        <w:rPr>
          <w:noProof/>
        </w:rPr>
        <w:t xml:space="preserve"> </w:t>
      </w:r>
    </w:p>
    <w:p w14:paraId="04E9DEC8" w14:textId="77777777" w:rsidR="00BF0919" w:rsidRPr="00665AA9" w:rsidRDefault="00BF0919" w:rsidP="00665AA9">
      <w:pPr>
        <w:pStyle w:val="EndNoteBibliography"/>
        <w:ind w:left="720" w:hanging="720"/>
        <w:rPr>
          <w:noProof/>
        </w:rPr>
      </w:pPr>
      <w:r w:rsidRPr="00665AA9">
        <w:rPr>
          <w:noProof/>
        </w:rPr>
        <w:t xml:space="preserve">Knoeri, C., Sanyé-Mengual, E., &amp; Althaus, H.-J. (2013). Comparative LCA of recycled and conventional concrete for structural applications. </w:t>
      </w:r>
      <w:r w:rsidRPr="00665AA9">
        <w:rPr>
          <w:i/>
          <w:noProof/>
        </w:rPr>
        <w:t>The International Journal of Life Cycle Assessment</w:t>
      </w:r>
      <w:r w:rsidRPr="00665AA9">
        <w:rPr>
          <w:noProof/>
        </w:rPr>
        <w:t>,</w:t>
      </w:r>
      <w:r w:rsidRPr="00665AA9">
        <w:rPr>
          <w:i/>
          <w:noProof/>
        </w:rPr>
        <w:t xml:space="preserve"> 18</w:t>
      </w:r>
      <w:r w:rsidRPr="00665AA9">
        <w:rPr>
          <w:noProof/>
        </w:rPr>
        <w:t xml:space="preserve">, 909-918. </w:t>
      </w:r>
      <w:r w:rsidRPr="00BF0919">
        <w:rPr>
          <w:noProof/>
        </w:rPr>
        <w:t>https://doi.org/10.1007/s11367-012-0544-2</w:t>
      </w:r>
      <w:r w:rsidRPr="00665AA9">
        <w:rPr>
          <w:noProof/>
        </w:rPr>
        <w:t xml:space="preserve"> </w:t>
      </w:r>
    </w:p>
    <w:p w14:paraId="1B146192" w14:textId="77777777" w:rsidR="00BF0919" w:rsidRPr="00665AA9" w:rsidRDefault="00BF0919" w:rsidP="00665AA9">
      <w:pPr>
        <w:pStyle w:val="EndNoteBibliography"/>
        <w:ind w:left="720" w:hanging="720"/>
        <w:rPr>
          <w:noProof/>
        </w:rPr>
      </w:pPr>
      <w:r w:rsidRPr="00665AA9">
        <w:rPr>
          <w:noProof/>
        </w:rPr>
        <w:t xml:space="preserve">Kumar, A., Bheel, N., Ahmed, I., Rizvi, S. H., Kumar, R., &amp; Jhatial, A. A. (2022). Effect of silica fume and fly ash as cementitious material on hardened properties and embodied carbon of roller compacted concrete. </w:t>
      </w:r>
      <w:r w:rsidRPr="00665AA9">
        <w:rPr>
          <w:i/>
          <w:noProof/>
        </w:rPr>
        <w:t>Environ Sci Pollut Res Int</w:t>
      </w:r>
      <w:r w:rsidRPr="00665AA9">
        <w:rPr>
          <w:noProof/>
        </w:rPr>
        <w:t>,</w:t>
      </w:r>
      <w:r w:rsidRPr="00665AA9">
        <w:rPr>
          <w:i/>
          <w:noProof/>
        </w:rPr>
        <w:t xml:space="preserve"> 29</w:t>
      </w:r>
      <w:r w:rsidRPr="00665AA9">
        <w:rPr>
          <w:noProof/>
        </w:rPr>
        <w:t xml:space="preserve">(1), 1210-1222. </w:t>
      </w:r>
      <w:r w:rsidRPr="00BF0919">
        <w:rPr>
          <w:noProof/>
        </w:rPr>
        <w:t>https://doi.org/10.1007/s11356-021-15734-0</w:t>
      </w:r>
      <w:r w:rsidRPr="00665AA9">
        <w:rPr>
          <w:noProof/>
        </w:rPr>
        <w:t xml:space="preserve"> </w:t>
      </w:r>
    </w:p>
    <w:p w14:paraId="77EFD961" w14:textId="77777777" w:rsidR="00BF0919" w:rsidRPr="00665AA9" w:rsidRDefault="00BF0919" w:rsidP="00665AA9">
      <w:pPr>
        <w:pStyle w:val="EndNoteBibliography"/>
        <w:ind w:left="720" w:hanging="720"/>
        <w:rPr>
          <w:noProof/>
        </w:rPr>
      </w:pPr>
      <w:r w:rsidRPr="00665AA9">
        <w:rPr>
          <w:noProof/>
        </w:rPr>
        <w:t xml:space="preserve">Lahiba, I., Sardar, K.-u.-R., Wesam, S. A., Kashif, N., Muhammad, F. J., Fahid, A., &amp; Musarat, M. A. (2021). Life Cycle Impact Assessment of Recycled Aggregate Concrete, Geopolymer Concrete, and Recycled Aggregate-Based Geopolymer Concrete. </w:t>
      </w:r>
      <w:r w:rsidRPr="00665AA9">
        <w:rPr>
          <w:i/>
          <w:noProof/>
        </w:rPr>
        <w:t>Sustainability</w:t>
      </w:r>
      <w:r w:rsidRPr="00665AA9">
        <w:rPr>
          <w:noProof/>
        </w:rPr>
        <w:t xml:space="preserve">. </w:t>
      </w:r>
      <w:r w:rsidRPr="00BF0919">
        <w:rPr>
          <w:noProof/>
        </w:rPr>
        <w:t>https://doi.org/10.3390/su132413515</w:t>
      </w:r>
      <w:r w:rsidRPr="00665AA9">
        <w:rPr>
          <w:noProof/>
        </w:rPr>
        <w:t xml:space="preserve"> </w:t>
      </w:r>
    </w:p>
    <w:p w14:paraId="4773590C" w14:textId="77777777" w:rsidR="00BF0919" w:rsidRPr="00665AA9" w:rsidRDefault="00BF0919" w:rsidP="00665AA9">
      <w:pPr>
        <w:pStyle w:val="EndNoteBibliography"/>
        <w:ind w:left="720" w:hanging="720"/>
        <w:rPr>
          <w:noProof/>
        </w:rPr>
      </w:pPr>
      <w:r w:rsidRPr="00665AA9">
        <w:rPr>
          <w:noProof/>
        </w:rPr>
        <w:t xml:space="preserve">Lawania, K., Sarker, P., &amp;  , W. (2015). Global Warming Implications of the Use of By-Products and Recycled Materials in Western Australia’s Housing Sector. </w:t>
      </w:r>
      <w:r w:rsidRPr="00665AA9">
        <w:rPr>
          <w:i/>
          <w:noProof/>
        </w:rPr>
        <w:t>Materials</w:t>
      </w:r>
      <w:r w:rsidRPr="00665AA9">
        <w:rPr>
          <w:noProof/>
        </w:rPr>
        <w:t>,</w:t>
      </w:r>
      <w:r w:rsidRPr="00665AA9">
        <w:rPr>
          <w:i/>
          <w:noProof/>
        </w:rPr>
        <w:t xml:space="preserve"> 8</w:t>
      </w:r>
      <w:r w:rsidRPr="00665AA9">
        <w:rPr>
          <w:noProof/>
        </w:rPr>
        <w:t xml:space="preserve">(10), 6909-6925. </w:t>
      </w:r>
      <w:r w:rsidRPr="00BF0919">
        <w:rPr>
          <w:noProof/>
        </w:rPr>
        <w:t>https://doi.org/10.3390/ma8105347</w:t>
      </w:r>
      <w:r w:rsidRPr="00665AA9">
        <w:rPr>
          <w:noProof/>
        </w:rPr>
        <w:t xml:space="preserve"> </w:t>
      </w:r>
    </w:p>
    <w:p w14:paraId="2F2BF01C" w14:textId="77777777" w:rsidR="00BF0919" w:rsidRPr="00665AA9" w:rsidRDefault="00BF0919" w:rsidP="00665AA9">
      <w:pPr>
        <w:pStyle w:val="EndNoteBibliography"/>
        <w:ind w:left="720" w:hanging="720"/>
        <w:rPr>
          <w:noProof/>
        </w:rPr>
      </w:pPr>
      <w:r w:rsidRPr="00665AA9">
        <w:rPr>
          <w:noProof/>
        </w:rPr>
        <w:lastRenderedPageBreak/>
        <w:t xml:space="preserve">Lee, C.-H., Du, J.-C., &amp; Shen, D.-H. (2012). Evaluation of pre-coated recycled concrete aggregate for hot mix asphalt. </w:t>
      </w:r>
      <w:r w:rsidRPr="00665AA9">
        <w:rPr>
          <w:i/>
          <w:noProof/>
        </w:rPr>
        <w:t>Construction and Building Materials</w:t>
      </w:r>
      <w:r w:rsidRPr="00665AA9">
        <w:rPr>
          <w:noProof/>
        </w:rPr>
        <w:t>,</w:t>
      </w:r>
      <w:r w:rsidRPr="00665AA9">
        <w:rPr>
          <w:i/>
          <w:noProof/>
        </w:rPr>
        <w:t xml:space="preserve"> 28</w:t>
      </w:r>
      <w:r w:rsidRPr="00665AA9">
        <w:rPr>
          <w:noProof/>
        </w:rPr>
        <w:t xml:space="preserve">(1), 66-71. </w:t>
      </w:r>
      <w:r w:rsidRPr="00BF0919">
        <w:rPr>
          <w:noProof/>
        </w:rPr>
        <w:t>https://doi.org/10.1016/j.conbuildmat.2011.08.025</w:t>
      </w:r>
      <w:r w:rsidRPr="00665AA9">
        <w:rPr>
          <w:noProof/>
        </w:rPr>
        <w:t xml:space="preserve"> </w:t>
      </w:r>
    </w:p>
    <w:p w14:paraId="43A73857" w14:textId="77777777" w:rsidR="00BF0919" w:rsidRPr="00665AA9" w:rsidRDefault="00BF0919" w:rsidP="00665AA9">
      <w:pPr>
        <w:pStyle w:val="EndNoteBibliography"/>
        <w:ind w:left="720" w:hanging="720"/>
        <w:rPr>
          <w:noProof/>
        </w:rPr>
      </w:pPr>
      <w:r w:rsidRPr="00665AA9">
        <w:rPr>
          <w:noProof/>
        </w:rPr>
        <w:t xml:space="preserve">Lee, J., Lee, T., Jeong, J., &amp; Jeong, J. (2021). Sustainability and performance assessment of binary blended low-carbon concrete using supplementary cementitious materials. </w:t>
      </w:r>
      <w:r w:rsidRPr="00665AA9">
        <w:rPr>
          <w:i/>
          <w:noProof/>
        </w:rPr>
        <w:t>Journal of Cleaner Production</w:t>
      </w:r>
      <w:r w:rsidRPr="00665AA9">
        <w:rPr>
          <w:noProof/>
        </w:rPr>
        <w:t>,</w:t>
      </w:r>
      <w:r w:rsidRPr="00665AA9">
        <w:rPr>
          <w:i/>
          <w:noProof/>
        </w:rPr>
        <w:t xml:space="preserve"> 280</w:t>
      </w:r>
      <w:r w:rsidRPr="00665AA9">
        <w:rPr>
          <w:noProof/>
        </w:rPr>
        <w:t xml:space="preserve">. </w:t>
      </w:r>
      <w:r w:rsidRPr="00BF0919">
        <w:rPr>
          <w:noProof/>
        </w:rPr>
        <w:t>https://doi.org/10.1016/j.jclepro.2020.124373</w:t>
      </w:r>
      <w:r w:rsidRPr="00665AA9">
        <w:rPr>
          <w:noProof/>
        </w:rPr>
        <w:t xml:space="preserve"> </w:t>
      </w:r>
    </w:p>
    <w:p w14:paraId="0129371A" w14:textId="77777777" w:rsidR="00BF0919" w:rsidRPr="00665AA9" w:rsidRDefault="00BF0919" w:rsidP="00665AA9">
      <w:pPr>
        <w:pStyle w:val="EndNoteBibliography"/>
        <w:ind w:left="720" w:hanging="720"/>
        <w:rPr>
          <w:noProof/>
        </w:rPr>
      </w:pPr>
      <w:r w:rsidRPr="00665AA9">
        <w:rPr>
          <w:noProof/>
        </w:rPr>
        <w:t xml:space="preserve">Maddalena, R., Roberts, J. J., &amp; Hamilton, A. (2018). Can Portland cement be replaced by low-carbon alternative materials? A study on the thermal properties and carbon emissions of innovative cements. </w:t>
      </w:r>
      <w:r w:rsidRPr="00665AA9">
        <w:rPr>
          <w:i/>
          <w:noProof/>
        </w:rPr>
        <w:t>Journal of Cleaner Production</w:t>
      </w:r>
      <w:r w:rsidRPr="00665AA9">
        <w:rPr>
          <w:noProof/>
        </w:rPr>
        <w:t>,</w:t>
      </w:r>
      <w:r w:rsidRPr="00665AA9">
        <w:rPr>
          <w:i/>
          <w:noProof/>
        </w:rPr>
        <w:t xml:space="preserve"> 186</w:t>
      </w:r>
      <w:r w:rsidRPr="00665AA9">
        <w:rPr>
          <w:noProof/>
        </w:rPr>
        <w:t xml:space="preserve">, 933-942. </w:t>
      </w:r>
      <w:r w:rsidRPr="00BF0919">
        <w:rPr>
          <w:noProof/>
        </w:rPr>
        <w:t>https://doi.org/10.1016/j.jclepro.2018.02.138</w:t>
      </w:r>
      <w:r w:rsidRPr="00665AA9">
        <w:rPr>
          <w:noProof/>
        </w:rPr>
        <w:t xml:space="preserve"> </w:t>
      </w:r>
    </w:p>
    <w:p w14:paraId="25339D97" w14:textId="77777777" w:rsidR="00BF0919" w:rsidRPr="00665AA9" w:rsidRDefault="00BF0919" w:rsidP="00665AA9">
      <w:pPr>
        <w:pStyle w:val="EndNoteBibliography"/>
        <w:ind w:left="720" w:hanging="720"/>
        <w:rPr>
          <w:noProof/>
        </w:rPr>
      </w:pPr>
      <w:r w:rsidRPr="00665AA9">
        <w:rPr>
          <w:noProof/>
        </w:rPr>
        <w:t xml:space="preserve">Marinkovic, S., Radonjanin, V., Malesev, M., &amp; Ignjatovic, I. (2010). Comparative environmental assessment of natural and recycled aggregate concrete. </w:t>
      </w:r>
      <w:r w:rsidRPr="00665AA9">
        <w:rPr>
          <w:i/>
          <w:noProof/>
        </w:rPr>
        <w:t>Waste Manag</w:t>
      </w:r>
      <w:r w:rsidRPr="00665AA9">
        <w:rPr>
          <w:noProof/>
        </w:rPr>
        <w:t>,</w:t>
      </w:r>
      <w:r w:rsidRPr="00665AA9">
        <w:rPr>
          <w:i/>
          <w:noProof/>
        </w:rPr>
        <w:t xml:space="preserve"> 30</w:t>
      </w:r>
      <w:r w:rsidRPr="00665AA9">
        <w:rPr>
          <w:noProof/>
        </w:rPr>
        <w:t xml:space="preserve">(11), 2255-2264. </w:t>
      </w:r>
      <w:r w:rsidRPr="00BF0919">
        <w:rPr>
          <w:noProof/>
        </w:rPr>
        <w:t>https://doi.org/10.1016/j.wasman.2010.04.012</w:t>
      </w:r>
      <w:r w:rsidRPr="00665AA9">
        <w:rPr>
          <w:noProof/>
        </w:rPr>
        <w:t xml:space="preserve"> </w:t>
      </w:r>
    </w:p>
    <w:p w14:paraId="483165B9" w14:textId="77777777" w:rsidR="00BF0919" w:rsidRPr="00665AA9" w:rsidRDefault="00BF0919" w:rsidP="00665AA9">
      <w:pPr>
        <w:pStyle w:val="EndNoteBibliography"/>
        <w:ind w:left="720" w:hanging="720"/>
        <w:rPr>
          <w:noProof/>
        </w:rPr>
      </w:pPr>
      <w:r w:rsidRPr="00665AA9">
        <w:rPr>
          <w:noProof/>
        </w:rPr>
        <w:t xml:space="preserve">McLellan, B. C., Williams, R. P., Lay, J., van Riessen, A., &amp; Corder, G. D. (2011). Costs and carbon emissions for geopolymer pastes in comparison to ordinary portland cement. </w:t>
      </w:r>
      <w:r w:rsidRPr="00665AA9">
        <w:rPr>
          <w:i/>
          <w:noProof/>
        </w:rPr>
        <w:t>Journal of Cleaner Production</w:t>
      </w:r>
      <w:r w:rsidRPr="00665AA9">
        <w:rPr>
          <w:noProof/>
        </w:rPr>
        <w:t>,</w:t>
      </w:r>
      <w:r w:rsidRPr="00665AA9">
        <w:rPr>
          <w:i/>
          <w:noProof/>
        </w:rPr>
        <w:t xml:space="preserve"> 19</w:t>
      </w:r>
      <w:r w:rsidRPr="00665AA9">
        <w:rPr>
          <w:noProof/>
        </w:rPr>
        <w:t xml:space="preserve">(9-10), 1080-1090. </w:t>
      </w:r>
      <w:r w:rsidRPr="00BF0919">
        <w:rPr>
          <w:noProof/>
        </w:rPr>
        <w:t>https://doi.org/10.1016/j.jclepro.2011.02.010</w:t>
      </w:r>
      <w:r w:rsidRPr="00665AA9">
        <w:rPr>
          <w:noProof/>
        </w:rPr>
        <w:t xml:space="preserve"> </w:t>
      </w:r>
    </w:p>
    <w:p w14:paraId="2A185492" w14:textId="77777777" w:rsidR="00BF0919" w:rsidRPr="00665AA9" w:rsidRDefault="00BF0919" w:rsidP="00665AA9">
      <w:pPr>
        <w:pStyle w:val="EndNoteBibliography"/>
        <w:ind w:left="720" w:hanging="720"/>
        <w:rPr>
          <w:noProof/>
        </w:rPr>
      </w:pPr>
      <w:r w:rsidRPr="00665AA9">
        <w:rPr>
          <w:noProof/>
        </w:rPr>
        <w:t xml:space="preserve">Medina, C., De Rojas, M. S., Thomas, C., Polanco, J., &amp; Frías, M. (2016). Durability of recycled concrete made with recycled ceramic sanitary ware aggregate. Inter-indicator relationships. </w:t>
      </w:r>
      <w:r w:rsidRPr="00665AA9">
        <w:rPr>
          <w:i/>
          <w:noProof/>
        </w:rPr>
        <w:t>Construction and Building Materials</w:t>
      </w:r>
      <w:r w:rsidRPr="00665AA9">
        <w:rPr>
          <w:noProof/>
        </w:rPr>
        <w:t>,</w:t>
      </w:r>
      <w:r w:rsidRPr="00665AA9">
        <w:rPr>
          <w:i/>
          <w:noProof/>
        </w:rPr>
        <w:t xml:space="preserve"> 105</w:t>
      </w:r>
      <w:r w:rsidRPr="00665AA9">
        <w:rPr>
          <w:noProof/>
        </w:rPr>
        <w:t xml:space="preserve">, 480-486. </w:t>
      </w:r>
      <w:r w:rsidRPr="00BF0919">
        <w:rPr>
          <w:noProof/>
        </w:rPr>
        <w:t>https://doi.org/10.1016/j.conbuildmat.2015.12.176</w:t>
      </w:r>
      <w:r w:rsidRPr="00665AA9">
        <w:rPr>
          <w:noProof/>
        </w:rPr>
        <w:t xml:space="preserve"> </w:t>
      </w:r>
    </w:p>
    <w:p w14:paraId="0271257B" w14:textId="77777777" w:rsidR="00BF0919" w:rsidRPr="00665AA9" w:rsidRDefault="00BF0919" w:rsidP="00665AA9">
      <w:pPr>
        <w:pStyle w:val="EndNoteBibliography"/>
        <w:ind w:left="720" w:hanging="720"/>
        <w:rPr>
          <w:noProof/>
        </w:rPr>
      </w:pPr>
      <w:r w:rsidRPr="00665AA9">
        <w:rPr>
          <w:noProof/>
        </w:rPr>
        <w:t xml:space="preserve">Monteiro, P. J., Miller, S. A., &amp; Horvath, A. (2017). Towards sustainable concrete. </w:t>
      </w:r>
      <w:r w:rsidRPr="00665AA9">
        <w:rPr>
          <w:i/>
          <w:noProof/>
        </w:rPr>
        <w:t>Nature materials</w:t>
      </w:r>
      <w:r w:rsidRPr="00665AA9">
        <w:rPr>
          <w:noProof/>
        </w:rPr>
        <w:t>,</w:t>
      </w:r>
      <w:r w:rsidRPr="00665AA9">
        <w:rPr>
          <w:i/>
          <w:noProof/>
        </w:rPr>
        <w:t xml:space="preserve"> 16</w:t>
      </w:r>
      <w:r w:rsidRPr="00665AA9">
        <w:rPr>
          <w:noProof/>
        </w:rPr>
        <w:t xml:space="preserve">(7), 698-699. </w:t>
      </w:r>
      <w:r w:rsidRPr="00BF0919">
        <w:rPr>
          <w:noProof/>
        </w:rPr>
        <w:t>https://doi.org/10.1038/nmat4930</w:t>
      </w:r>
      <w:r w:rsidRPr="00665AA9">
        <w:rPr>
          <w:noProof/>
        </w:rPr>
        <w:t xml:space="preserve"> </w:t>
      </w:r>
    </w:p>
    <w:p w14:paraId="49B79B40" w14:textId="77777777" w:rsidR="00BF0919" w:rsidRPr="00665AA9" w:rsidRDefault="00BF0919" w:rsidP="00665AA9">
      <w:pPr>
        <w:pStyle w:val="EndNoteBibliography"/>
        <w:ind w:left="720" w:hanging="720"/>
        <w:rPr>
          <w:noProof/>
        </w:rPr>
      </w:pPr>
      <w:r w:rsidRPr="00665AA9">
        <w:rPr>
          <w:noProof/>
        </w:rPr>
        <w:t xml:space="preserve">Mostert, C., Sameer, H., Glanz, D., &amp; Bringezu, S. (2021). Climate and resource footprint assessment and visualization of recycled concrete for circular economy. </w:t>
      </w:r>
      <w:r w:rsidRPr="00665AA9">
        <w:rPr>
          <w:i/>
          <w:noProof/>
        </w:rPr>
        <w:t>Resources, Conservation and Recycling</w:t>
      </w:r>
      <w:r w:rsidRPr="00665AA9">
        <w:rPr>
          <w:noProof/>
        </w:rPr>
        <w:t>,</w:t>
      </w:r>
      <w:r w:rsidRPr="00665AA9">
        <w:rPr>
          <w:i/>
          <w:noProof/>
        </w:rPr>
        <w:t xml:space="preserve"> 174</w:t>
      </w:r>
      <w:r w:rsidRPr="00665AA9">
        <w:rPr>
          <w:noProof/>
        </w:rPr>
        <w:t xml:space="preserve">. </w:t>
      </w:r>
      <w:r w:rsidRPr="00BF0919">
        <w:rPr>
          <w:noProof/>
        </w:rPr>
        <w:t>https://doi.org/10.1016/j.resconrec.2021.105767</w:t>
      </w:r>
      <w:r w:rsidRPr="00665AA9">
        <w:rPr>
          <w:noProof/>
        </w:rPr>
        <w:t xml:space="preserve"> </w:t>
      </w:r>
    </w:p>
    <w:p w14:paraId="23CBCF9B" w14:textId="77777777" w:rsidR="00BF0919" w:rsidRPr="00665AA9" w:rsidRDefault="00BF0919" w:rsidP="00665AA9">
      <w:pPr>
        <w:pStyle w:val="EndNoteBibliography"/>
        <w:ind w:left="720" w:hanging="720"/>
        <w:rPr>
          <w:noProof/>
        </w:rPr>
      </w:pPr>
      <w:r w:rsidRPr="00665AA9">
        <w:rPr>
          <w:noProof/>
        </w:rPr>
        <w:t xml:space="preserve">Mu, Y., Liu, Z., &amp; Wang, F. (2019). Comparative Study on the Carbonation-Activated Calcium Silicates as Sustainable Binders: Reactivity, Mechanical Performance, and Microstructure. </w:t>
      </w:r>
      <w:r w:rsidRPr="00665AA9">
        <w:rPr>
          <w:i/>
          <w:noProof/>
        </w:rPr>
        <w:t>ACS Sustainable Chemistry &amp; Engineering</w:t>
      </w:r>
      <w:r w:rsidRPr="00665AA9">
        <w:rPr>
          <w:noProof/>
        </w:rPr>
        <w:t>,</w:t>
      </w:r>
      <w:r w:rsidRPr="00665AA9">
        <w:rPr>
          <w:i/>
          <w:noProof/>
        </w:rPr>
        <w:t xml:space="preserve"> 7</w:t>
      </w:r>
      <w:r w:rsidRPr="00665AA9">
        <w:rPr>
          <w:noProof/>
        </w:rPr>
        <w:t xml:space="preserve">(7), 7058-7070. </w:t>
      </w:r>
      <w:r w:rsidRPr="00BF0919">
        <w:rPr>
          <w:noProof/>
        </w:rPr>
        <w:t>https://doi.org/10.1021/acssuschemeng.8b06841</w:t>
      </w:r>
      <w:r w:rsidRPr="00665AA9">
        <w:rPr>
          <w:noProof/>
        </w:rPr>
        <w:t xml:space="preserve"> </w:t>
      </w:r>
    </w:p>
    <w:p w14:paraId="5CE82042" w14:textId="77777777" w:rsidR="00BF0919" w:rsidRPr="00665AA9" w:rsidRDefault="00BF0919" w:rsidP="00665AA9">
      <w:pPr>
        <w:pStyle w:val="EndNoteBibliography"/>
        <w:ind w:left="720" w:hanging="720"/>
        <w:rPr>
          <w:noProof/>
        </w:rPr>
      </w:pPr>
      <w:r w:rsidRPr="00665AA9">
        <w:rPr>
          <w:noProof/>
        </w:rPr>
        <w:t xml:space="preserve">Nanayakkara, O., Gunasekara, C., Sandanayake, M., Law, D. W., Nguyen, K., Xia, J., &amp; Setunge, S. (2021). Alkali activated slag concrete incorporating recycled aggregate concrete: Long term performance and sustainability aspect. </w:t>
      </w:r>
      <w:r w:rsidRPr="00665AA9">
        <w:rPr>
          <w:i/>
          <w:noProof/>
        </w:rPr>
        <w:t>Construction and Building Materials</w:t>
      </w:r>
      <w:r w:rsidRPr="00665AA9">
        <w:rPr>
          <w:noProof/>
        </w:rPr>
        <w:t>,</w:t>
      </w:r>
      <w:r w:rsidRPr="00665AA9">
        <w:rPr>
          <w:i/>
          <w:noProof/>
        </w:rPr>
        <w:t xml:space="preserve"> 271</w:t>
      </w:r>
      <w:r w:rsidRPr="00665AA9">
        <w:rPr>
          <w:noProof/>
        </w:rPr>
        <w:t xml:space="preserve">. </w:t>
      </w:r>
      <w:r w:rsidRPr="00BF0919">
        <w:rPr>
          <w:noProof/>
        </w:rPr>
        <w:t>https://doi.org/10.1016/j.conbuildmat.2020.121512</w:t>
      </w:r>
      <w:r w:rsidRPr="00665AA9">
        <w:rPr>
          <w:noProof/>
        </w:rPr>
        <w:t xml:space="preserve"> </w:t>
      </w:r>
    </w:p>
    <w:p w14:paraId="502A7199" w14:textId="77777777" w:rsidR="00BF0919" w:rsidRPr="00665AA9" w:rsidRDefault="00BF0919" w:rsidP="00665AA9">
      <w:pPr>
        <w:pStyle w:val="EndNoteBibliography"/>
        <w:ind w:left="720" w:hanging="720"/>
        <w:rPr>
          <w:noProof/>
        </w:rPr>
      </w:pPr>
      <w:r w:rsidRPr="00665AA9">
        <w:rPr>
          <w:noProof/>
        </w:rPr>
        <w:t xml:space="preserve">Nath, P., &amp; Sarker, P. (2011). Effect of Fly Ash on the Durability Properties of High Strength Concrete. </w:t>
      </w:r>
      <w:r w:rsidRPr="00665AA9">
        <w:rPr>
          <w:i/>
          <w:noProof/>
        </w:rPr>
        <w:t>Procedia Engineering</w:t>
      </w:r>
      <w:r w:rsidRPr="00665AA9">
        <w:rPr>
          <w:noProof/>
        </w:rPr>
        <w:t>,</w:t>
      </w:r>
      <w:r w:rsidRPr="00665AA9">
        <w:rPr>
          <w:i/>
          <w:noProof/>
        </w:rPr>
        <w:t xml:space="preserve"> 14</w:t>
      </w:r>
      <w:r w:rsidRPr="00665AA9">
        <w:rPr>
          <w:noProof/>
        </w:rPr>
        <w:t xml:space="preserve">, 1149-1156. </w:t>
      </w:r>
      <w:r w:rsidRPr="00BF0919">
        <w:rPr>
          <w:noProof/>
        </w:rPr>
        <w:t>https://doi.org/10.1016/j.proeng.2011.07.144</w:t>
      </w:r>
      <w:r w:rsidRPr="00665AA9">
        <w:rPr>
          <w:noProof/>
        </w:rPr>
        <w:t xml:space="preserve"> </w:t>
      </w:r>
    </w:p>
    <w:p w14:paraId="0754CA76" w14:textId="77777777" w:rsidR="00BF0919" w:rsidRPr="00665AA9" w:rsidRDefault="00BF0919" w:rsidP="00665AA9">
      <w:pPr>
        <w:pStyle w:val="EndNoteBibliography"/>
        <w:ind w:left="720" w:hanging="720"/>
        <w:rPr>
          <w:noProof/>
        </w:rPr>
      </w:pPr>
      <w:r w:rsidRPr="00665AA9">
        <w:rPr>
          <w:noProof/>
        </w:rPr>
        <w:t xml:space="preserve">Nie, S., Zhou, J., Yang, F., Lan, M., Li, J., Zhang, Z., Chen, Z., Xu, M., Li, H., &amp; Sanjayan, J. G. (2022). Analysis of theoretical carbon dioxide emissions from cement production: Methodology and application. </w:t>
      </w:r>
      <w:r w:rsidRPr="00665AA9">
        <w:rPr>
          <w:i/>
          <w:noProof/>
        </w:rPr>
        <w:t>Journal of Cleaner Production</w:t>
      </w:r>
      <w:r w:rsidRPr="00665AA9">
        <w:rPr>
          <w:noProof/>
        </w:rPr>
        <w:t>,</w:t>
      </w:r>
      <w:r w:rsidRPr="00665AA9">
        <w:rPr>
          <w:i/>
          <w:noProof/>
        </w:rPr>
        <w:t xml:space="preserve"> 334</w:t>
      </w:r>
      <w:r w:rsidRPr="00665AA9">
        <w:rPr>
          <w:noProof/>
        </w:rPr>
        <w:t xml:space="preserve">. </w:t>
      </w:r>
      <w:r w:rsidRPr="00BF0919">
        <w:rPr>
          <w:noProof/>
        </w:rPr>
        <w:t>https://doi.org/10.1016/j.jclepro.2021.130270</w:t>
      </w:r>
      <w:r w:rsidRPr="00665AA9">
        <w:rPr>
          <w:noProof/>
        </w:rPr>
        <w:t xml:space="preserve"> </w:t>
      </w:r>
    </w:p>
    <w:p w14:paraId="5AE7B61B" w14:textId="77777777" w:rsidR="00BF0919" w:rsidRPr="00665AA9" w:rsidRDefault="00BF0919" w:rsidP="00665AA9">
      <w:pPr>
        <w:pStyle w:val="EndNoteBibliography"/>
        <w:ind w:left="720" w:hanging="720"/>
        <w:rPr>
          <w:noProof/>
        </w:rPr>
      </w:pPr>
      <w:r w:rsidRPr="00665AA9">
        <w:rPr>
          <w:noProof/>
        </w:rPr>
        <w:t xml:space="preserve">O’Rourke, B., McNally, C., &amp; Richardson, M. G. (2009). Development of calcium sulfate–ggbs–Portland cement binders. </w:t>
      </w:r>
      <w:r w:rsidRPr="00665AA9">
        <w:rPr>
          <w:i/>
          <w:noProof/>
        </w:rPr>
        <w:t>Construction and Building Materials</w:t>
      </w:r>
      <w:r w:rsidRPr="00665AA9">
        <w:rPr>
          <w:noProof/>
        </w:rPr>
        <w:t>,</w:t>
      </w:r>
      <w:r w:rsidRPr="00665AA9">
        <w:rPr>
          <w:i/>
          <w:noProof/>
        </w:rPr>
        <w:t xml:space="preserve"> 23</w:t>
      </w:r>
      <w:r w:rsidRPr="00665AA9">
        <w:rPr>
          <w:noProof/>
        </w:rPr>
        <w:t xml:space="preserve">(1), 340-346. </w:t>
      </w:r>
      <w:r w:rsidRPr="00BF0919">
        <w:rPr>
          <w:noProof/>
        </w:rPr>
        <w:t>https://doi.org/10.1016/j.conbuildmat.2007.11.016</w:t>
      </w:r>
      <w:r w:rsidRPr="00665AA9">
        <w:rPr>
          <w:noProof/>
        </w:rPr>
        <w:t xml:space="preserve"> </w:t>
      </w:r>
    </w:p>
    <w:p w14:paraId="06420E37" w14:textId="77777777" w:rsidR="00BF0919" w:rsidRPr="00665AA9" w:rsidRDefault="00BF0919" w:rsidP="00665AA9">
      <w:pPr>
        <w:pStyle w:val="EndNoteBibliography"/>
        <w:ind w:left="720" w:hanging="720"/>
        <w:rPr>
          <w:noProof/>
        </w:rPr>
      </w:pPr>
      <w:r w:rsidRPr="00665AA9">
        <w:rPr>
          <w:noProof/>
        </w:rPr>
        <w:t xml:space="preserve">Orsini, F., &amp; Marrone, P. (2019). Approaches for a low-carbon production of building materials: A review. </w:t>
      </w:r>
      <w:r w:rsidRPr="00665AA9">
        <w:rPr>
          <w:i/>
          <w:noProof/>
        </w:rPr>
        <w:t>Journal of Cleaner Production</w:t>
      </w:r>
      <w:r w:rsidRPr="00665AA9">
        <w:rPr>
          <w:noProof/>
        </w:rPr>
        <w:t>,</w:t>
      </w:r>
      <w:r w:rsidRPr="00665AA9">
        <w:rPr>
          <w:i/>
          <w:noProof/>
        </w:rPr>
        <w:t xml:space="preserve"> 241</w:t>
      </w:r>
      <w:r w:rsidRPr="00665AA9">
        <w:rPr>
          <w:noProof/>
        </w:rPr>
        <w:t xml:space="preserve">. </w:t>
      </w:r>
      <w:r w:rsidRPr="00BF0919">
        <w:rPr>
          <w:noProof/>
        </w:rPr>
        <w:t>https://doi.org/10.1016/j.jclepro.2019.118380</w:t>
      </w:r>
      <w:r w:rsidRPr="00665AA9">
        <w:rPr>
          <w:noProof/>
        </w:rPr>
        <w:t xml:space="preserve"> </w:t>
      </w:r>
    </w:p>
    <w:p w14:paraId="2F2816BE" w14:textId="77777777" w:rsidR="00BF0919" w:rsidRPr="00665AA9" w:rsidRDefault="00BF0919" w:rsidP="00665AA9">
      <w:pPr>
        <w:pStyle w:val="EndNoteBibliography"/>
        <w:ind w:left="720" w:hanging="720"/>
        <w:rPr>
          <w:noProof/>
        </w:rPr>
      </w:pPr>
      <w:r w:rsidRPr="00665AA9">
        <w:rPr>
          <w:noProof/>
        </w:rPr>
        <w:t xml:space="preserve">Pan, W., Li, K., &amp; Teng, Y. (2018). Rethinking system boundaries of the life cycle carbon emissions of buildings. </w:t>
      </w:r>
      <w:r w:rsidRPr="00665AA9">
        <w:rPr>
          <w:i/>
          <w:noProof/>
        </w:rPr>
        <w:t>Renewable and Sustainable Energy Reviews</w:t>
      </w:r>
      <w:r w:rsidRPr="00665AA9">
        <w:rPr>
          <w:noProof/>
        </w:rPr>
        <w:t>,</w:t>
      </w:r>
      <w:r w:rsidRPr="00665AA9">
        <w:rPr>
          <w:i/>
          <w:noProof/>
        </w:rPr>
        <w:t xml:space="preserve"> 90</w:t>
      </w:r>
      <w:r w:rsidRPr="00665AA9">
        <w:rPr>
          <w:noProof/>
        </w:rPr>
        <w:t xml:space="preserve">, 379-390. </w:t>
      </w:r>
      <w:r w:rsidRPr="00BF0919">
        <w:rPr>
          <w:noProof/>
        </w:rPr>
        <w:t>https://doi.org/10.1016/j.rser.2018.03.057</w:t>
      </w:r>
      <w:r w:rsidRPr="00665AA9">
        <w:rPr>
          <w:noProof/>
        </w:rPr>
        <w:t xml:space="preserve"> </w:t>
      </w:r>
    </w:p>
    <w:p w14:paraId="2FFD4ACB" w14:textId="77777777" w:rsidR="00BF0919" w:rsidRPr="00665AA9" w:rsidRDefault="00BF0919" w:rsidP="00665AA9">
      <w:pPr>
        <w:pStyle w:val="EndNoteBibliography"/>
        <w:ind w:left="720" w:hanging="720"/>
        <w:rPr>
          <w:noProof/>
        </w:rPr>
      </w:pPr>
      <w:r w:rsidRPr="00665AA9">
        <w:rPr>
          <w:noProof/>
        </w:rPr>
        <w:t xml:space="preserve">Pan, W., &amp; Pan, M. (2018). A dialectical system framework of zero carbon emission building policy for high-rise high-density cities: Perspectives from Hong Kong. </w:t>
      </w:r>
      <w:r w:rsidRPr="00665AA9">
        <w:rPr>
          <w:i/>
          <w:noProof/>
        </w:rPr>
        <w:t>Journal of Cleaner Production</w:t>
      </w:r>
      <w:r w:rsidRPr="00665AA9">
        <w:rPr>
          <w:noProof/>
        </w:rPr>
        <w:t>,</w:t>
      </w:r>
      <w:r w:rsidRPr="00665AA9">
        <w:rPr>
          <w:i/>
          <w:noProof/>
        </w:rPr>
        <w:t xml:space="preserve"> 205</w:t>
      </w:r>
      <w:r w:rsidRPr="00665AA9">
        <w:rPr>
          <w:noProof/>
        </w:rPr>
        <w:t xml:space="preserve">, 1-13. </w:t>
      </w:r>
      <w:r w:rsidRPr="00BF0919">
        <w:rPr>
          <w:noProof/>
        </w:rPr>
        <w:t>https://doi.org/10.1016/j.jclepro.2018.09.025</w:t>
      </w:r>
      <w:r w:rsidRPr="00665AA9">
        <w:rPr>
          <w:noProof/>
        </w:rPr>
        <w:t xml:space="preserve"> </w:t>
      </w:r>
    </w:p>
    <w:p w14:paraId="232B2A6F" w14:textId="77777777" w:rsidR="00BF0919" w:rsidRPr="00665AA9" w:rsidRDefault="00BF0919" w:rsidP="00665AA9">
      <w:pPr>
        <w:pStyle w:val="EndNoteBibliography"/>
        <w:ind w:left="720" w:hanging="720"/>
        <w:rPr>
          <w:noProof/>
        </w:rPr>
      </w:pPr>
      <w:r w:rsidRPr="00665AA9">
        <w:rPr>
          <w:noProof/>
        </w:rPr>
        <w:lastRenderedPageBreak/>
        <w:t xml:space="preserve">Pan, W., Qin, H., &amp; Zhao, Y. (2017). Challenges for energy and carbon modeling of high-rise buildings: The case of public housing in Hong Kong. </w:t>
      </w:r>
      <w:r w:rsidRPr="00665AA9">
        <w:rPr>
          <w:i/>
          <w:noProof/>
        </w:rPr>
        <w:t>Resources, Conservation and Recycling</w:t>
      </w:r>
      <w:r w:rsidRPr="00665AA9">
        <w:rPr>
          <w:noProof/>
        </w:rPr>
        <w:t>,</w:t>
      </w:r>
      <w:r w:rsidRPr="00665AA9">
        <w:rPr>
          <w:i/>
          <w:noProof/>
        </w:rPr>
        <w:t xml:space="preserve"> 123</w:t>
      </w:r>
      <w:r w:rsidRPr="00665AA9">
        <w:rPr>
          <w:noProof/>
        </w:rPr>
        <w:t xml:space="preserve">, 208-218. </w:t>
      </w:r>
      <w:r w:rsidRPr="00BF0919">
        <w:rPr>
          <w:noProof/>
        </w:rPr>
        <w:t>https://doi.org/10.1016/j.resconrec.2016.02.013</w:t>
      </w:r>
      <w:r w:rsidRPr="00665AA9">
        <w:rPr>
          <w:noProof/>
        </w:rPr>
        <w:t xml:space="preserve"> </w:t>
      </w:r>
    </w:p>
    <w:p w14:paraId="4A07B240" w14:textId="77777777" w:rsidR="00BF0919" w:rsidRPr="00665AA9" w:rsidRDefault="00BF0919" w:rsidP="00665AA9">
      <w:pPr>
        <w:pStyle w:val="EndNoteBibliography"/>
        <w:ind w:left="720" w:hanging="720"/>
        <w:rPr>
          <w:noProof/>
        </w:rPr>
      </w:pPr>
      <w:r w:rsidRPr="00665AA9">
        <w:rPr>
          <w:noProof/>
        </w:rPr>
        <w:t xml:space="preserve">Pan, W., &amp; Teng, Y. (2021). A systematic investigation into the methodological variables of embodied carbon assessment of buildings. </w:t>
      </w:r>
      <w:r w:rsidRPr="00665AA9">
        <w:rPr>
          <w:i/>
          <w:noProof/>
        </w:rPr>
        <w:t>Renewable and Sustainable Energy Reviews</w:t>
      </w:r>
      <w:r w:rsidRPr="00665AA9">
        <w:rPr>
          <w:noProof/>
        </w:rPr>
        <w:t>,</w:t>
      </w:r>
      <w:r w:rsidRPr="00665AA9">
        <w:rPr>
          <w:i/>
          <w:noProof/>
        </w:rPr>
        <w:t xml:space="preserve"> 141</w:t>
      </w:r>
      <w:r w:rsidRPr="00665AA9">
        <w:rPr>
          <w:noProof/>
        </w:rPr>
        <w:t xml:space="preserve">, 110840. </w:t>
      </w:r>
      <w:r w:rsidRPr="00BF0919">
        <w:rPr>
          <w:noProof/>
        </w:rPr>
        <w:t>https://doi.org/10.1016/j.rser.2021.110840</w:t>
      </w:r>
      <w:r w:rsidRPr="00665AA9">
        <w:rPr>
          <w:noProof/>
        </w:rPr>
        <w:t xml:space="preserve"> </w:t>
      </w:r>
    </w:p>
    <w:p w14:paraId="244E177F" w14:textId="77777777" w:rsidR="00BF0919" w:rsidRPr="00665AA9" w:rsidRDefault="00BF0919" w:rsidP="00665AA9">
      <w:pPr>
        <w:pStyle w:val="EndNoteBibliography"/>
        <w:ind w:left="720" w:hanging="720"/>
        <w:rPr>
          <w:noProof/>
        </w:rPr>
      </w:pPr>
      <w:r w:rsidRPr="00665AA9">
        <w:rPr>
          <w:noProof/>
        </w:rPr>
        <w:t xml:space="preserve">Park, J., Tae, S., &amp; Kim, T. (2012). Life cycle CO2 assessment of concrete by compressive strength on construction site in Korea. </w:t>
      </w:r>
      <w:r w:rsidRPr="00665AA9">
        <w:rPr>
          <w:i/>
          <w:noProof/>
        </w:rPr>
        <w:t>Renewable and Sustainable Energy Reviews</w:t>
      </w:r>
      <w:r w:rsidRPr="00665AA9">
        <w:rPr>
          <w:noProof/>
        </w:rPr>
        <w:t>,</w:t>
      </w:r>
      <w:r w:rsidRPr="00665AA9">
        <w:rPr>
          <w:i/>
          <w:noProof/>
        </w:rPr>
        <w:t xml:space="preserve"> 16</w:t>
      </w:r>
      <w:r w:rsidRPr="00665AA9">
        <w:rPr>
          <w:noProof/>
        </w:rPr>
        <w:t xml:space="preserve">(5), 2940-2946. </w:t>
      </w:r>
      <w:r w:rsidRPr="00BF0919">
        <w:rPr>
          <w:noProof/>
        </w:rPr>
        <w:t>https://doi.org/10.1016/j.rser.2012.02.014</w:t>
      </w:r>
      <w:r w:rsidRPr="00665AA9">
        <w:rPr>
          <w:noProof/>
        </w:rPr>
        <w:t xml:space="preserve"> </w:t>
      </w:r>
    </w:p>
    <w:p w14:paraId="62E8193C" w14:textId="77777777" w:rsidR="00BF0919" w:rsidRPr="00665AA9" w:rsidRDefault="00BF0919" w:rsidP="00665AA9">
      <w:pPr>
        <w:pStyle w:val="EndNoteBibliography"/>
        <w:ind w:left="720" w:hanging="720"/>
        <w:rPr>
          <w:noProof/>
        </w:rPr>
      </w:pPr>
      <w:r w:rsidRPr="00665AA9">
        <w:rPr>
          <w:noProof/>
        </w:rPr>
        <w:t xml:space="preserve">Provis, J. L. (2018). Alkali-activated materials. </w:t>
      </w:r>
      <w:r w:rsidRPr="00665AA9">
        <w:rPr>
          <w:i/>
          <w:noProof/>
        </w:rPr>
        <w:t>Cement and Concrete Research</w:t>
      </w:r>
      <w:r w:rsidRPr="00665AA9">
        <w:rPr>
          <w:noProof/>
        </w:rPr>
        <w:t>,</w:t>
      </w:r>
      <w:r w:rsidRPr="00665AA9">
        <w:rPr>
          <w:i/>
          <w:noProof/>
        </w:rPr>
        <w:t xml:space="preserve"> 114</w:t>
      </w:r>
      <w:r w:rsidRPr="00665AA9">
        <w:rPr>
          <w:noProof/>
        </w:rPr>
        <w:t xml:space="preserve">, 40-48. </w:t>
      </w:r>
      <w:r w:rsidRPr="00BF0919">
        <w:rPr>
          <w:noProof/>
        </w:rPr>
        <w:t>https://doi.org/10.1016/j.cemconres.2017.02.009</w:t>
      </w:r>
      <w:r w:rsidRPr="00665AA9">
        <w:rPr>
          <w:noProof/>
        </w:rPr>
        <w:t xml:space="preserve"> </w:t>
      </w:r>
    </w:p>
    <w:p w14:paraId="7D1CF22D" w14:textId="77777777" w:rsidR="00BF0919" w:rsidRPr="00665AA9" w:rsidRDefault="00BF0919" w:rsidP="00665AA9">
      <w:pPr>
        <w:pStyle w:val="EndNoteBibliography"/>
        <w:ind w:left="720" w:hanging="720"/>
        <w:rPr>
          <w:noProof/>
        </w:rPr>
      </w:pPr>
      <w:r w:rsidRPr="00665AA9">
        <w:rPr>
          <w:noProof/>
        </w:rPr>
        <w:t xml:space="preserve">Rai, B., Rushad, S. T., Kr, B., &amp; Duggal, S. (2012). Study of waste plastic mix concrete with plasticizer. </w:t>
      </w:r>
      <w:r w:rsidRPr="00665AA9">
        <w:rPr>
          <w:i/>
          <w:noProof/>
        </w:rPr>
        <w:t>International Scholarly Research Notices</w:t>
      </w:r>
      <w:r w:rsidRPr="00665AA9">
        <w:rPr>
          <w:noProof/>
        </w:rPr>
        <w:t>,</w:t>
      </w:r>
      <w:r w:rsidRPr="00665AA9">
        <w:rPr>
          <w:i/>
          <w:noProof/>
        </w:rPr>
        <w:t xml:space="preserve"> 2012</w:t>
      </w:r>
      <w:r w:rsidRPr="00665AA9">
        <w:rPr>
          <w:noProof/>
        </w:rPr>
        <w:t xml:space="preserve">. </w:t>
      </w:r>
      <w:r w:rsidRPr="00BF0919">
        <w:rPr>
          <w:noProof/>
        </w:rPr>
        <w:t>https://doi.org/10.5402/2012/469272</w:t>
      </w:r>
      <w:r w:rsidRPr="00665AA9">
        <w:rPr>
          <w:noProof/>
        </w:rPr>
        <w:t xml:space="preserve"> </w:t>
      </w:r>
    </w:p>
    <w:p w14:paraId="5A83B151" w14:textId="77777777" w:rsidR="00BF0919" w:rsidRPr="00665AA9" w:rsidRDefault="00BF0919" w:rsidP="00665AA9">
      <w:pPr>
        <w:pStyle w:val="EndNoteBibliography"/>
        <w:ind w:left="720" w:hanging="720"/>
        <w:rPr>
          <w:noProof/>
        </w:rPr>
      </w:pPr>
      <w:r w:rsidRPr="00665AA9">
        <w:rPr>
          <w:noProof/>
        </w:rPr>
        <w:t xml:space="preserve">Rintala, A., Havukainen, J., &amp; Abdulkareem, M. (2021). Estimating the Cost-Competitiveness of Recycling-Based Geopolymer Concretes. </w:t>
      </w:r>
      <w:r w:rsidRPr="00665AA9">
        <w:rPr>
          <w:i/>
          <w:noProof/>
        </w:rPr>
        <w:t>Recycling</w:t>
      </w:r>
      <w:r w:rsidRPr="00665AA9">
        <w:rPr>
          <w:noProof/>
        </w:rPr>
        <w:t>,</w:t>
      </w:r>
      <w:r w:rsidRPr="00665AA9">
        <w:rPr>
          <w:i/>
          <w:noProof/>
        </w:rPr>
        <w:t xml:space="preserve"> 6</w:t>
      </w:r>
      <w:r w:rsidRPr="00665AA9">
        <w:rPr>
          <w:noProof/>
        </w:rPr>
        <w:t xml:space="preserve">(3). </w:t>
      </w:r>
      <w:r w:rsidRPr="00BF0919">
        <w:rPr>
          <w:noProof/>
        </w:rPr>
        <w:t>https://doi.org/10.3390/recycling6030046</w:t>
      </w:r>
      <w:r w:rsidRPr="00665AA9">
        <w:rPr>
          <w:noProof/>
        </w:rPr>
        <w:t xml:space="preserve"> </w:t>
      </w:r>
    </w:p>
    <w:p w14:paraId="09364BC4" w14:textId="77777777" w:rsidR="00BF0919" w:rsidRPr="00665AA9" w:rsidRDefault="00BF0919" w:rsidP="00665AA9">
      <w:pPr>
        <w:pStyle w:val="EndNoteBibliography"/>
        <w:ind w:left="720" w:hanging="720"/>
        <w:rPr>
          <w:noProof/>
        </w:rPr>
      </w:pPr>
      <w:r w:rsidRPr="00665AA9">
        <w:rPr>
          <w:noProof/>
        </w:rPr>
        <w:t xml:space="preserve">Robayo-Salazar, R. A., Mejía-Arcila, J. M., &amp; Mejía de Gutiérrez, R. (2017). Eco-efficient alkali-activated cement based on red clay brick wastes suitable for the manufacturing of building materials. </w:t>
      </w:r>
      <w:r w:rsidRPr="00665AA9">
        <w:rPr>
          <w:i/>
          <w:noProof/>
        </w:rPr>
        <w:t>Journal of Cleaner Production</w:t>
      </w:r>
      <w:r w:rsidRPr="00665AA9">
        <w:rPr>
          <w:noProof/>
        </w:rPr>
        <w:t>,</w:t>
      </w:r>
      <w:r w:rsidRPr="00665AA9">
        <w:rPr>
          <w:i/>
          <w:noProof/>
        </w:rPr>
        <w:t xml:space="preserve"> 166</w:t>
      </w:r>
      <w:r w:rsidRPr="00665AA9">
        <w:rPr>
          <w:noProof/>
        </w:rPr>
        <w:t xml:space="preserve">, 242-252. </w:t>
      </w:r>
      <w:r w:rsidRPr="00BF0919">
        <w:rPr>
          <w:noProof/>
        </w:rPr>
        <w:t>https://doi.org/10.1016/j.jclepro.2017.07.243</w:t>
      </w:r>
      <w:r w:rsidRPr="00665AA9">
        <w:rPr>
          <w:noProof/>
        </w:rPr>
        <w:t xml:space="preserve"> </w:t>
      </w:r>
    </w:p>
    <w:p w14:paraId="030561CB" w14:textId="77777777" w:rsidR="00BF0919" w:rsidRPr="00665AA9" w:rsidRDefault="00BF0919" w:rsidP="00665AA9">
      <w:pPr>
        <w:pStyle w:val="EndNoteBibliography"/>
        <w:ind w:left="720" w:hanging="720"/>
        <w:rPr>
          <w:noProof/>
        </w:rPr>
      </w:pPr>
      <w:r w:rsidRPr="00665AA9">
        <w:rPr>
          <w:noProof/>
        </w:rPr>
        <w:t xml:space="preserve">Salas, D. A., Ramirez, A. D., Ulloa, N., Baykara, H., &amp; Boero, A. J. (2018). Life cycle assessment of geopolymer concrete. </w:t>
      </w:r>
      <w:r w:rsidRPr="00665AA9">
        <w:rPr>
          <w:i/>
          <w:noProof/>
        </w:rPr>
        <w:t>Construction and Building Materials</w:t>
      </w:r>
      <w:r w:rsidRPr="00665AA9">
        <w:rPr>
          <w:noProof/>
        </w:rPr>
        <w:t>,</w:t>
      </w:r>
      <w:r w:rsidRPr="00665AA9">
        <w:rPr>
          <w:i/>
          <w:noProof/>
        </w:rPr>
        <w:t xml:space="preserve"> 190</w:t>
      </w:r>
      <w:r w:rsidRPr="00665AA9">
        <w:rPr>
          <w:noProof/>
        </w:rPr>
        <w:t xml:space="preserve">, 170-177. </w:t>
      </w:r>
      <w:r w:rsidRPr="00BF0919">
        <w:rPr>
          <w:noProof/>
        </w:rPr>
        <w:t>https://doi.org/10.1016/j.conbuildmat.2018.09.123</w:t>
      </w:r>
      <w:r w:rsidRPr="00665AA9">
        <w:rPr>
          <w:noProof/>
        </w:rPr>
        <w:t xml:space="preserve"> </w:t>
      </w:r>
    </w:p>
    <w:p w14:paraId="00855615" w14:textId="77777777" w:rsidR="00BF0919" w:rsidRPr="00665AA9" w:rsidRDefault="00BF0919" w:rsidP="00665AA9">
      <w:pPr>
        <w:pStyle w:val="EndNoteBibliography"/>
        <w:ind w:left="720" w:hanging="720"/>
        <w:rPr>
          <w:noProof/>
        </w:rPr>
      </w:pPr>
      <w:r w:rsidRPr="00665AA9">
        <w:rPr>
          <w:noProof/>
        </w:rPr>
        <w:t xml:space="preserve">Sandanayake, M., Zhang, G., Setunge, S., Luo, W., &amp; Li, C.-Q. (2017). Estimation and comparison of environmental emissions and impacts at foundation and structure construction stages of a building–A case study. </w:t>
      </w:r>
      <w:r w:rsidRPr="00665AA9">
        <w:rPr>
          <w:i/>
          <w:noProof/>
        </w:rPr>
        <w:t>Journal of Cleaner Production</w:t>
      </w:r>
      <w:r w:rsidRPr="00665AA9">
        <w:rPr>
          <w:noProof/>
        </w:rPr>
        <w:t>,</w:t>
      </w:r>
      <w:r w:rsidRPr="00665AA9">
        <w:rPr>
          <w:i/>
          <w:noProof/>
        </w:rPr>
        <w:t xml:space="preserve"> 151</w:t>
      </w:r>
      <w:r w:rsidRPr="00665AA9">
        <w:rPr>
          <w:noProof/>
        </w:rPr>
        <w:t xml:space="preserve">, 319-329. </w:t>
      </w:r>
      <w:r w:rsidRPr="00BF0919">
        <w:rPr>
          <w:noProof/>
        </w:rPr>
        <w:t>https://doi.org/10.1016/j.jclepro.2017.03.041</w:t>
      </w:r>
      <w:r w:rsidRPr="00665AA9">
        <w:rPr>
          <w:noProof/>
        </w:rPr>
        <w:t xml:space="preserve"> </w:t>
      </w:r>
    </w:p>
    <w:p w14:paraId="164412FD" w14:textId="77777777" w:rsidR="00BF0919" w:rsidRPr="00665AA9" w:rsidRDefault="00BF0919" w:rsidP="00665AA9">
      <w:pPr>
        <w:pStyle w:val="EndNoteBibliography"/>
        <w:ind w:left="720" w:hanging="720"/>
        <w:rPr>
          <w:noProof/>
        </w:rPr>
      </w:pPr>
      <w:r w:rsidRPr="00665AA9">
        <w:rPr>
          <w:noProof/>
        </w:rPr>
        <w:t xml:space="preserve">Serres, N., Braymand, S., &amp; Feugeas, F. (2016). Environmental evaluation of concrete made from recycled concrete aggregate implementing life cycle assessment. </w:t>
      </w:r>
      <w:r w:rsidRPr="00665AA9">
        <w:rPr>
          <w:i/>
          <w:noProof/>
        </w:rPr>
        <w:t>Journal of Building Engineering</w:t>
      </w:r>
      <w:r w:rsidRPr="00665AA9">
        <w:rPr>
          <w:noProof/>
        </w:rPr>
        <w:t>,</w:t>
      </w:r>
      <w:r w:rsidRPr="00665AA9">
        <w:rPr>
          <w:i/>
          <w:noProof/>
        </w:rPr>
        <w:t xml:space="preserve"> 5</w:t>
      </w:r>
      <w:r w:rsidRPr="00665AA9">
        <w:rPr>
          <w:noProof/>
        </w:rPr>
        <w:t xml:space="preserve">, 24-33. </w:t>
      </w:r>
      <w:r w:rsidRPr="00BF0919">
        <w:rPr>
          <w:noProof/>
        </w:rPr>
        <w:t>https://doi.org/10.1016/j.jobe.2015.11.004</w:t>
      </w:r>
      <w:r w:rsidRPr="00665AA9">
        <w:rPr>
          <w:noProof/>
        </w:rPr>
        <w:t xml:space="preserve"> </w:t>
      </w:r>
    </w:p>
    <w:p w14:paraId="4C993697" w14:textId="77777777" w:rsidR="00BF0919" w:rsidRPr="00665AA9" w:rsidRDefault="00BF0919" w:rsidP="00665AA9">
      <w:pPr>
        <w:pStyle w:val="EndNoteBibliography"/>
        <w:ind w:left="720" w:hanging="720"/>
        <w:rPr>
          <w:noProof/>
        </w:rPr>
      </w:pPr>
      <w:r w:rsidRPr="00665AA9">
        <w:rPr>
          <w:noProof/>
        </w:rPr>
        <w:t xml:space="preserve">Shafiq, N., Nurrudin, M. F., Gardezi, S. S. S., &amp; Kamaruzzaman, A. B. (2015). Carbon footprint assessment of a typical low rise office building in Malaysia using building information modelling (BIM). </w:t>
      </w:r>
      <w:r w:rsidRPr="00665AA9">
        <w:rPr>
          <w:i/>
          <w:noProof/>
        </w:rPr>
        <w:t>International Journal of Sustainable Building Technology and Urban Development</w:t>
      </w:r>
      <w:r w:rsidRPr="00665AA9">
        <w:rPr>
          <w:noProof/>
        </w:rPr>
        <w:t>,</w:t>
      </w:r>
      <w:r w:rsidRPr="00665AA9">
        <w:rPr>
          <w:i/>
          <w:noProof/>
        </w:rPr>
        <w:t xml:space="preserve"> 6</w:t>
      </w:r>
      <w:r w:rsidRPr="00665AA9">
        <w:rPr>
          <w:noProof/>
        </w:rPr>
        <w:t xml:space="preserve">(3), 157-172. </w:t>
      </w:r>
      <w:r w:rsidRPr="00BF0919">
        <w:rPr>
          <w:noProof/>
        </w:rPr>
        <w:t>https://doi.org/10.1080/2093761X.2015.1057876</w:t>
      </w:r>
      <w:r w:rsidRPr="00665AA9">
        <w:rPr>
          <w:noProof/>
        </w:rPr>
        <w:t xml:space="preserve"> </w:t>
      </w:r>
    </w:p>
    <w:p w14:paraId="2CD01EE5" w14:textId="77777777" w:rsidR="00BF0919" w:rsidRPr="00665AA9" w:rsidRDefault="00BF0919" w:rsidP="00665AA9">
      <w:pPr>
        <w:pStyle w:val="EndNoteBibliography"/>
        <w:ind w:left="720" w:hanging="720"/>
        <w:rPr>
          <w:noProof/>
        </w:rPr>
      </w:pPr>
      <w:r w:rsidRPr="00665AA9">
        <w:rPr>
          <w:noProof/>
        </w:rPr>
        <w:t xml:space="preserve">Siddique, R. (2011). Utilization of silica fume in concrete: Review of hardened properties. </w:t>
      </w:r>
      <w:r w:rsidRPr="00665AA9">
        <w:rPr>
          <w:i/>
          <w:noProof/>
        </w:rPr>
        <w:t>Resources, Conservation and Recycling</w:t>
      </w:r>
      <w:r w:rsidRPr="00665AA9">
        <w:rPr>
          <w:noProof/>
        </w:rPr>
        <w:t>,</w:t>
      </w:r>
      <w:r w:rsidRPr="00665AA9">
        <w:rPr>
          <w:i/>
          <w:noProof/>
        </w:rPr>
        <w:t xml:space="preserve"> 55</w:t>
      </w:r>
      <w:r w:rsidRPr="00665AA9">
        <w:rPr>
          <w:noProof/>
        </w:rPr>
        <w:t xml:space="preserve">(11), 923-932. </w:t>
      </w:r>
      <w:r w:rsidRPr="00BF0919">
        <w:rPr>
          <w:noProof/>
        </w:rPr>
        <w:t>https://doi.org/10.1016/j.resconrec.2011.06.012</w:t>
      </w:r>
      <w:r w:rsidRPr="00665AA9">
        <w:rPr>
          <w:noProof/>
        </w:rPr>
        <w:t xml:space="preserve"> </w:t>
      </w:r>
    </w:p>
    <w:p w14:paraId="473E13A7" w14:textId="77777777" w:rsidR="00BF0919" w:rsidRPr="00665AA9" w:rsidRDefault="00BF0919" w:rsidP="00665AA9">
      <w:pPr>
        <w:pStyle w:val="EndNoteBibliography"/>
        <w:ind w:left="720" w:hanging="720"/>
        <w:rPr>
          <w:noProof/>
        </w:rPr>
      </w:pPr>
      <w:r w:rsidRPr="00665AA9">
        <w:rPr>
          <w:noProof/>
        </w:rPr>
        <w:t xml:space="preserve">Stadel, A. (2012). Life-cycle evaluation of concrete building construction as a strategy for sustainable cities. </w:t>
      </w:r>
      <w:r w:rsidRPr="00BF0919">
        <w:rPr>
          <w:noProof/>
        </w:rPr>
        <w:t>https://escholarship.org/uc/item/7mg2w3ts</w:t>
      </w:r>
      <w:r w:rsidRPr="00665AA9">
        <w:rPr>
          <w:noProof/>
        </w:rPr>
        <w:t xml:space="preserve"> </w:t>
      </w:r>
    </w:p>
    <w:p w14:paraId="3384CD0E" w14:textId="77777777" w:rsidR="00BF0919" w:rsidRPr="00665AA9" w:rsidRDefault="00BF0919" w:rsidP="00665AA9">
      <w:pPr>
        <w:pStyle w:val="EndNoteBibliography"/>
        <w:ind w:left="720" w:hanging="720"/>
        <w:rPr>
          <w:noProof/>
        </w:rPr>
      </w:pPr>
      <w:r w:rsidRPr="00665AA9">
        <w:rPr>
          <w:noProof/>
        </w:rPr>
        <w:t xml:space="preserve">Tae, S., Baek, C., &amp; Shin, S. (2011). Life cycle CO2 evaluation on reinforced concrete structures with high-strength concrete. </w:t>
      </w:r>
      <w:r w:rsidRPr="00665AA9">
        <w:rPr>
          <w:i/>
          <w:noProof/>
        </w:rPr>
        <w:t>Environmental Impact Assessment Review</w:t>
      </w:r>
      <w:r w:rsidRPr="00665AA9">
        <w:rPr>
          <w:noProof/>
        </w:rPr>
        <w:t>,</w:t>
      </w:r>
      <w:r w:rsidRPr="00665AA9">
        <w:rPr>
          <w:i/>
          <w:noProof/>
        </w:rPr>
        <w:t xml:space="preserve"> 31</w:t>
      </w:r>
      <w:r w:rsidRPr="00665AA9">
        <w:rPr>
          <w:noProof/>
        </w:rPr>
        <w:t xml:space="preserve">(3), 253-260. </w:t>
      </w:r>
      <w:r w:rsidRPr="00BF0919">
        <w:rPr>
          <w:noProof/>
        </w:rPr>
        <w:t>https://doi.org/10.1016/j.eiar.2010.07.002</w:t>
      </w:r>
      <w:r w:rsidRPr="00665AA9">
        <w:rPr>
          <w:noProof/>
        </w:rPr>
        <w:t xml:space="preserve"> </w:t>
      </w:r>
    </w:p>
    <w:p w14:paraId="08BB4E55" w14:textId="77777777" w:rsidR="00BF0919" w:rsidRPr="00665AA9" w:rsidRDefault="00BF0919" w:rsidP="00665AA9">
      <w:pPr>
        <w:pStyle w:val="EndNoteBibliography"/>
        <w:ind w:left="720" w:hanging="720"/>
        <w:rPr>
          <w:noProof/>
        </w:rPr>
      </w:pPr>
      <w:r w:rsidRPr="00665AA9">
        <w:rPr>
          <w:noProof/>
        </w:rPr>
        <w:t xml:space="preserve">Tait, M. W., &amp; Cheung, W. M. (2016). A comparative cradle-to-gate life cycle assessment of three concrete mix designs. </w:t>
      </w:r>
      <w:r w:rsidRPr="00665AA9">
        <w:rPr>
          <w:i/>
          <w:noProof/>
        </w:rPr>
        <w:t>The International Journal of Life Cycle Assessment</w:t>
      </w:r>
      <w:r w:rsidRPr="00665AA9">
        <w:rPr>
          <w:noProof/>
        </w:rPr>
        <w:t>,</w:t>
      </w:r>
      <w:r w:rsidRPr="00665AA9">
        <w:rPr>
          <w:i/>
          <w:noProof/>
        </w:rPr>
        <w:t xml:space="preserve"> 21</w:t>
      </w:r>
      <w:r w:rsidRPr="00665AA9">
        <w:rPr>
          <w:noProof/>
        </w:rPr>
        <w:t xml:space="preserve">(6), 847-860. </w:t>
      </w:r>
      <w:r w:rsidRPr="00BF0919">
        <w:rPr>
          <w:noProof/>
        </w:rPr>
        <w:t>https://doi.org/10.1007/s11367-016-1045-5</w:t>
      </w:r>
      <w:r w:rsidRPr="00665AA9">
        <w:rPr>
          <w:noProof/>
        </w:rPr>
        <w:t xml:space="preserve"> </w:t>
      </w:r>
    </w:p>
    <w:p w14:paraId="14B8C7DB" w14:textId="77777777" w:rsidR="00BF0919" w:rsidRPr="00665AA9" w:rsidRDefault="00BF0919" w:rsidP="00665AA9">
      <w:pPr>
        <w:pStyle w:val="EndNoteBibliography"/>
        <w:ind w:left="720" w:hanging="720"/>
        <w:rPr>
          <w:noProof/>
        </w:rPr>
      </w:pPr>
      <w:r w:rsidRPr="00665AA9">
        <w:rPr>
          <w:noProof/>
        </w:rPr>
        <w:t xml:space="preserve">Teh, S. H., Wiedmann, T., Castel, A., &amp; de Burgh, J. (2017). Hybrid life cycle assessment of greenhouse gas emissions from cement, concrete and geopolymer concrete in Australia. </w:t>
      </w:r>
      <w:r w:rsidRPr="00665AA9">
        <w:rPr>
          <w:i/>
          <w:noProof/>
        </w:rPr>
        <w:t>Journal of Cleaner Production</w:t>
      </w:r>
      <w:r w:rsidRPr="00665AA9">
        <w:rPr>
          <w:noProof/>
        </w:rPr>
        <w:t>,</w:t>
      </w:r>
      <w:r w:rsidRPr="00665AA9">
        <w:rPr>
          <w:i/>
          <w:noProof/>
        </w:rPr>
        <w:t xml:space="preserve"> 152</w:t>
      </w:r>
      <w:r w:rsidRPr="00665AA9">
        <w:rPr>
          <w:noProof/>
        </w:rPr>
        <w:t xml:space="preserve">, 312-320. </w:t>
      </w:r>
      <w:r w:rsidRPr="00BF0919">
        <w:rPr>
          <w:noProof/>
        </w:rPr>
        <w:t>https://doi.org/10.1016/j.jclepro.2017.03.122</w:t>
      </w:r>
      <w:r w:rsidRPr="00665AA9">
        <w:rPr>
          <w:noProof/>
        </w:rPr>
        <w:t xml:space="preserve"> </w:t>
      </w:r>
    </w:p>
    <w:p w14:paraId="0FD7E026" w14:textId="77777777" w:rsidR="00BF0919" w:rsidRPr="00665AA9" w:rsidRDefault="00BF0919" w:rsidP="00665AA9">
      <w:pPr>
        <w:pStyle w:val="EndNoteBibliography"/>
        <w:ind w:left="720" w:hanging="720"/>
        <w:rPr>
          <w:noProof/>
        </w:rPr>
      </w:pPr>
      <w:r w:rsidRPr="00665AA9">
        <w:rPr>
          <w:noProof/>
        </w:rPr>
        <w:lastRenderedPageBreak/>
        <w:t xml:space="preserve">Teng, Y., Li, K., Pan, W., &amp; Ng, T. (2018). Reducing building life cycle carbon emissions through prefabrication: Evidence from and gaps in empirical studies. </w:t>
      </w:r>
      <w:r w:rsidRPr="00665AA9">
        <w:rPr>
          <w:i/>
          <w:noProof/>
        </w:rPr>
        <w:t>Building and Environment</w:t>
      </w:r>
      <w:r w:rsidRPr="00665AA9">
        <w:rPr>
          <w:noProof/>
        </w:rPr>
        <w:t>,</w:t>
      </w:r>
      <w:r w:rsidRPr="00665AA9">
        <w:rPr>
          <w:i/>
          <w:noProof/>
        </w:rPr>
        <w:t xml:space="preserve"> 132</w:t>
      </w:r>
      <w:r w:rsidRPr="00665AA9">
        <w:rPr>
          <w:noProof/>
        </w:rPr>
        <w:t xml:space="preserve">, 125-136. </w:t>
      </w:r>
      <w:r w:rsidRPr="00BF0919">
        <w:rPr>
          <w:noProof/>
        </w:rPr>
        <w:t>https://doi.org/10.1016/j.buildenv.2018.01.026</w:t>
      </w:r>
      <w:r w:rsidRPr="00665AA9">
        <w:rPr>
          <w:noProof/>
        </w:rPr>
        <w:t xml:space="preserve"> </w:t>
      </w:r>
    </w:p>
    <w:p w14:paraId="67BEBF22" w14:textId="77777777" w:rsidR="00BF0919" w:rsidRPr="00665AA9" w:rsidRDefault="00BF0919" w:rsidP="00665AA9">
      <w:pPr>
        <w:pStyle w:val="EndNoteBibliography"/>
        <w:ind w:left="720" w:hanging="720"/>
        <w:rPr>
          <w:noProof/>
        </w:rPr>
      </w:pPr>
      <w:r w:rsidRPr="00665AA9">
        <w:rPr>
          <w:noProof/>
        </w:rPr>
        <w:t xml:space="preserve">Teng, Y., &amp; Pan, W. (2019). Systematic embodied carbon assessment and reduction of prefabricated high-rise public residential buildings in Hong Kong. </w:t>
      </w:r>
      <w:r w:rsidRPr="00665AA9">
        <w:rPr>
          <w:i/>
          <w:noProof/>
        </w:rPr>
        <w:t>Journal of Cleaner Production</w:t>
      </w:r>
      <w:r w:rsidRPr="00665AA9">
        <w:rPr>
          <w:noProof/>
        </w:rPr>
        <w:t xml:space="preserve">, 117791. </w:t>
      </w:r>
      <w:r w:rsidRPr="00BF0919">
        <w:rPr>
          <w:noProof/>
        </w:rPr>
        <w:t>https://doi.org/10.1016/j.jclepro.2019.117791</w:t>
      </w:r>
      <w:r w:rsidRPr="00665AA9">
        <w:rPr>
          <w:noProof/>
        </w:rPr>
        <w:t xml:space="preserve"> </w:t>
      </w:r>
    </w:p>
    <w:p w14:paraId="1BB7776F" w14:textId="77777777" w:rsidR="00BF0919" w:rsidRPr="00665AA9" w:rsidRDefault="00BF0919" w:rsidP="00665AA9">
      <w:pPr>
        <w:pStyle w:val="EndNoteBibliography"/>
        <w:ind w:left="720" w:hanging="720"/>
        <w:rPr>
          <w:noProof/>
        </w:rPr>
      </w:pPr>
      <w:r w:rsidRPr="00665AA9">
        <w:rPr>
          <w:noProof/>
        </w:rPr>
        <w:t xml:space="preserve">Teng, Y., &amp; Pan, W. (2020). Estimating and minimizing embodied carbon of prefabricated high-rise residential buildings considering parameter, scenario and model uncertainties. </w:t>
      </w:r>
      <w:r w:rsidRPr="00665AA9">
        <w:rPr>
          <w:i/>
          <w:noProof/>
        </w:rPr>
        <w:t>Building and Environment</w:t>
      </w:r>
      <w:r w:rsidRPr="00665AA9">
        <w:rPr>
          <w:noProof/>
        </w:rPr>
        <w:t>,</w:t>
      </w:r>
      <w:r w:rsidRPr="00665AA9">
        <w:rPr>
          <w:i/>
          <w:noProof/>
        </w:rPr>
        <w:t xml:space="preserve"> 180</w:t>
      </w:r>
      <w:r w:rsidRPr="00665AA9">
        <w:rPr>
          <w:noProof/>
        </w:rPr>
        <w:t xml:space="preserve">, 106951. </w:t>
      </w:r>
      <w:r w:rsidRPr="00BF0919">
        <w:rPr>
          <w:noProof/>
        </w:rPr>
        <w:t>https://doi.org/10.1016/j.buildenv.2020.106951</w:t>
      </w:r>
      <w:r w:rsidRPr="00665AA9">
        <w:rPr>
          <w:noProof/>
        </w:rPr>
        <w:t xml:space="preserve"> </w:t>
      </w:r>
    </w:p>
    <w:p w14:paraId="686DAF5E" w14:textId="77777777" w:rsidR="00BF0919" w:rsidRPr="00665AA9" w:rsidRDefault="00BF0919" w:rsidP="00665AA9">
      <w:pPr>
        <w:pStyle w:val="EndNoteBibliography"/>
        <w:ind w:left="720" w:hanging="720"/>
        <w:rPr>
          <w:noProof/>
        </w:rPr>
      </w:pPr>
      <w:r w:rsidRPr="00665AA9">
        <w:rPr>
          <w:noProof/>
        </w:rPr>
        <w:t xml:space="preserve">Thilakarathna, P. S. M., Seo, S., Baduge, K. S. K., Lee, H., Mendis, P., &amp; Foliente, G. (2020). Embodied carbon analysis and benchmarking emissions of high and ultra-high strength concrete using machine learning algorithms. </w:t>
      </w:r>
      <w:r w:rsidRPr="00665AA9">
        <w:rPr>
          <w:i/>
          <w:noProof/>
        </w:rPr>
        <w:t>Journal of Cleaner Production</w:t>
      </w:r>
      <w:r w:rsidRPr="00665AA9">
        <w:rPr>
          <w:noProof/>
        </w:rPr>
        <w:t>,</w:t>
      </w:r>
      <w:r w:rsidRPr="00665AA9">
        <w:rPr>
          <w:i/>
          <w:noProof/>
        </w:rPr>
        <w:t xml:space="preserve"> 262</w:t>
      </w:r>
      <w:r w:rsidRPr="00665AA9">
        <w:rPr>
          <w:noProof/>
        </w:rPr>
        <w:t xml:space="preserve">, 121281. </w:t>
      </w:r>
      <w:r w:rsidRPr="00BF0919">
        <w:rPr>
          <w:noProof/>
        </w:rPr>
        <w:t>https://doi.org/10.1016/j.jclepro.2020.121281</w:t>
      </w:r>
      <w:r w:rsidRPr="00665AA9">
        <w:rPr>
          <w:noProof/>
        </w:rPr>
        <w:t xml:space="preserve"> </w:t>
      </w:r>
    </w:p>
    <w:p w14:paraId="52EDA561" w14:textId="77777777" w:rsidR="00BF0919" w:rsidRPr="00665AA9" w:rsidRDefault="00BF0919" w:rsidP="00665AA9">
      <w:pPr>
        <w:pStyle w:val="EndNoteBibliography"/>
        <w:ind w:left="720" w:hanging="720"/>
        <w:rPr>
          <w:noProof/>
        </w:rPr>
      </w:pPr>
      <w:r w:rsidRPr="00665AA9">
        <w:rPr>
          <w:noProof/>
        </w:rPr>
        <w:t xml:space="preserve">Tošić, N., Marinković, S., Dašić, T., &amp; Stanić, M. (2015). Multicriteria optimization of natural and recycled aggregate concrete for structural use. </w:t>
      </w:r>
      <w:r w:rsidRPr="00665AA9">
        <w:rPr>
          <w:i/>
          <w:noProof/>
        </w:rPr>
        <w:t>Journal of Cleaner Production</w:t>
      </w:r>
      <w:r w:rsidRPr="00665AA9">
        <w:rPr>
          <w:noProof/>
        </w:rPr>
        <w:t>,</w:t>
      </w:r>
      <w:r w:rsidRPr="00665AA9">
        <w:rPr>
          <w:i/>
          <w:noProof/>
        </w:rPr>
        <w:t xml:space="preserve"> 87</w:t>
      </w:r>
      <w:r w:rsidRPr="00665AA9">
        <w:rPr>
          <w:noProof/>
        </w:rPr>
        <w:t xml:space="preserve">, 766-776. </w:t>
      </w:r>
      <w:r w:rsidRPr="00BF0919">
        <w:rPr>
          <w:noProof/>
        </w:rPr>
        <w:t>https://doi.org/10.1016/j.jclepro.2014.10.070</w:t>
      </w:r>
      <w:r w:rsidRPr="00665AA9">
        <w:rPr>
          <w:noProof/>
        </w:rPr>
        <w:t xml:space="preserve"> </w:t>
      </w:r>
    </w:p>
    <w:p w14:paraId="01EE5A3A" w14:textId="77777777" w:rsidR="00BF0919" w:rsidRPr="00665AA9" w:rsidRDefault="00BF0919" w:rsidP="00665AA9">
      <w:pPr>
        <w:pStyle w:val="EndNoteBibliography"/>
        <w:ind w:left="720" w:hanging="720"/>
        <w:rPr>
          <w:noProof/>
        </w:rPr>
      </w:pPr>
      <w:r w:rsidRPr="00665AA9">
        <w:rPr>
          <w:noProof/>
        </w:rPr>
        <w:t xml:space="preserve">Turk, J., Cotic, Z., Mladenovic, A., &amp; Sajna, A. (2015). Environmental evaluation of green concretes versus conventional concrete by means of LCA. </w:t>
      </w:r>
      <w:r w:rsidRPr="00665AA9">
        <w:rPr>
          <w:i/>
          <w:noProof/>
        </w:rPr>
        <w:t>Waste Manag</w:t>
      </w:r>
      <w:r w:rsidRPr="00665AA9">
        <w:rPr>
          <w:noProof/>
        </w:rPr>
        <w:t>,</w:t>
      </w:r>
      <w:r w:rsidRPr="00665AA9">
        <w:rPr>
          <w:i/>
          <w:noProof/>
        </w:rPr>
        <w:t xml:space="preserve"> 45</w:t>
      </w:r>
      <w:r w:rsidRPr="00665AA9">
        <w:rPr>
          <w:noProof/>
        </w:rPr>
        <w:t xml:space="preserve">, 194-205. </w:t>
      </w:r>
      <w:r w:rsidRPr="00BF0919">
        <w:rPr>
          <w:noProof/>
        </w:rPr>
        <w:t>https://doi.org/10.1016/j.wasman.2015.06.035</w:t>
      </w:r>
      <w:r w:rsidRPr="00665AA9">
        <w:rPr>
          <w:noProof/>
        </w:rPr>
        <w:t xml:space="preserve"> </w:t>
      </w:r>
    </w:p>
    <w:p w14:paraId="30080A56" w14:textId="77777777" w:rsidR="00BF0919" w:rsidRPr="00665AA9" w:rsidRDefault="00BF0919" w:rsidP="00665AA9">
      <w:pPr>
        <w:pStyle w:val="EndNoteBibliography"/>
        <w:ind w:left="720" w:hanging="720"/>
        <w:rPr>
          <w:noProof/>
        </w:rPr>
      </w:pPr>
      <w:r w:rsidRPr="00665AA9">
        <w:rPr>
          <w:noProof/>
        </w:rPr>
        <w:t xml:space="preserve">Turner, L. K., &amp; Collins, F. G. (2013). Carbon dioxide equivalent (CO2-e) emissions: A comparison between geopolymer and OPC cement concrete. </w:t>
      </w:r>
      <w:r w:rsidRPr="00665AA9">
        <w:rPr>
          <w:i/>
          <w:noProof/>
        </w:rPr>
        <w:t>Construction and Building Materials</w:t>
      </w:r>
      <w:r w:rsidRPr="00665AA9">
        <w:rPr>
          <w:noProof/>
        </w:rPr>
        <w:t>,</w:t>
      </w:r>
      <w:r w:rsidRPr="00665AA9">
        <w:rPr>
          <w:i/>
          <w:noProof/>
        </w:rPr>
        <w:t xml:space="preserve"> 43</w:t>
      </w:r>
      <w:r w:rsidRPr="00665AA9">
        <w:rPr>
          <w:noProof/>
        </w:rPr>
        <w:t xml:space="preserve">, 125-130. </w:t>
      </w:r>
      <w:r w:rsidRPr="00BF0919">
        <w:rPr>
          <w:noProof/>
        </w:rPr>
        <w:t>https://doi.org/10.1016/j.conbuildmat.2013.01.023</w:t>
      </w:r>
      <w:r w:rsidRPr="00665AA9">
        <w:rPr>
          <w:noProof/>
        </w:rPr>
        <w:t xml:space="preserve"> </w:t>
      </w:r>
    </w:p>
    <w:p w14:paraId="3F813F9D" w14:textId="77777777" w:rsidR="00BF0919" w:rsidRPr="00665AA9" w:rsidRDefault="00BF0919" w:rsidP="00665AA9">
      <w:pPr>
        <w:pStyle w:val="EndNoteBibliography"/>
        <w:ind w:left="720" w:hanging="720"/>
        <w:rPr>
          <w:noProof/>
        </w:rPr>
      </w:pPr>
      <w:r w:rsidRPr="00665AA9">
        <w:rPr>
          <w:noProof/>
        </w:rPr>
        <w:t xml:space="preserve">Tushar, Q., Bhuiyan, M. A., Zhang, G., Maqsood, T., &amp; Tasmin, T. (2022). Application of a harmonized life cycle assessment method for supplementary cementitious materials in structural concrete. </w:t>
      </w:r>
      <w:r w:rsidRPr="00665AA9">
        <w:rPr>
          <w:i/>
          <w:noProof/>
        </w:rPr>
        <w:t>Construction and Building Materials</w:t>
      </w:r>
      <w:r w:rsidRPr="00665AA9">
        <w:rPr>
          <w:noProof/>
        </w:rPr>
        <w:t>,</w:t>
      </w:r>
      <w:r w:rsidRPr="00665AA9">
        <w:rPr>
          <w:i/>
          <w:noProof/>
        </w:rPr>
        <w:t xml:space="preserve"> 316</w:t>
      </w:r>
      <w:r w:rsidRPr="00665AA9">
        <w:rPr>
          <w:noProof/>
        </w:rPr>
        <w:t xml:space="preserve">. </w:t>
      </w:r>
      <w:r w:rsidRPr="00BF0919">
        <w:rPr>
          <w:noProof/>
        </w:rPr>
        <w:t>https://doi.org/10.1016/j.conbuildmat.2021.125850</w:t>
      </w:r>
      <w:r w:rsidRPr="00665AA9">
        <w:rPr>
          <w:noProof/>
        </w:rPr>
        <w:t xml:space="preserve"> </w:t>
      </w:r>
    </w:p>
    <w:p w14:paraId="5C72479F" w14:textId="77777777" w:rsidR="00BF0919" w:rsidRPr="00665AA9" w:rsidRDefault="00BF0919" w:rsidP="00665AA9">
      <w:pPr>
        <w:pStyle w:val="EndNoteBibliography"/>
        <w:ind w:left="720" w:hanging="720"/>
        <w:rPr>
          <w:noProof/>
        </w:rPr>
      </w:pPr>
      <w:r w:rsidRPr="00665AA9">
        <w:rPr>
          <w:noProof/>
        </w:rPr>
        <w:t xml:space="preserve">UNFCCC. (2015). ADOPTION OF THE PARIS AGREEMENT. </w:t>
      </w:r>
      <w:r w:rsidRPr="00665AA9">
        <w:rPr>
          <w:i/>
          <w:noProof/>
        </w:rPr>
        <w:t>United Nations framework convention on climate change report</w:t>
      </w:r>
      <w:r w:rsidRPr="00665AA9">
        <w:rPr>
          <w:noProof/>
        </w:rPr>
        <w:t xml:space="preserve">. </w:t>
      </w:r>
      <w:r w:rsidRPr="00BF0919">
        <w:rPr>
          <w:noProof/>
        </w:rPr>
        <w:t>http://unfccc.int/resource/docs/2015/cop21/eng/l09r01.pdf</w:t>
      </w:r>
      <w:r w:rsidRPr="00665AA9">
        <w:rPr>
          <w:noProof/>
        </w:rPr>
        <w:t xml:space="preserve"> </w:t>
      </w:r>
    </w:p>
    <w:p w14:paraId="27327395" w14:textId="77777777" w:rsidR="00BF0919" w:rsidRPr="00665AA9" w:rsidRDefault="00BF0919" w:rsidP="00665AA9">
      <w:pPr>
        <w:pStyle w:val="EndNoteBibliography"/>
        <w:ind w:left="720" w:hanging="720"/>
        <w:rPr>
          <w:noProof/>
        </w:rPr>
      </w:pPr>
      <w:r w:rsidRPr="00665AA9">
        <w:rPr>
          <w:noProof/>
        </w:rPr>
        <w:t xml:space="preserve">Van den Heede, P., &amp; De Belie, N. (2014). A service life based global warming potential for high-volume fly ash concrete exposed to carbonation. </w:t>
      </w:r>
      <w:r w:rsidRPr="00665AA9">
        <w:rPr>
          <w:i/>
          <w:noProof/>
        </w:rPr>
        <w:t>Construction and Building Materials</w:t>
      </w:r>
      <w:r w:rsidRPr="00665AA9">
        <w:rPr>
          <w:noProof/>
        </w:rPr>
        <w:t>,</w:t>
      </w:r>
      <w:r w:rsidRPr="00665AA9">
        <w:rPr>
          <w:i/>
          <w:noProof/>
        </w:rPr>
        <w:t xml:space="preserve"> 55</w:t>
      </w:r>
      <w:r w:rsidRPr="00665AA9">
        <w:rPr>
          <w:noProof/>
        </w:rPr>
        <w:t xml:space="preserve">, 183-193. </w:t>
      </w:r>
      <w:r w:rsidRPr="00BF0919">
        <w:rPr>
          <w:noProof/>
        </w:rPr>
        <w:t>https://doi.org/10.1016/j.conbuildmat.2014.01.033</w:t>
      </w:r>
      <w:r w:rsidRPr="00665AA9">
        <w:rPr>
          <w:noProof/>
        </w:rPr>
        <w:t xml:space="preserve"> </w:t>
      </w:r>
    </w:p>
    <w:p w14:paraId="5588E648" w14:textId="77777777" w:rsidR="00BF0919" w:rsidRPr="00665AA9" w:rsidRDefault="00BF0919" w:rsidP="00665AA9">
      <w:pPr>
        <w:pStyle w:val="EndNoteBibliography"/>
        <w:ind w:left="720" w:hanging="720"/>
        <w:rPr>
          <w:noProof/>
        </w:rPr>
      </w:pPr>
      <w:r w:rsidRPr="00665AA9">
        <w:rPr>
          <w:noProof/>
        </w:rPr>
        <w:t xml:space="preserve">Vargas, J., &amp; Halog, A. (2015). Effective carbon emission reductions from using upgraded fly ash in the cement industry. </w:t>
      </w:r>
      <w:r w:rsidRPr="00665AA9">
        <w:rPr>
          <w:i/>
          <w:noProof/>
        </w:rPr>
        <w:t>Journal of Cleaner Production</w:t>
      </w:r>
      <w:r w:rsidRPr="00665AA9">
        <w:rPr>
          <w:noProof/>
        </w:rPr>
        <w:t>,</w:t>
      </w:r>
      <w:r w:rsidRPr="00665AA9">
        <w:rPr>
          <w:i/>
          <w:noProof/>
        </w:rPr>
        <w:t xml:space="preserve"> 103</w:t>
      </w:r>
      <w:r w:rsidRPr="00665AA9">
        <w:rPr>
          <w:noProof/>
        </w:rPr>
        <w:t xml:space="preserve">, 948-959. </w:t>
      </w:r>
      <w:r w:rsidRPr="00BF0919">
        <w:rPr>
          <w:noProof/>
        </w:rPr>
        <w:t>https://doi.org/10.1016/j.jclepro.2015.04.136</w:t>
      </w:r>
      <w:r w:rsidRPr="00665AA9">
        <w:rPr>
          <w:noProof/>
        </w:rPr>
        <w:t xml:space="preserve"> </w:t>
      </w:r>
    </w:p>
    <w:p w14:paraId="7FF7391C" w14:textId="77777777" w:rsidR="00BF0919" w:rsidRPr="00665AA9" w:rsidRDefault="00BF0919" w:rsidP="00665AA9">
      <w:pPr>
        <w:pStyle w:val="EndNoteBibliography"/>
        <w:ind w:left="720" w:hanging="720"/>
        <w:rPr>
          <w:noProof/>
        </w:rPr>
      </w:pPr>
      <w:r w:rsidRPr="00665AA9">
        <w:rPr>
          <w:noProof/>
        </w:rPr>
        <w:t xml:space="preserve">Venkatarama Reddy, B. (2009). Sustainable materials for low carbon buildings. </w:t>
      </w:r>
      <w:r w:rsidRPr="00665AA9">
        <w:rPr>
          <w:i/>
          <w:noProof/>
        </w:rPr>
        <w:t>International Journal of Low-Carbon Technologies</w:t>
      </w:r>
      <w:r w:rsidRPr="00665AA9">
        <w:rPr>
          <w:noProof/>
        </w:rPr>
        <w:t>,</w:t>
      </w:r>
      <w:r w:rsidRPr="00665AA9">
        <w:rPr>
          <w:i/>
          <w:noProof/>
        </w:rPr>
        <w:t xml:space="preserve"> 4</w:t>
      </w:r>
      <w:r w:rsidRPr="00665AA9">
        <w:rPr>
          <w:noProof/>
        </w:rPr>
        <w:t xml:space="preserve">(3), 175-181. </w:t>
      </w:r>
      <w:r w:rsidRPr="00BF0919">
        <w:rPr>
          <w:noProof/>
        </w:rPr>
        <w:t>https://doi.org/10.1093/ijlct/ctp025</w:t>
      </w:r>
      <w:r w:rsidRPr="00665AA9">
        <w:rPr>
          <w:noProof/>
        </w:rPr>
        <w:t xml:space="preserve"> </w:t>
      </w:r>
    </w:p>
    <w:p w14:paraId="4A56E906" w14:textId="77777777" w:rsidR="00BF0919" w:rsidRPr="00665AA9" w:rsidRDefault="00BF0919" w:rsidP="00665AA9">
      <w:pPr>
        <w:pStyle w:val="EndNoteBibliography"/>
        <w:ind w:left="720" w:hanging="720"/>
        <w:rPr>
          <w:noProof/>
        </w:rPr>
      </w:pPr>
      <w:r w:rsidRPr="00665AA9">
        <w:rPr>
          <w:noProof/>
        </w:rPr>
        <w:t xml:space="preserve">Visintin, P., Xie, T., &amp; Bennett, B. (2020). A large-scale life-cycle assessment of recycled aggregate concrete: The influence of functional unit, emissions allocation and carbon dioxide uptake. </w:t>
      </w:r>
      <w:r w:rsidRPr="00665AA9">
        <w:rPr>
          <w:i/>
          <w:noProof/>
        </w:rPr>
        <w:t>Journal of Cleaner Production</w:t>
      </w:r>
      <w:r w:rsidRPr="00665AA9">
        <w:rPr>
          <w:noProof/>
        </w:rPr>
        <w:t>,</w:t>
      </w:r>
      <w:r w:rsidRPr="00665AA9">
        <w:rPr>
          <w:i/>
          <w:noProof/>
        </w:rPr>
        <w:t xml:space="preserve"> 248</w:t>
      </w:r>
      <w:r w:rsidRPr="00665AA9">
        <w:rPr>
          <w:noProof/>
        </w:rPr>
        <w:t xml:space="preserve">. </w:t>
      </w:r>
      <w:r w:rsidRPr="00BF0919">
        <w:rPr>
          <w:noProof/>
        </w:rPr>
        <w:t>https://doi.org/10.1016/j.jclepro.2019.119243</w:t>
      </w:r>
      <w:r w:rsidRPr="00665AA9">
        <w:rPr>
          <w:noProof/>
        </w:rPr>
        <w:t xml:space="preserve"> </w:t>
      </w:r>
    </w:p>
    <w:p w14:paraId="03365CC8" w14:textId="77777777" w:rsidR="00BF0919" w:rsidRPr="00665AA9" w:rsidRDefault="00BF0919" w:rsidP="00665AA9">
      <w:pPr>
        <w:pStyle w:val="EndNoteBibliography"/>
        <w:ind w:left="720" w:hanging="720"/>
        <w:rPr>
          <w:noProof/>
        </w:rPr>
      </w:pPr>
      <w:r w:rsidRPr="00665AA9">
        <w:rPr>
          <w:noProof/>
        </w:rPr>
        <w:t xml:space="preserve">Walczak, P., Małolepszy, J., Reben, M., Szymański, P., &amp; Rzepa, K. (2015). Utilization of waste glass in autoclaved aerated concrete. </w:t>
      </w:r>
      <w:r w:rsidRPr="00665AA9">
        <w:rPr>
          <w:i/>
          <w:noProof/>
        </w:rPr>
        <w:t>Procedia Engineering</w:t>
      </w:r>
      <w:r w:rsidRPr="00665AA9">
        <w:rPr>
          <w:noProof/>
        </w:rPr>
        <w:t>,</w:t>
      </w:r>
      <w:r w:rsidRPr="00665AA9">
        <w:rPr>
          <w:i/>
          <w:noProof/>
        </w:rPr>
        <w:t xml:space="preserve"> 122</w:t>
      </w:r>
      <w:r w:rsidRPr="00665AA9">
        <w:rPr>
          <w:noProof/>
        </w:rPr>
        <w:t xml:space="preserve">, 302-309. </w:t>
      </w:r>
      <w:r w:rsidRPr="00BF0919">
        <w:rPr>
          <w:noProof/>
        </w:rPr>
        <w:t>https://doi.org/10.1016/j.proeng.2015.10.040</w:t>
      </w:r>
      <w:r w:rsidRPr="00665AA9">
        <w:rPr>
          <w:noProof/>
        </w:rPr>
        <w:t xml:space="preserve"> </w:t>
      </w:r>
    </w:p>
    <w:p w14:paraId="579210B7" w14:textId="77777777" w:rsidR="00BF0919" w:rsidRPr="00665AA9" w:rsidRDefault="00BF0919" w:rsidP="00665AA9">
      <w:pPr>
        <w:pStyle w:val="EndNoteBibliography"/>
        <w:ind w:left="720" w:hanging="720"/>
        <w:rPr>
          <w:noProof/>
        </w:rPr>
      </w:pPr>
      <w:r w:rsidRPr="00665AA9">
        <w:rPr>
          <w:noProof/>
        </w:rPr>
        <w:t xml:space="preserve">Wanna, S., Saengsoy, W., Toochinda, P., Tangtermsirikul, S., &amp; Tang, S. (2020). Effects of Sand Powder on Sulfuric Acid Resistance, Compressive Strength, Cost Benefits, and CO2 Reduction of High CaO Fly Ash Concrete. </w:t>
      </w:r>
      <w:r w:rsidRPr="00665AA9">
        <w:rPr>
          <w:i/>
          <w:noProof/>
        </w:rPr>
        <w:t>Advances in Materials Science and Engineering</w:t>
      </w:r>
      <w:r w:rsidRPr="00665AA9">
        <w:rPr>
          <w:noProof/>
        </w:rPr>
        <w:t>,</w:t>
      </w:r>
      <w:r w:rsidRPr="00665AA9">
        <w:rPr>
          <w:i/>
          <w:noProof/>
        </w:rPr>
        <w:t xml:space="preserve"> 2020</w:t>
      </w:r>
      <w:r w:rsidRPr="00665AA9">
        <w:rPr>
          <w:noProof/>
        </w:rPr>
        <w:t xml:space="preserve">, 1-12. </w:t>
      </w:r>
      <w:r w:rsidRPr="00BF0919">
        <w:rPr>
          <w:noProof/>
        </w:rPr>
        <w:t>https://doi.org/10.1155/2020/3284975</w:t>
      </w:r>
      <w:r w:rsidRPr="00665AA9">
        <w:rPr>
          <w:noProof/>
        </w:rPr>
        <w:t xml:space="preserve"> </w:t>
      </w:r>
    </w:p>
    <w:p w14:paraId="19980ED5" w14:textId="77777777" w:rsidR="00BF0919" w:rsidRPr="00665AA9" w:rsidRDefault="00BF0919" w:rsidP="00665AA9">
      <w:pPr>
        <w:pStyle w:val="EndNoteBibliography"/>
        <w:ind w:left="720" w:hanging="720"/>
        <w:rPr>
          <w:noProof/>
        </w:rPr>
      </w:pPr>
      <w:r w:rsidRPr="00665AA9">
        <w:rPr>
          <w:noProof/>
        </w:rPr>
        <w:t xml:space="preserve">Weil, M., Dombrowski, K., &amp; Buchwald, A. (2009). Life-cycle analysis of geopolymers. In </w:t>
      </w:r>
      <w:r w:rsidRPr="00665AA9">
        <w:rPr>
          <w:i/>
          <w:noProof/>
        </w:rPr>
        <w:t>Geopolymers</w:t>
      </w:r>
      <w:r w:rsidRPr="00665AA9">
        <w:rPr>
          <w:noProof/>
        </w:rPr>
        <w:t xml:space="preserve"> (pp. 194-210). Elsevier. </w:t>
      </w:r>
      <w:r w:rsidRPr="00BF0919">
        <w:rPr>
          <w:noProof/>
        </w:rPr>
        <w:t>https://doi.org/10.1533/9781845696382.2.194</w:t>
      </w:r>
      <w:r w:rsidRPr="00665AA9">
        <w:rPr>
          <w:noProof/>
        </w:rPr>
        <w:t xml:space="preserve"> </w:t>
      </w:r>
    </w:p>
    <w:p w14:paraId="797DBD65" w14:textId="77777777" w:rsidR="00BF0919" w:rsidRPr="00665AA9" w:rsidRDefault="00BF0919" w:rsidP="00665AA9">
      <w:pPr>
        <w:pStyle w:val="EndNoteBibliography"/>
        <w:ind w:left="720" w:hanging="720"/>
        <w:rPr>
          <w:noProof/>
        </w:rPr>
      </w:pPr>
      <w:r w:rsidRPr="00665AA9">
        <w:rPr>
          <w:noProof/>
        </w:rPr>
        <w:t xml:space="preserve">Winnefeld, F. (2010). </w:t>
      </w:r>
      <w:r w:rsidRPr="00665AA9">
        <w:rPr>
          <w:i/>
          <w:noProof/>
        </w:rPr>
        <w:t>Calcium sulfoaluminate cement: an example of a low CO2-alternative to Portland cement</w:t>
      </w:r>
      <w:r w:rsidRPr="00665AA9">
        <w:rPr>
          <w:noProof/>
        </w:rPr>
        <w:t xml:space="preserve"> </w:t>
      </w:r>
      <w:r w:rsidRPr="00665AA9">
        <w:rPr>
          <w:noProof/>
        </w:rPr>
        <w:lastRenderedPageBreak/>
        <w:t xml:space="preserve">WTA-Colloquium-Eff. Clim. Chang. built heritage, March 11,  </w:t>
      </w:r>
      <w:r w:rsidRPr="00BF0919">
        <w:rPr>
          <w:noProof/>
        </w:rPr>
        <w:t>https://www.researchgate.net/publication/311963240</w:t>
      </w:r>
    </w:p>
    <w:p w14:paraId="67D7B87C" w14:textId="77777777" w:rsidR="00BF0919" w:rsidRPr="00665AA9" w:rsidRDefault="00BF0919" w:rsidP="00665AA9">
      <w:pPr>
        <w:pStyle w:val="EndNoteBibliography"/>
        <w:ind w:left="720" w:hanging="720"/>
        <w:rPr>
          <w:noProof/>
        </w:rPr>
      </w:pPr>
      <w:r w:rsidRPr="00665AA9">
        <w:rPr>
          <w:noProof/>
        </w:rPr>
        <w:t xml:space="preserve">Wu, P., Song, Y., Zhu, J., &amp; Chang, R. (2019). Analyzing the influence factors of the carbon emissions from China's building and construction industry from 2000 to 2015. </w:t>
      </w:r>
      <w:r w:rsidRPr="00665AA9">
        <w:rPr>
          <w:i/>
          <w:noProof/>
        </w:rPr>
        <w:t>Journal of Cleaner Production</w:t>
      </w:r>
      <w:r w:rsidRPr="00665AA9">
        <w:rPr>
          <w:noProof/>
        </w:rPr>
        <w:t>,</w:t>
      </w:r>
      <w:r w:rsidRPr="00665AA9">
        <w:rPr>
          <w:i/>
          <w:noProof/>
        </w:rPr>
        <w:t xml:space="preserve"> 221</w:t>
      </w:r>
      <w:r w:rsidRPr="00665AA9">
        <w:rPr>
          <w:noProof/>
        </w:rPr>
        <w:t xml:space="preserve">, 552-566. </w:t>
      </w:r>
      <w:r w:rsidRPr="00BF0919">
        <w:rPr>
          <w:noProof/>
        </w:rPr>
        <w:t>https://doi.org/10.1016/j.jclepro.2019.02.200</w:t>
      </w:r>
      <w:r w:rsidRPr="00665AA9">
        <w:rPr>
          <w:noProof/>
        </w:rPr>
        <w:t xml:space="preserve"> </w:t>
      </w:r>
    </w:p>
    <w:p w14:paraId="59CD635B" w14:textId="77777777" w:rsidR="00BF0919" w:rsidRPr="00665AA9" w:rsidRDefault="00BF0919" w:rsidP="00665AA9">
      <w:pPr>
        <w:pStyle w:val="EndNoteBibliography"/>
        <w:ind w:left="720" w:hanging="720"/>
        <w:rPr>
          <w:noProof/>
        </w:rPr>
      </w:pPr>
      <w:r w:rsidRPr="00665AA9">
        <w:rPr>
          <w:noProof/>
        </w:rPr>
        <w:t xml:space="preserve">Xiao, J., Wang, C., Ding, T., &amp; Akbarnezhad, A. (2018). A recycled aggregate concrete high-rise building: Structural performance and embodied carbon footprint. </w:t>
      </w:r>
      <w:r w:rsidRPr="00665AA9">
        <w:rPr>
          <w:i/>
          <w:noProof/>
        </w:rPr>
        <w:t>Journal of Cleaner Production</w:t>
      </w:r>
      <w:r w:rsidRPr="00665AA9">
        <w:rPr>
          <w:noProof/>
        </w:rPr>
        <w:t>,</w:t>
      </w:r>
      <w:r w:rsidRPr="00665AA9">
        <w:rPr>
          <w:i/>
          <w:noProof/>
        </w:rPr>
        <w:t xml:space="preserve"> 199</w:t>
      </w:r>
      <w:r w:rsidRPr="00665AA9">
        <w:rPr>
          <w:noProof/>
        </w:rPr>
        <w:t xml:space="preserve">, 868-881. </w:t>
      </w:r>
      <w:r w:rsidRPr="00BF0919">
        <w:rPr>
          <w:noProof/>
        </w:rPr>
        <w:t>https://doi.org/10.1016/j.jclepro.2018.07.210</w:t>
      </w:r>
      <w:r w:rsidRPr="00665AA9">
        <w:rPr>
          <w:noProof/>
        </w:rPr>
        <w:t xml:space="preserve"> </w:t>
      </w:r>
    </w:p>
    <w:p w14:paraId="376992FE" w14:textId="77777777" w:rsidR="00BF0919" w:rsidRPr="00665AA9" w:rsidRDefault="00BF0919" w:rsidP="00665AA9">
      <w:pPr>
        <w:pStyle w:val="EndNoteBibliography"/>
        <w:ind w:left="720" w:hanging="720"/>
        <w:rPr>
          <w:noProof/>
        </w:rPr>
      </w:pPr>
      <w:r w:rsidRPr="00665AA9">
        <w:rPr>
          <w:noProof/>
        </w:rPr>
        <w:t xml:space="preserve">Xu, M., Daigger, G. T., Xi, C., Liu, J., Qu, J., Alvarez, P. J., Biswas, P., Chen, Y., Dolinoy, D., Fan, Y., Gao, H. O., Hao, J., He, H., Kammen, D. M., Lemos, M. C., Liu, F., Love, N. G., Lu, Y., Mauzerall, D. L., . . . Zhang, H. (2021). U.S.-China Collaboration is Vital to Global Plans for a Healthy Environment and Sustainable Development. </w:t>
      </w:r>
      <w:r w:rsidRPr="00665AA9">
        <w:rPr>
          <w:i/>
          <w:noProof/>
        </w:rPr>
        <w:t>Environ Sci Technol</w:t>
      </w:r>
      <w:r w:rsidRPr="00665AA9">
        <w:rPr>
          <w:noProof/>
        </w:rPr>
        <w:t>,</w:t>
      </w:r>
      <w:r w:rsidRPr="00665AA9">
        <w:rPr>
          <w:i/>
          <w:noProof/>
        </w:rPr>
        <w:t xml:space="preserve"> 55</w:t>
      </w:r>
      <w:r w:rsidRPr="00665AA9">
        <w:rPr>
          <w:noProof/>
        </w:rPr>
        <w:t xml:space="preserve">(14), 9622-9626. </w:t>
      </w:r>
      <w:r w:rsidRPr="00BF0919">
        <w:rPr>
          <w:noProof/>
        </w:rPr>
        <w:t>https://doi.org/10.1021/acs.est.0c08750</w:t>
      </w:r>
      <w:r w:rsidRPr="00665AA9">
        <w:rPr>
          <w:noProof/>
        </w:rPr>
        <w:t xml:space="preserve"> </w:t>
      </w:r>
    </w:p>
    <w:p w14:paraId="6838FA8E" w14:textId="77777777" w:rsidR="00BF0919" w:rsidRPr="00665AA9" w:rsidRDefault="00BF0919" w:rsidP="00665AA9">
      <w:pPr>
        <w:pStyle w:val="EndNoteBibliography"/>
        <w:ind w:left="720" w:hanging="720"/>
        <w:rPr>
          <w:noProof/>
        </w:rPr>
      </w:pPr>
      <w:r w:rsidRPr="00665AA9">
        <w:rPr>
          <w:noProof/>
        </w:rPr>
        <w:t xml:space="preserve">Xu, M., &amp; Liang, S. (2019). Input–output networks offer new insights of economic structure. </w:t>
      </w:r>
      <w:r w:rsidRPr="00665AA9">
        <w:rPr>
          <w:i/>
          <w:noProof/>
        </w:rPr>
        <w:t>Physica A: Statistical Mechanics and its Applications</w:t>
      </w:r>
      <w:r w:rsidRPr="00665AA9">
        <w:rPr>
          <w:noProof/>
        </w:rPr>
        <w:t>,</w:t>
      </w:r>
      <w:r w:rsidRPr="00665AA9">
        <w:rPr>
          <w:i/>
          <w:noProof/>
        </w:rPr>
        <w:t xml:space="preserve"> 527</w:t>
      </w:r>
      <w:r w:rsidRPr="00665AA9">
        <w:rPr>
          <w:noProof/>
        </w:rPr>
        <w:t xml:space="preserve">. </w:t>
      </w:r>
      <w:r w:rsidRPr="00BF0919">
        <w:rPr>
          <w:noProof/>
        </w:rPr>
        <w:t>https://doi.org/10.1016/j.physa.2019.121178</w:t>
      </w:r>
      <w:r w:rsidRPr="00665AA9">
        <w:rPr>
          <w:noProof/>
        </w:rPr>
        <w:t xml:space="preserve"> </w:t>
      </w:r>
    </w:p>
    <w:p w14:paraId="6CF10315" w14:textId="77777777" w:rsidR="00BF0919" w:rsidRPr="00665AA9" w:rsidRDefault="00BF0919" w:rsidP="00665AA9">
      <w:pPr>
        <w:pStyle w:val="EndNoteBibliography"/>
        <w:ind w:left="720" w:hanging="720"/>
        <w:rPr>
          <w:noProof/>
        </w:rPr>
      </w:pPr>
      <w:r w:rsidRPr="00665AA9">
        <w:rPr>
          <w:noProof/>
        </w:rPr>
        <w:t xml:space="preserve">Yang, K.-H., Jung, Y.-B., Cho, M.-S., &amp; Tae, S.-H. (2015). Effect of supplementary cementitious materials on reduction of CO2 emissions from concrete. </w:t>
      </w:r>
      <w:r w:rsidRPr="00665AA9">
        <w:rPr>
          <w:i/>
          <w:noProof/>
        </w:rPr>
        <w:t>Journal of Cleaner Production</w:t>
      </w:r>
      <w:r w:rsidRPr="00665AA9">
        <w:rPr>
          <w:noProof/>
        </w:rPr>
        <w:t>,</w:t>
      </w:r>
      <w:r w:rsidRPr="00665AA9">
        <w:rPr>
          <w:i/>
          <w:noProof/>
        </w:rPr>
        <w:t xml:space="preserve"> 103</w:t>
      </w:r>
      <w:r w:rsidRPr="00665AA9">
        <w:rPr>
          <w:noProof/>
        </w:rPr>
        <w:t xml:space="preserve">, 774-783. </w:t>
      </w:r>
      <w:r w:rsidRPr="00BF0919">
        <w:rPr>
          <w:noProof/>
        </w:rPr>
        <w:t>https://doi.org/10.1016/j.jclepro.2014.03.018</w:t>
      </w:r>
      <w:r w:rsidRPr="00665AA9">
        <w:rPr>
          <w:noProof/>
        </w:rPr>
        <w:t xml:space="preserve"> </w:t>
      </w:r>
    </w:p>
    <w:p w14:paraId="7510333D" w14:textId="77777777" w:rsidR="00BF0919" w:rsidRPr="00665AA9" w:rsidRDefault="00BF0919" w:rsidP="00665AA9">
      <w:pPr>
        <w:pStyle w:val="EndNoteBibliography"/>
        <w:ind w:left="720" w:hanging="720"/>
        <w:rPr>
          <w:noProof/>
        </w:rPr>
      </w:pPr>
      <w:r w:rsidRPr="00665AA9">
        <w:rPr>
          <w:noProof/>
        </w:rPr>
        <w:t xml:space="preserve">Yang, K.-H., Song, J.-K., &amp; Song, K.-I. (2013). Assessment of CO2 reduction of alkali-activated concrete. </w:t>
      </w:r>
      <w:r w:rsidRPr="00665AA9">
        <w:rPr>
          <w:i/>
          <w:noProof/>
        </w:rPr>
        <w:t>Journal of Cleaner Production</w:t>
      </w:r>
      <w:r w:rsidRPr="00665AA9">
        <w:rPr>
          <w:noProof/>
        </w:rPr>
        <w:t>,</w:t>
      </w:r>
      <w:r w:rsidRPr="00665AA9">
        <w:rPr>
          <w:i/>
          <w:noProof/>
        </w:rPr>
        <w:t xml:space="preserve"> 39</w:t>
      </w:r>
      <w:r w:rsidRPr="00665AA9">
        <w:rPr>
          <w:noProof/>
        </w:rPr>
        <w:t xml:space="preserve">, 265-272. </w:t>
      </w:r>
      <w:r w:rsidRPr="00BF0919">
        <w:rPr>
          <w:noProof/>
        </w:rPr>
        <w:t>https://doi.org/10.1016/j.jclepro.2012.08.001</w:t>
      </w:r>
      <w:r w:rsidRPr="00665AA9">
        <w:rPr>
          <w:noProof/>
        </w:rPr>
        <w:t xml:space="preserve"> </w:t>
      </w:r>
    </w:p>
    <w:p w14:paraId="098A99AF" w14:textId="77777777" w:rsidR="00BF0919" w:rsidRPr="00665AA9" w:rsidRDefault="00BF0919" w:rsidP="00665AA9">
      <w:pPr>
        <w:pStyle w:val="EndNoteBibliography"/>
        <w:ind w:left="720" w:hanging="720"/>
        <w:rPr>
          <w:noProof/>
        </w:rPr>
      </w:pPr>
      <w:r w:rsidRPr="00665AA9">
        <w:rPr>
          <w:noProof/>
        </w:rPr>
        <w:t xml:space="preserve">Yang, K. H., Seo, E. A., &amp; Choi, D. U. (2014). Effect of Fly Ash on LifeCycle CO&lt;sub&gt;2&lt;/sub&gt; Assessment of Concrete Structure. </w:t>
      </w:r>
      <w:r w:rsidRPr="00665AA9">
        <w:rPr>
          <w:i/>
          <w:noProof/>
        </w:rPr>
        <w:t>Applied Mechanics and Materials</w:t>
      </w:r>
      <w:r w:rsidRPr="00665AA9">
        <w:rPr>
          <w:noProof/>
        </w:rPr>
        <w:t>,</w:t>
      </w:r>
      <w:r w:rsidRPr="00665AA9">
        <w:rPr>
          <w:i/>
          <w:noProof/>
        </w:rPr>
        <w:t xml:space="preserve"> 692</w:t>
      </w:r>
      <w:r w:rsidRPr="00665AA9">
        <w:rPr>
          <w:noProof/>
        </w:rPr>
        <w:t xml:space="preserve">, 475-481. </w:t>
      </w:r>
      <w:r w:rsidRPr="00BF0919">
        <w:rPr>
          <w:noProof/>
        </w:rPr>
        <w:t>https://doi.org/10.4028/www.scientific.net/AMM.692.475</w:t>
      </w:r>
      <w:r w:rsidRPr="00665AA9">
        <w:rPr>
          <w:noProof/>
        </w:rPr>
        <w:t xml:space="preserve"> </w:t>
      </w:r>
    </w:p>
    <w:p w14:paraId="25367F0E" w14:textId="77777777" w:rsidR="00BF0919" w:rsidRPr="00665AA9" w:rsidRDefault="00BF0919" w:rsidP="00665AA9">
      <w:pPr>
        <w:pStyle w:val="EndNoteBibliography"/>
        <w:ind w:left="720" w:hanging="720"/>
        <w:rPr>
          <w:noProof/>
        </w:rPr>
      </w:pPr>
      <w:r w:rsidRPr="00665AA9">
        <w:rPr>
          <w:noProof/>
        </w:rPr>
        <w:t xml:space="preserve">Yang, Y., Chen, B., Zeng, W., Li, Y., Chen, Q., Guo, W., Wang, H., &amp; Chen, Y. (2021). Utilization of completely recycled fine aggregate for preparation of lightweight concrete partition panels. </w:t>
      </w:r>
      <w:r w:rsidRPr="00665AA9">
        <w:rPr>
          <w:i/>
          <w:noProof/>
        </w:rPr>
        <w:t>International Journal of Concrete Structures and Materials</w:t>
      </w:r>
      <w:r w:rsidRPr="00665AA9">
        <w:rPr>
          <w:noProof/>
        </w:rPr>
        <w:t>,</w:t>
      </w:r>
      <w:r w:rsidRPr="00665AA9">
        <w:rPr>
          <w:i/>
          <w:noProof/>
        </w:rPr>
        <w:t xml:space="preserve"> 15</w:t>
      </w:r>
      <w:r w:rsidRPr="00665AA9">
        <w:rPr>
          <w:noProof/>
        </w:rPr>
        <w:t xml:space="preserve">(1), 1-11. </w:t>
      </w:r>
      <w:r w:rsidRPr="00BF0919">
        <w:rPr>
          <w:noProof/>
        </w:rPr>
        <w:t>https://doi.org/10.1186/s40069-021-00470-z</w:t>
      </w:r>
      <w:r w:rsidRPr="00665AA9">
        <w:rPr>
          <w:noProof/>
        </w:rPr>
        <w:t xml:space="preserve"> </w:t>
      </w:r>
    </w:p>
    <w:p w14:paraId="36B50392" w14:textId="77777777" w:rsidR="00BF0919" w:rsidRPr="00665AA9" w:rsidRDefault="00BF0919" w:rsidP="00665AA9">
      <w:pPr>
        <w:pStyle w:val="EndNoteBibliography"/>
        <w:ind w:left="720" w:hanging="720"/>
        <w:rPr>
          <w:noProof/>
        </w:rPr>
      </w:pPr>
      <w:r w:rsidRPr="00665AA9">
        <w:rPr>
          <w:rFonts w:hint="eastAsia"/>
          <w:noProof/>
        </w:rPr>
        <w:t>Yao, Y., Hu, M., Di Maio, F., &amp; Cucurachi, S. (2019). Life cycle assessment of 3D printing geo</w:t>
      </w:r>
      <w:r w:rsidRPr="00665AA9">
        <w:rPr>
          <w:rFonts w:hint="eastAsia"/>
          <w:noProof/>
        </w:rPr>
        <w:t>‐</w:t>
      </w:r>
      <w:r w:rsidRPr="00665AA9">
        <w:rPr>
          <w:rFonts w:hint="eastAsia"/>
          <w:noProof/>
        </w:rPr>
        <w:t>polymer concrete: An ex</w:t>
      </w:r>
      <w:r w:rsidRPr="00665AA9">
        <w:rPr>
          <w:rFonts w:hint="eastAsia"/>
          <w:noProof/>
        </w:rPr>
        <w:t>‐</w:t>
      </w:r>
      <w:r w:rsidRPr="00665AA9">
        <w:rPr>
          <w:rFonts w:hint="eastAsia"/>
          <w:noProof/>
        </w:rPr>
        <w:t xml:space="preserve">ante study. </w:t>
      </w:r>
      <w:r w:rsidRPr="00665AA9">
        <w:rPr>
          <w:rFonts w:hint="eastAsia"/>
          <w:i/>
          <w:noProof/>
        </w:rPr>
        <w:t>Journal of Industrial Ecology</w:t>
      </w:r>
      <w:r w:rsidRPr="00665AA9">
        <w:rPr>
          <w:rFonts w:hint="eastAsia"/>
          <w:noProof/>
        </w:rPr>
        <w:t>,</w:t>
      </w:r>
      <w:r w:rsidRPr="00665AA9">
        <w:rPr>
          <w:rFonts w:hint="eastAsia"/>
          <w:i/>
          <w:noProof/>
        </w:rPr>
        <w:t xml:space="preserve"> 24</w:t>
      </w:r>
      <w:r w:rsidRPr="00665AA9">
        <w:rPr>
          <w:rFonts w:hint="eastAsia"/>
          <w:noProof/>
        </w:rPr>
        <w:t xml:space="preserve">(1), 116-127. </w:t>
      </w:r>
      <w:r w:rsidRPr="00BF0919">
        <w:rPr>
          <w:rFonts w:hint="eastAsia"/>
          <w:noProof/>
        </w:rPr>
        <w:t>https://doi.org/10.1111/jiec.12930</w:t>
      </w:r>
      <w:r w:rsidRPr="00665AA9">
        <w:rPr>
          <w:rFonts w:hint="eastAsia"/>
          <w:noProof/>
        </w:rPr>
        <w:t xml:space="preserve"> </w:t>
      </w:r>
    </w:p>
    <w:p w14:paraId="5956B674" w14:textId="77777777" w:rsidR="00BF0919" w:rsidRPr="00665AA9" w:rsidRDefault="00BF0919" w:rsidP="00665AA9">
      <w:pPr>
        <w:pStyle w:val="EndNoteBibliography"/>
        <w:ind w:left="720" w:hanging="720"/>
        <w:rPr>
          <w:noProof/>
        </w:rPr>
      </w:pPr>
      <w:r w:rsidRPr="00665AA9">
        <w:rPr>
          <w:noProof/>
        </w:rPr>
        <w:t xml:space="preserve">Yazdanbakhsh, A., Bank, L. C., Baez, T., &amp; Wernick, I. (2017). Comparative LCA of concrete with natural and recycled coarse aggregate in the New York City area. </w:t>
      </w:r>
      <w:r w:rsidRPr="00665AA9">
        <w:rPr>
          <w:i/>
          <w:noProof/>
        </w:rPr>
        <w:t>The International Journal of Life Cycle Assessment</w:t>
      </w:r>
      <w:r w:rsidRPr="00665AA9">
        <w:rPr>
          <w:noProof/>
        </w:rPr>
        <w:t>,</w:t>
      </w:r>
      <w:r w:rsidRPr="00665AA9">
        <w:rPr>
          <w:i/>
          <w:noProof/>
        </w:rPr>
        <w:t xml:space="preserve"> 23</w:t>
      </w:r>
      <w:r w:rsidRPr="00665AA9">
        <w:rPr>
          <w:noProof/>
        </w:rPr>
        <w:t xml:space="preserve">(6), 1163-1173. </w:t>
      </w:r>
      <w:r w:rsidRPr="00BF0919">
        <w:rPr>
          <w:noProof/>
        </w:rPr>
        <w:t>https://doi.org/10.1007/s11367-017-1360-5</w:t>
      </w:r>
      <w:r w:rsidRPr="00665AA9">
        <w:rPr>
          <w:noProof/>
        </w:rPr>
        <w:t xml:space="preserve"> </w:t>
      </w:r>
    </w:p>
    <w:p w14:paraId="6EA265BE" w14:textId="77777777" w:rsidR="00BF0919" w:rsidRPr="00665AA9" w:rsidRDefault="00BF0919" w:rsidP="00665AA9">
      <w:pPr>
        <w:pStyle w:val="EndNoteBibliography"/>
        <w:ind w:left="720" w:hanging="720"/>
        <w:rPr>
          <w:noProof/>
        </w:rPr>
      </w:pPr>
      <w:r w:rsidRPr="00665AA9">
        <w:rPr>
          <w:noProof/>
        </w:rPr>
        <w:t xml:space="preserve">Zhang, J., Li, H., Zhao, Y., &amp; Ren, G. (2018). An ontology-based approach supporting holistic structural design with the consideration of safety, environmental impact and cost. </w:t>
      </w:r>
      <w:r w:rsidRPr="00665AA9">
        <w:rPr>
          <w:i/>
          <w:noProof/>
        </w:rPr>
        <w:t>Advances in Engineering Software</w:t>
      </w:r>
      <w:r w:rsidRPr="00665AA9">
        <w:rPr>
          <w:noProof/>
        </w:rPr>
        <w:t>,</w:t>
      </w:r>
      <w:r w:rsidRPr="00665AA9">
        <w:rPr>
          <w:i/>
          <w:noProof/>
        </w:rPr>
        <w:t xml:space="preserve"> 115</w:t>
      </w:r>
      <w:r w:rsidRPr="00665AA9">
        <w:rPr>
          <w:noProof/>
        </w:rPr>
        <w:t xml:space="preserve">, 26-39. </w:t>
      </w:r>
      <w:r w:rsidRPr="00BF0919">
        <w:rPr>
          <w:noProof/>
        </w:rPr>
        <w:t>https://doi.org/10.1016/j.advengsoft.2017.08.010</w:t>
      </w:r>
      <w:r w:rsidRPr="00665AA9">
        <w:rPr>
          <w:noProof/>
        </w:rPr>
        <w:t xml:space="preserve"> </w:t>
      </w:r>
    </w:p>
    <w:p w14:paraId="67260F8D" w14:textId="77777777" w:rsidR="00BF0919" w:rsidRPr="00665AA9" w:rsidRDefault="00BF0919" w:rsidP="00665AA9">
      <w:pPr>
        <w:pStyle w:val="EndNoteBibliography"/>
        <w:ind w:left="720" w:hanging="720"/>
        <w:rPr>
          <w:noProof/>
        </w:rPr>
      </w:pPr>
      <w:r w:rsidRPr="00665AA9">
        <w:rPr>
          <w:noProof/>
        </w:rPr>
        <w:t xml:space="preserve">Zhang, Y., Zhang, J., Luo, W., Wang, J., Shi, J., Zhuang, H., &amp; Wang, Y. (2019). Effect of compressive strength and chloride diffusion on life cycle CO2 assessment of concrete containing supplementary cementitious materials. </w:t>
      </w:r>
      <w:r w:rsidRPr="00665AA9">
        <w:rPr>
          <w:i/>
          <w:noProof/>
        </w:rPr>
        <w:t>Journal of Cleaner Production</w:t>
      </w:r>
      <w:r w:rsidRPr="00665AA9">
        <w:rPr>
          <w:noProof/>
        </w:rPr>
        <w:t>,</w:t>
      </w:r>
      <w:r w:rsidRPr="00665AA9">
        <w:rPr>
          <w:i/>
          <w:noProof/>
        </w:rPr>
        <w:t xml:space="preserve"> 218</w:t>
      </w:r>
      <w:r w:rsidRPr="00665AA9">
        <w:rPr>
          <w:noProof/>
        </w:rPr>
        <w:t xml:space="preserve">, 450-458. </w:t>
      </w:r>
      <w:r w:rsidRPr="00BF0919">
        <w:rPr>
          <w:noProof/>
        </w:rPr>
        <w:t>https://doi.org/10.1016/j.jclepro.2019.01.335</w:t>
      </w:r>
      <w:r w:rsidRPr="00665AA9">
        <w:rPr>
          <w:noProof/>
        </w:rPr>
        <w:t xml:space="preserve"> </w:t>
      </w:r>
    </w:p>
    <w:p w14:paraId="3A2F72DC" w14:textId="77777777" w:rsidR="00BF0919" w:rsidRPr="00665AA9" w:rsidRDefault="00BF0919" w:rsidP="00665AA9">
      <w:pPr>
        <w:pStyle w:val="EndNoteBibliography"/>
        <w:ind w:left="720" w:hanging="720"/>
        <w:rPr>
          <w:noProof/>
        </w:rPr>
      </w:pPr>
      <w:r w:rsidRPr="00665AA9">
        <w:rPr>
          <w:noProof/>
        </w:rPr>
        <w:t xml:space="preserve">Zhao, H., Sun, W., Wu, X., &amp; Gao, B. (2022). Sustainable self-compacting concrete containing high-amount industrial by-product fly ash as supplementary cementitious materials. </w:t>
      </w:r>
      <w:r w:rsidRPr="00665AA9">
        <w:rPr>
          <w:i/>
          <w:noProof/>
        </w:rPr>
        <w:t>Environ Sci Pollut Res Int</w:t>
      </w:r>
      <w:r w:rsidRPr="00665AA9">
        <w:rPr>
          <w:noProof/>
        </w:rPr>
        <w:t>,</w:t>
      </w:r>
      <w:r w:rsidRPr="00665AA9">
        <w:rPr>
          <w:i/>
          <w:noProof/>
        </w:rPr>
        <w:t xml:space="preserve"> 29</w:t>
      </w:r>
      <w:r w:rsidRPr="00665AA9">
        <w:rPr>
          <w:noProof/>
        </w:rPr>
        <w:t xml:space="preserve">(3), 3616-3628. </w:t>
      </w:r>
      <w:r w:rsidRPr="00BF0919">
        <w:rPr>
          <w:noProof/>
        </w:rPr>
        <w:t>https://doi.org/10.1007/s11356-021-15883-2</w:t>
      </w:r>
      <w:r w:rsidRPr="00665AA9">
        <w:rPr>
          <w:noProof/>
        </w:rPr>
        <w:t xml:space="preserve"> </w:t>
      </w:r>
    </w:p>
    <w:p w14:paraId="49562535" w14:textId="77777777" w:rsidR="00BF0919" w:rsidRPr="00665AA9" w:rsidRDefault="00BF0919" w:rsidP="00665AA9">
      <w:pPr>
        <w:pStyle w:val="EndNoteBibliography"/>
        <w:ind w:left="720" w:hanging="720"/>
        <w:rPr>
          <w:noProof/>
        </w:rPr>
      </w:pPr>
      <w:r w:rsidRPr="00665AA9">
        <w:rPr>
          <w:noProof/>
        </w:rPr>
        <w:t xml:space="preserve">Zhao, Y., Qiu, J., Xing, J., &amp; Sun, X. (2020). Recycling of quarry dust for supplementary cementitious materials in low carbon cement. </w:t>
      </w:r>
      <w:r w:rsidRPr="00665AA9">
        <w:rPr>
          <w:i/>
          <w:noProof/>
        </w:rPr>
        <w:t>Construction and Building Materials</w:t>
      </w:r>
      <w:r w:rsidRPr="00665AA9">
        <w:rPr>
          <w:noProof/>
        </w:rPr>
        <w:t>,</w:t>
      </w:r>
      <w:r w:rsidRPr="00665AA9">
        <w:rPr>
          <w:i/>
          <w:noProof/>
        </w:rPr>
        <w:t xml:space="preserve"> 237</w:t>
      </w:r>
      <w:r w:rsidRPr="00665AA9">
        <w:rPr>
          <w:noProof/>
        </w:rPr>
        <w:t xml:space="preserve">. </w:t>
      </w:r>
      <w:r w:rsidRPr="00BF0919">
        <w:rPr>
          <w:noProof/>
        </w:rPr>
        <w:t>https://doi.org/10.1016/j.conbuildmat.2019.117608</w:t>
      </w:r>
      <w:r w:rsidRPr="00665AA9">
        <w:rPr>
          <w:noProof/>
        </w:rPr>
        <w:t xml:space="preserve"> </w:t>
      </w:r>
    </w:p>
    <w:bookmarkEnd w:id="13"/>
    <w:p w14:paraId="08DE4071" w14:textId="77777777" w:rsidR="00BF0919" w:rsidRDefault="00BF0919">
      <w:pPr>
        <w:rPr>
          <w:rFonts w:ascii="Times New Roman" w:hAnsi="Times New Roman" w:cs="Times New Roman"/>
          <w:color w:val="222222"/>
          <w:szCs w:val="21"/>
          <w:shd w:val="clear" w:color="auto" w:fill="FFFFFF"/>
        </w:rPr>
        <w:sectPr w:rsidR="00BF0919" w:rsidSect="00184E9E">
          <w:pgSz w:w="11906" w:h="16838" w:code="9"/>
          <w:pgMar w:top="1440" w:right="1797" w:bottom="1440" w:left="1797" w:header="851" w:footer="992" w:gutter="0"/>
          <w:lnNumType w:countBy="1" w:restart="continuous"/>
          <w:cols w:space="425"/>
          <w:titlePg/>
          <w:docGrid w:type="lines" w:linePitch="312"/>
        </w:sectPr>
      </w:pPr>
    </w:p>
    <w:p w14:paraId="515AEEE4" w14:textId="77777777" w:rsidR="00BF0919" w:rsidRDefault="00BF0919" w:rsidP="00AF4387">
      <w:pPr>
        <w:pStyle w:val="Heading1"/>
      </w:pPr>
      <w:r>
        <w:lastRenderedPageBreak/>
        <w:t>Appendix</w:t>
      </w:r>
    </w:p>
    <w:p w14:paraId="288B7161" w14:textId="77777777" w:rsidR="00BF0919" w:rsidRPr="00AF0F57" w:rsidRDefault="00BF0919" w:rsidP="00AF0F57">
      <w:pPr>
        <w:jc w:val="center"/>
        <w:rPr>
          <w:sz w:val="18"/>
          <w:szCs w:val="18"/>
        </w:rPr>
      </w:pPr>
      <w:r>
        <w:rPr>
          <w:rFonts w:ascii="Times New Roman" w:eastAsia="Times New Roman" w:hAnsi="Times New Roman" w:cs="Times New Roman"/>
          <w:b/>
          <w:bCs/>
          <w:sz w:val="18"/>
          <w:szCs w:val="18"/>
        </w:rPr>
        <w:t xml:space="preserve">Table 5 </w:t>
      </w:r>
      <w:r>
        <w:rPr>
          <w:rFonts w:ascii="Times New Roman" w:hAnsi="Times New Roman" w:cs="Times New Roman"/>
          <w:sz w:val="18"/>
          <w:szCs w:val="18"/>
        </w:rPr>
        <w:t>O</w:t>
      </w:r>
      <w:r>
        <w:rPr>
          <w:rFonts w:ascii="Times New Roman" w:hAnsi="Times New Roman" w:cs="Times New Roman" w:hint="eastAsia"/>
          <w:sz w:val="18"/>
          <w:szCs w:val="18"/>
        </w:rPr>
        <w:t>verview</w:t>
      </w:r>
      <w:r>
        <w:rPr>
          <w:rFonts w:ascii="Times New Roman" w:hAnsi="Times New Roman" w:cs="Times New Roman"/>
          <w:sz w:val="18"/>
          <w:szCs w:val="18"/>
        </w:rPr>
        <w:t xml:space="preserve"> of the identified papers regarding the dialectical dimensions</w:t>
      </w:r>
    </w:p>
    <w:tbl>
      <w:tblPr>
        <w:tblStyle w:val="TableGrid"/>
        <w:tblW w:w="48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3"/>
        <w:gridCol w:w="241"/>
        <w:gridCol w:w="241"/>
        <w:gridCol w:w="241"/>
        <w:gridCol w:w="241"/>
        <w:gridCol w:w="241"/>
        <w:gridCol w:w="241"/>
        <w:gridCol w:w="232"/>
        <w:gridCol w:w="233"/>
        <w:gridCol w:w="233"/>
        <w:gridCol w:w="234"/>
        <w:gridCol w:w="234"/>
        <w:gridCol w:w="234"/>
        <w:gridCol w:w="234"/>
        <w:gridCol w:w="234"/>
        <w:gridCol w:w="234"/>
        <w:gridCol w:w="234"/>
        <w:gridCol w:w="234"/>
        <w:gridCol w:w="234"/>
        <w:gridCol w:w="280"/>
        <w:gridCol w:w="244"/>
        <w:gridCol w:w="244"/>
        <w:gridCol w:w="221"/>
        <w:gridCol w:w="221"/>
        <w:gridCol w:w="221"/>
        <w:gridCol w:w="221"/>
        <w:gridCol w:w="211"/>
        <w:gridCol w:w="211"/>
        <w:gridCol w:w="211"/>
        <w:gridCol w:w="247"/>
        <w:gridCol w:w="454"/>
        <w:gridCol w:w="359"/>
        <w:gridCol w:w="4047"/>
        <w:gridCol w:w="199"/>
        <w:gridCol w:w="199"/>
        <w:gridCol w:w="199"/>
        <w:gridCol w:w="199"/>
        <w:gridCol w:w="165"/>
      </w:tblGrid>
      <w:tr w:rsidR="00BF0919" w:rsidRPr="00015C1D" w14:paraId="0E43B0EB" w14:textId="77777777" w:rsidTr="00A8541E">
        <w:trPr>
          <w:trHeight w:val="284"/>
          <w:jc w:val="center"/>
        </w:trPr>
        <w:tc>
          <w:tcPr>
            <w:tcW w:w="1057" w:type="dxa"/>
            <w:vMerge w:val="restart"/>
            <w:tcBorders>
              <w:top w:val="single" w:sz="4" w:space="0" w:color="auto"/>
            </w:tcBorders>
            <w:vAlign w:val="center"/>
            <w:hideMark/>
          </w:tcPr>
          <w:p w14:paraId="088953D5" w14:textId="77777777" w:rsidR="00BF0919" w:rsidRPr="00962D42" w:rsidRDefault="00BF0919" w:rsidP="0064280E">
            <w:pPr>
              <w:jc w:val="center"/>
              <w:rPr>
                <w:rFonts w:ascii="Times New Roman" w:hAnsi="Times New Roman" w:cs="Times New Roman"/>
                <w:sz w:val="18"/>
                <w:szCs w:val="18"/>
              </w:rPr>
            </w:pPr>
            <w:bookmarkStart w:id="14" w:name="_Hlk101991763"/>
            <w:r w:rsidRPr="00962D42">
              <w:rPr>
                <w:rFonts w:ascii="Times New Roman" w:hAnsi="Times New Roman" w:cs="Times New Roman"/>
                <w:sz w:val="18"/>
                <w:szCs w:val="18"/>
              </w:rPr>
              <w:t>Paper</w:t>
            </w:r>
          </w:p>
        </w:tc>
        <w:tc>
          <w:tcPr>
            <w:tcW w:w="4292" w:type="dxa"/>
            <w:gridSpan w:val="18"/>
            <w:tcBorders>
              <w:top w:val="single" w:sz="4" w:space="0" w:color="auto"/>
              <w:bottom w:val="single" w:sz="4" w:space="0" w:color="auto"/>
            </w:tcBorders>
            <w:vAlign w:val="center"/>
            <w:hideMark/>
          </w:tcPr>
          <w:p w14:paraId="1761D1B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Conceptual dimension</w:t>
            </w:r>
          </w:p>
        </w:tc>
        <w:tc>
          <w:tcPr>
            <w:tcW w:w="3325" w:type="dxa"/>
            <w:gridSpan w:val="13"/>
            <w:tcBorders>
              <w:top w:val="single" w:sz="4" w:space="0" w:color="auto"/>
              <w:bottom w:val="single" w:sz="4" w:space="0" w:color="auto"/>
            </w:tcBorders>
            <w:vAlign w:val="center"/>
          </w:tcPr>
          <w:p w14:paraId="1EB65FC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Methodological dimension</w:t>
            </w:r>
          </w:p>
        </w:tc>
        <w:tc>
          <w:tcPr>
            <w:tcW w:w="5002" w:type="dxa"/>
            <w:gridSpan w:val="6"/>
            <w:tcBorders>
              <w:top w:val="single" w:sz="4" w:space="0" w:color="auto"/>
              <w:bottom w:val="single" w:sz="4" w:space="0" w:color="auto"/>
            </w:tcBorders>
            <w:vAlign w:val="center"/>
            <w:hideMark/>
          </w:tcPr>
          <w:p w14:paraId="5585EF8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Value dimension</w:t>
            </w:r>
          </w:p>
        </w:tc>
      </w:tr>
      <w:tr w:rsidR="00BF0919" w:rsidRPr="00015C1D" w14:paraId="56B6B557" w14:textId="77777777" w:rsidTr="00A8541E">
        <w:trPr>
          <w:trHeight w:val="170"/>
          <w:jc w:val="center"/>
        </w:trPr>
        <w:tc>
          <w:tcPr>
            <w:tcW w:w="1057" w:type="dxa"/>
            <w:vMerge/>
            <w:vAlign w:val="center"/>
            <w:hideMark/>
          </w:tcPr>
          <w:p w14:paraId="55E6DFCB" w14:textId="77777777" w:rsidR="00BF0919" w:rsidRPr="00962D42" w:rsidRDefault="00BF0919" w:rsidP="0064280E">
            <w:pPr>
              <w:jc w:val="center"/>
              <w:rPr>
                <w:rFonts w:ascii="Times New Roman" w:hAnsi="Times New Roman" w:cs="Times New Roman"/>
                <w:sz w:val="18"/>
                <w:szCs w:val="18"/>
              </w:rPr>
            </w:pPr>
          </w:p>
        </w:tc>
        <w:tc>
          <w:tcPr>
            <w:tcW w:w="1464" w:type="dxa"/>
            <w:gridSpan w:val="6"/>
            <w:tcBorders>
              <w:top w:val="single" w:sz="4" w:space="0" w:color="auto"/>
              <w:bottom w:val="single" w:sz="4" w:space="0" w:color="auto"/>
            </w:tcBorders>
            <w:vAlign w:val="center"/>
            <w:hideMark/>
          </w:tcPr>
          <w:p w14:paraId="15243FF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Life cycle stages for EC assessment</w:t>
            </w:r>
          </w:p>
        </w:tc>
        <w:tc>
          <w:tcPr>
            <w:tcW w:w="940" w:type="dxa"/>
            <w:gridSpan w:val="4"/>
            <w:tcBorders>
              <w:top w:val="single" w:sz="4" w:space="0" w:color="auto"/>
              <w:bottom w:val="single" w:sz="4" w:space="0" w:color="auto"/>
            </w:tcBorders>
            <w:vAlign w:val="center"/>
            <w:hideMark/>
          </w:tcPr>
          <w:p w14:paraId="2AB6E3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Geographic scope</w:t>
            </w:r>
          </w:p>
        </w:tc>
        <w:tc>
          <w:tcPr>
            <w:tcW w:w="1888" w:type="dxa"/>
            <w:gridSpan w:val="8"/>
            <w:tcBorders>
              <w:top w:val="single" w:sz="4" w:space="0" w:color="auto"/>
              <w:bottom w:val="single" w:sz="4" w:space="0" w:color="auto"/>
            </w:tcBorders>
            <w:vAlign w:val="center"/>
            <w:hideMark/>
          </w:tcPr>
          <w:p w14:paraId="4530B73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Low carbon materials</w:t>
            </w:r>
          </w:p>
        </w:tc>
        <w:tc>
          <w:tcPr>
            <w:tcW w:w="756" w:type="dxa"/>
            <w:gridSpan w:val="3"/>
            <w:tcBorders>
              <w:top w:val="single" w:sz="4" w:space="0" w:color="auto"/>
              <w:bottom w:val="single" w:sz="4" w:space="0" w:color="auto"/>
            </w:tcBorders>
            <w:vAlign w:val="center"/>
            <w:hideMark/>
          </w:tcPr>
          <w:p w14:paraId="78F1CF3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LCA method</w:t>
            </w:r>
          </w:p>
        </w:tc>
        <w:tc>
          <w:tcPr>
            <w:tcW w:w="892" w:type="dxa"/>
            <w:gridSpan w:val="4"/>
            <w:tcBorders>
              <w:top w:val="single" w:sz="4" w:space="0" w:color="auto"/>
              <w:bottom w:val="single" w:sz="4" w:space="0" w:color="auto"/>
            </w:tcBorders>
            <w:vAlign w:val="center"/>
            <w:hideMark/>
          </w:tcPr>
          <w:p w14:paraId="6FA72BB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Unit of analysis</w:t>
            </w:r>
          </w:p>
        </w:tc>
        <w:tc>
          <w:tcPr>
            <w:tcW w:w="870" w:type="dxa"/>
            <w:gridSpan w:val="4"/>
            <w:tcBorders>
              <w:top w:val="single" w:sz="4" w:space="0" w:color="auto"/>
              <w:bottom w:val="single" w:sz="4" w:space="0" w:color="auto"/>
            </w:tcBorders>
            <w:vAlign w:val="center"/>
          </w:tcPr>
          <w:p w14:paraId="7B4541A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Research Method</w:t>
            </w:r>
          </w:p>
        </w:tc>
        <w:tc>
          <w:tcPr>
            <w:tcW w:w="807" w:type="dxa"/>
            <w:gridSpan w:val="2"/>
            <w:tcBorders>
              <w:top w:val="single" w:sz="4" w:space="0" w:color="auto"/>
              <w:bottom w:val="single" w:sz="4" w:space="0" w:color="auto"/>
            </w:tcBorders>
            <w:vAlign w:val="center"/>
            <w:hideMark/>
          </w:tcPr>
          <w:p w14:paraId="2AF3AD3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Sources of emissions</w:t>
            </w:r>
          </w:p>
        </w:tc>
        <w:tc>
          <w:tcPr>
            <w:tcW w:w="4031" w:type="dxa"/>
            <w:vMerge w:val="restart"/>
            <w:tcBorders>
              <w:top w:val="single" w:sz="4" w:space="0" w:color="auto"/>
            </w:tcBorders>
            <w:noWrap/>
            <w:vAlign w:val="center"/>
            <w:hideMark/>
          </w:tcPr>
          <w:p w14:paraId="61489D7F" w14:textId="77777777" w:rsidR="00BF0919" w:rsidRPr="00962D42" w:rsidRDefault="00BF0919" w:rsidP="0064280E">
            <w:pPr>
              <w:jc w:val="center"/>
              <w:rPr>
                <w:rFonts w:ascii="Times New Roman" w:hAnsi="Times New Roman" w:cs="Times New Roman"/>
                <w:sz w:val="18"/>
                <w:szCs w:val="18"/>
              </w:rPr>
            </w:pPr>
            <w:proofErr w:type="gramStart"/>
            <w:r w:rsidRPr="00962D42">
              <w:rPr>
                <w:rFonts w:ascii="Times New Roman" w:hAnsi="Times New Roman" w:cs="Times New Roman"/>
                <w:sz w:val="18"/>
                <w:szCs w:val="18"/>
              </w:rPr>
              <w:t>Binders</w:t>
            </w:r>
            <w:proofErr w:type="gramEnd"/>
            <w:r w:rsidRPr="00962D42">
              <w:rPr>
                <w:rFonts w:ascii="Times New Roman" w:hAnsi="Times New Roman" w:cs="Times New Roman"/>
                <w:sz w:val="18"/>
                <w:szCs w:val="18"/>
              </w:rPr>
              <w:t xml:space="preserve"> combinations</w:t>
            </w:r>
          </w:p>
        </w:tc>
        <w:tc>
          <w:tcPr>
            <w:tcW w:w="971" w:type="dxa"/>
            <w:gridSpan w:val="5"/>
            <w:tcBorders>
              <w:top w:val="single" w:sz="4" w:space="0" w:color="auto"/>
            </w:tcBorders>
            <w:vAlign w:val="center"/>
            <w:hideMark/>
          </w:tcPr>
          <w:p w14:paraId="39CF09C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Reduction efficiency (%)</w:t>
            </w:r>
          </w:p>
        </w:tc>
      </w:tr>
      <w:tr w:rsidR="00BF0919" w:rsidRPr="00015C1D" w14:paraId="459CB456" w14:textId="77777777" w:rsidTr="00A8541E">
        <w:trPr>
          <w:trHeight w:val="57"/>
          <w:jc w:val="center"/>
        </w:trPr>
        <w:tc>
          <w:tcPr>
            <w:tcW w:w="1057" w:type="dxa"/>
            <w:vMerge/>
            <w:vAlign w:val="center"/>
            <w:hideMark/>
          </w:tcPr>
          <w:p w14:paraId="3A579E3A" w14:textId="77777777" w:rsidR="00BF0919" w:rsidRPr="00962D42" w:rsidRDefault="00BF0919" w:rsidP="0064280E">
            <w:pPr>
              <w:jc w:val="center"/>
              <w:rPr>
                <w:rFonts w:ascii="Times New Roman" w:hAnsi="Times New Roman" w:cs="Times New Roman"/>
                <w:sz w:val="18"/>
                <w:szCs w:val="18"/>
              </w:rPr>
            </w:pPr>
          </w:p>
        </w:tc>
        <w:tc>
          <w:tcPr>
            <w:tcW w:w="244" w:type="dxa"/>
            <w:tcBorders>
              <w:top w:val="single" w:sz="4" w:space="0" w:color="auto"/>
            </w:tcBorders>
            <w:vAlign w:val="center"/>
          </w:tcPr>
          <w:p w14:paraId="4E5DE5D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A1</w:t>
            </w:r>
          </w:p>
        </w:tc>
        <w:tc>
          <w:tcPr>
            <w:tcW w:w="244" w:type="dxa"/>
            <w:tcBorders>
              <w:top w:val="single" w:sz="4" w:space="0" w:color="auto"/>
            </w:tcBorders>
            <w:vAlign w:val="center"/>
          </w:tcPr>
          <w:p w14:paraId="03467F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A2</w:t>
            </w:r>
          </w:p>
        </w:tc>
        <w:tc>
          <w:tcPr>
            <w:tcW w:w="244" w:type="dxa"/>
            <w:tcBorders>
              <w:top w:val="single" w:sz="4" w:space="0" w:color="auto"/>
            </w:tcBorders>
            <w:vAlign w:val="center"/>
          </w:tcPr>
          <w:p w14:paraId="429480F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A3</w:t>
            </w:r>
          </w:p>
        </w:tc>
        <w:tc>
          <w:tcPr>
            <w:tcW w:w="244" w:type="dxa"/>
            <w:tcBorders>
              <w:top w:val="single" w:sz="4" w:space="0" w:color="auto"/>
            </w:tcBorders>
            <w:vAlign w:val="center"/>
          </w:tcPr>
          <w:p w14:paraId="56259A2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A4</w:t>
            </w:r>
          </w:p>
        </w:tc>
        <w:tc>
          <w:tcPr>
            <w:tcW w:w="244" w:type="dxa"/>
            <w:tcBorders>
              <w:top w:val="single" w:sz="4" w:space="0" w:color="auto"/>
            </w:tcBorders>
            <w:vAlign w:val="center"/>
          </w:tcPr>
          <w:p w14:paraId="7B97504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A5</w:t>
            </w:r>
          </w:p>
        </w:tc>
        <w:tc>
          <w:tcPr>
            <w:tcW w:w="244" w:type="dxa"/>
            <w:tcBorders>
              <w:top w:val="single" w:sz="4" w:space="0" w:color="auto"/>
            </w:tcBorders>
            <w:vAlign w:val="center"/>
          </w:tcPr>
          <w:p w14:paraId="76F0E2D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A6</w:t>
            </w:r>
          </w:p>
        </w:tc>
        <w:tc>
          <w:tcPr>
            <w:tcW w:w="234" w:type="dxa"/>
            <w:tcBorders>
              <w:top w:val="single" w:sz="4" w:space="0" w:color="auto"/>
            </w:tcBorders>
            <w:vAlign w:val="center"/>
          </w:tcPr>
          <w:p w14:paraId="123BC4A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B1</w:t>
            </w:r>
          </w:p>
        </w:tc>
        <w:tc>
          <w:tcPr>
            <w:tcW w:w="235" w:type="dxa"/>
            <w:tcBorders>
              <w:top w:val="single" w:sz="4" w:space="0" w:color="auto"/>
            </w:tcBorders>
            <w:vAlign w:val="center"/>
          </w:tcPr>
          <w:p w14:paraId="19F3ED1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B2</w:t>
            </w:r>
          </w:p>
        </w:tc>
        <w:tc>
          <w:tcPr>
            <w:tcW w:w="235" w:type="dxa"/>
            <w:tcBorders>
              <w:top w:val="single" w:sz="4" w:space="0" w:color="auto"/>
            </w:tcBorders>
            <w:vAlign w:val="center"/>
          </w:tcPr>
          <w:p w14:paraId="3DDB94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B3</w:t>
            </w:r>
          </w:p>
        </w:tc>
        <w:tc>
          <w:tcPr>
            <w:tcW w:w="236" w:type="dxa"/>
            <w:tcBorders>
              <w:top w:val="single" w:sz="4" w:space="0" w:color="auto"/>
            </w:tcBorders>
            <w:vAlign w:val="center"/>
          </w:tcPr>
          <w:p w14:paraId="2BED0E7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B4</w:t>
            </w:r>
          </w:p>
        </w:tc>
        <w:tc>
          <w:tcPr>
            <w:tcW w:w="236" w:type="dxa"/>
            <w:tcBorders>
              <w:top w:val="single" w:sz="4" w:space="0" w:color="auto"/>
            </w:tcBorders>
            <w:vAlign w:val="center"/>
          </w:tcPr>
          <w:p w14:paraId="4050677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C1</w:t>
            </w:r>
          </w:p>
        </w:tc>
        <w:tc>
          <w:tcPr>
            <w:tcW w:w="236" w:type="dxa"/>
            <w:tcBorders>
              <w:top w:val="single" w:sz="4" w:space="0" w:color="auto"/>
            </w:tcBorders>
            <w:vAlign w:val="center"/>
          </w:tcPr>
          <w:p w14:paraId="679ED6B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C2</w:t>
            </w:r>
          </w:p>
        </w:tc>
        <w:tc>
          <w:tcPr>
            <w:tcW w:w="236" w:type="dxa"/>
            <w:tcBorders>
              <w:top w:val="single" w:sz="4" w:space="0" w:color="auto"/>
            </w:tcBorders>
            <w:vAlign w:val="center"/>
          </w:tcPr>
          <w:p w14:paraId="53A0F0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C3</w:t>
            </w:r>
          </w:p>
        </w:tc>
        <w:tc>
          <w:tcPr>
            <w:tcW w:w="236" w:type="dxa"/>
            <w:tcBorders>
              <w:top w:val="single" w:sz="4" w:space="0" w:color="auto"/>
            </w:tcBorders>
            <w:vAlign w:val="center"/>
          </w:tcPr>
          <w:p w14:paraId="6039D7B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C4</w:t>
            </w:r>
          </w:p>
        </w:tc>
        <w:tc>
          <w:tcPr>
            <w:tcW w:w="236" w:type="dxa"/>
            <w:tcBorders>
              <w:top w:val="single" w:sz="4" w:space="0" w:color="auto"/>
            </w:tcBorders>
            <w:vAlign w:val="center"/>
          </w:tcPr>
          <w:p w14:paraId="2614AC8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C5</w:t>
            </w:r>
          </w:p>
        </w:tc>
        <w:tc>
          <w:tcPr>
            <w:tcW w:w="236" w:type="dxa"/>
            <w:tcBorders>
              <w:top w:val="single" w:sz="4" w:space="0" w:color="auto"/>
            </w:tcBorders>
            <w:vAlign w:val="center"/>
          </w:tcPr>
          <w:p w14:paraId="022B30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C6</w:t>
            </w:r>
          </w:p>
        </w:tc>
        <w:tc>
          <w:tcPr>
            <w:tcW w:w="236" w:type="dxa"/>
            <w:tcBorders>
              <w:top w:val="single" w:sz="4" w:space="0" w:color="auto"/>
            </w:tcBorders>
            <w:vAlign w:val="center"/>
          </w:tcPr>
          <w:p w14:paraId="4DF166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C7</w:t>
            </w:r>
          </w:p>
        </w:tc>
        <w:tc>
          <w:tcPr>
            <w:tcW w:w="236" w:type="dxa"/>
            <w:tcBorders>
              <w:top w:val="single" w:sz="4" w:space="0" w:color="auto"/>
            </w:tcBorders>
            <w:vAlign w:val="center"/>
          </w:tcPr>
          <w:p w14:paraId="40E638E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C8</w:t>
            </w:r>
          </w:p>
        </w:tc>
        <w:tc>
          <w:tcPr>
            <w:tcW w:w="264" w:type="dxa"/>
            <w:tcBorders>
              <w:top w:val="single" w:sz="4" w:space="0" w:color="auto"/>
            </w:tcBorders>
            <w:vAlign w:val="center"/>
          </w:tcPr>
          <w:p w14:paraId="5B22D24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D1</w:t>
            </w:r>
          </w:p>
        </w:tc>
        <w:tc>
          <w:tcPr>
            <w:tcW w:w="246" w:type="dxa"/>
            <w:tcBorders>
              <w:top w:val="single" w:sz="4" w:space="0" w:color="auto"/>
            </w:tcBorders>
            <w:vAlign w:val="center"/>
          </w:tcPr>
          <w:p w14:paraId="61E918F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D2</w:t>
            </w:r>
          </w:p>
        </w:tc>
        <w:tc>
          <w:tcPr>
            <w:tcW w:w="246" w:type="dxa"/>
            <w:tcBorders>
              <w:top w:val="single" w:sz="4" w:space="0" w:color="auto"/>
            </w:tcBorders>
            <w:vAlign w:val="center"/>
          </w:tcPr>
          <w:p w14:paraId="466FF0F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D3</w:t>
            </w:r>
          </w:p>
        </w:tc>
        <w:tc>
          <w:tcPr>
            <w:tcW w:w="223" w:type="dxa"/>
            <w:tcBorders>
              <w:top w:val="single" w:sz="4" w:space="0" w:color="auto"/>
            </w:tcBorders>
            <w:vAlign w:val="center"/>
          </w:tcPr>
          <w:p w14:paraId="4F7CB5E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E1</w:t>
            </w:r>
          </w:p>
        </w:tc>
        <w:tc>
          <w:tcPr>
            <w:tcW w:w="223" w:type="dxa"/>
            <w:tcBorders>
              <w:top w:val="single" w:sz="4" w:space="0" w:color="auto"/>
            </w:tcBorders>
            <w:vAlign w:val="center"/>
          </w:tcPr>
          <w:p w14:paraId="7E5C691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E2</w:t>
            </w:r>
          </w:p>
        </w:tc>
        <w:tc>
          <w:tcPr>
            <w:tcW w:w="223" w:type="dxa"/>
            <w:tcBorders>
              <w:top w:val="single" w:sz="4" w:space="0" w:color="auto"/>
            </w:tcBorders>
            <w:vAlign w:val="center"/>
          </w:tcPr>
          <w:p w14:paraId="3A396ED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E3</w:t>
            </w:r>
          </w:p>
        </w:tc>
        <w:tc>
          <w:tcPr>
            <w:tcW w:w="223" w:type="dxa"/>
            <w:tcBorders>
              <w:top w:val="single" w:sz="4" w:space="0" w:color="auto"/>
            </w:tcBorders>
            <w:vAlign w:val="center"/>
          </w:tcPr>
          <w:p w14:paraId="485D87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E4</w:t>
            </w:r>
          </w:p>
        </w:tc>
        <w:tc>
          <w:tcPr>
            <w:tcW w:w="213" w:type="dxa"/>
            <w:tcBorders>
              <w:top w:val="single" w:sz="4" w:space="0" w:color="auto"/>
            </w:tcBorders>
            <w:vAlign w:val="center"/>
          </w:tcPr>
          <w:p w14:paraId="47137F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F1</w:t>
            </w:r>
          </w:p>
        </w:tc>
        <w:tc>
          <w:tcPr>
            <w:tcW w:w="213" w:type="dxa"/>
            <w:tcBorders>
              <w:top w:val="single" w:sz="4" w:space="0" w:color="auto"/>
            </w:tcBorders>
            <w:vAlign w:val="center"/>
          </w:tcPr>
          <w:p w14:paraId="51FCFFF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F2</w:t>
            </w:r>
          </w:p>
        </w:tc>
        <w:tc>
          <w:tcPr>
            <w:tcW w:w="213" w:type="dxa"/>
            <w:tcBorders>
              <w:top w:val="single" w:sz="4" w:space="0" w:color="auto"/>
            </w:tcBorders>
            <w:vAlign w:val="center"/>
          </w:tcPr>
          <w:p w14:paraId="71F396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F3</w:t>
            </w:r>
          </w:p>
        </w:tc>
        <w:tc>
          <w:tcPr>
            <w:tcW w:w="231" w:type="dxa"/>
            <w:tcBorders>
              <w:top w:val="single" w:sz="4" w:space="0" w:color="auto"/>
            </w:tcBorders>
            <w:vAlign w:val="center"/>
          </w:tcPr>
          <w:p w14:paraId="28E4269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F4</w:t>
            </w:r>
          </w:p>
        </w:tc>
        <w:tc>
          <w:tcPr>
            <w:tcW w:w="438" w:type="dxa"/>
            <w:tcBorders>
              <w:top w:val="single" w:sz="4" w:space="0" w:color="auto"/>
            </w:tcBorders>
            <w:vAlign w:val="center"/>
          </w:tcPr>
          <w:p w14:paraId="53A981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G1</w:t>
            </w:r>
          </w:p>
        </w:tc>
        <w:tc>
          <w:tcPr>
            <w:tcW w:w="369" w:type="dxa"/>
            <w:tcBorders>
              <w:top w:val="single" w:sz="4" w:space="0" w:color="auto"/>
            </w:tcBorders>
            <w:vAlign w:val="center"/>
          </w:tcPr>
          <w:p w14:paraId="28C845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G2</w:t>
            </w:r>
          </w:p>
        </w:tc>
        <w:tc>
          <w:tcPr>
            <w:tcW w:w="4031" w:type="dxa"/>
            <w:vMerge/>
            <w:vAlign w:val="center"/>
            <w:hideMark/>
          </w:tcPr>
          <w:p w14:paraId="260F186A"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C284F8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I1</w:t>
            </w:r>
          </w:p>
        </w:tc>
        <w:tc>
          <w:tcPr>
            <w:tcW w:w="201" w:type="dxa"/>
            <w:vAlign w:val="center"/>
            <w:hideMark/>
          </w:tcPr>
          <w:p w14:paraId="2180EB8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I2</w:t>
            </w:r>
          </w:p>
        </w:tc>
        <w:tc>
          <w:tcPr>
            <w:tcW w:w="201" w:type="dxa"/>
            <w:vAlign w:val="center"/>
            <w:hideMark/>
          </w:tcPr>
          <w:p w14:paraId="69D7836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I3</w:t>
            </w:r>
          </w:p>
        </w:tc>
        <w:tc>
          <w:tcPr>
            <w:tcW w:w="201" w:type="dxa"/>
            <w:vAlign w:val="center"/>
            <w:hideMark/>
          </w:tcPr>
          <w:p w14:paraId="0BDA35C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I4</w:t>
            </w:r>
          </w:p>
        </w:tc>
        <w:tc>
          <w:tcPr>
            <w:tcW w:w="167" w:type="dxa"/>
            <w:vAlign w:val="center"/>
            <w:hideMark/>
          </w:tcPr>
          <w:p w14:paraId="4D4E082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I5</w:t>
            </w:r>
          </w:p>
        </w:tc>
      </w:tr>
      <w:tr w:rsidR="00BF0919" w:rsidRPr="0064723F" w14:paraId="4E659529" w14:textId="77777777" w:rsidTr="00A8541E">
        <w:trPr>
          <w:cantSplit/>
          <w:trHeight w:val="20"/>
          <w:jc w:val="center"/>
        </w:trPr>
        <w:tc>
          <w:tcPr>
            <w:tcW w:w="1057" w:type="dxa"/>
            <w:vMerge w:val="restart"/>
            <w:tcBorders>
              <w:top w:val="single" w:sz="4" w:space="0" w:color="auto"/>
            </w:tcBorders>
            <w:noWrap/>
            <w:vAlign w:val="center"/>
            <w:hideMark/>
          </w:tcPr>
          <w:p w14:paraId="27BF291A" w14:textId="77777777" w:rsidR="00BF0919" w:rsidRPr="00A21754"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Feiz et al. (2015)</w:t>
            </w:r>
          </w:p>
        </w:tc>
        <w:tc>
          <w:tcPr>
            <w:tcW w:w="244" w:type="dxa"/>
            <w:vMerge w:val="restart"/>
            <w:tcBorders>
              <w:top w:val="single" w:sz="4" w:space="0" w:color="auto"/>
            </w:tcBorders>
            <w:vAlign w:val="center"/>
            <w:hideMark/>
          </w:tcPr>
          <w:p w14:paraId="6B9886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tcBorders>
              <w:top w:val="single" w:sz="4" w:space="0" w:color="auto"/>
            </w:tcBorders>
            <w:vAlign w:val="center"/>
            <w:hideMark/>
          </w:tcPr>
          <w:p w14:paraId="556B49A9" w14:textId="77777777" w:rsidR="00BF0919" w:rsidRPr="00962D42" w:rsidRDefault="00BF0919" w:rsidP="0064280E">
            <w:pPr>
              <w:jc w:val="center"/>
              <w:rPr>
                <w:rFonts w:ascii="Times New Roman" w:hAnsi="Times New Roman" w:cs="Times New Roman"/>
                <w:sz w:val="18"/>
                <w:szCs w:val="18"/>
              </w:rPr>
            </w:pPr>
          </w:p>
        </w:tc>
        <w:tc>
          <w:tcPr>
            <w:tcW w:w="244" w:type="dxa"/>
            <w:vMerge w:val="restart"/>
            <w:tcBorders>
              <w:top w:val="single" w:sz="4" w:space="0" w:color="auto"/>
            </w:tcBorders>
            <w:vAlign w:val="center"/>
            <w:hideMark/>
          </w:tcPr>
          <w:p w14:paraId="0FF5CEB6" w14:textId="77777777" w:rsidR="00BF0919" w:rsidRPr="00962D42" w:rsidRDefault="00BF0919" w:rsidP="0064280E">
            <w:pPr>
              <w:jc w:val="center"/>
              <w:rPr>
                <w:rFonts w:ascii="Times New Roman" w:hAnsi="Times New Roman" w:cs="Times New Roman"/>
                <w:sz w:val="18"/>
                <w:szCs w:val="18"/>
              </w:rPr>
            </w:pPr>
          </w:p>
        </w:tc>
        <w:tc>
          <w:tcPr>
            <w:tcW w:w="244" w:type="dxa"/>
            <w:vMerge w:val="restart"/>
            <w:tcBorders>
              <w:top w:val="single" w:sz="4" w:space="0" w:color="auto"/>
            </w:tcBorders>
            <w:vAlign w:val="center"/>
            <w:hideMark/>
          </w:tcPr>
          <w:p w14:paraId="6407C853" w14:textId="77777777" w:rsidR="00BF0919" w:rsidRPr="00962D42" w:rsidRDefault="00BF0919" w:rsidP="0064280E">
            <w:pPr>
              <w:jc w:val="center"/>
              <w:rPr>
                <w:rFonts w:ascii="Times New Roman" w:hAnsi="Times New Roman" w:cs="Times New Roman"/>
                <w:sz w:val="18"/>
                <w:szCs w:val="18"/>
              </w:rPr>
            </w:pPr>
          </w:p>
        </w:tc>
        <w:tc>
          <w:tcPr>
            <w:tcW w:w="244" w:type="dxa"/>
            <w:vMerge w:val="restart"/>
            <w:tcBorders>
              <w:top w:val="single" w:sz="4" w:space="0" w:color="auto"/>
            </w:tcBorders>
            <w:vAlign w:val="center"/>
            <w:hideMark/>
          </w:tcPr>
          <w:p w14:paraId="199CF870" w14:textId="77777777" w:rsidR="00BF0919" w:rsidRPr="00962D42" w:rsidRDefault="00BF0919" w:rsidP="0064280E">
            <w:pPr>
              <w:jc w:val="center"/>
              <w:rPr>
                <w:rFonts w:ascii="Times New Roman" w:hAnsi="Times New Roman" w:cs="Times New Roman"/>
                <w:sz w:val="18"/>
                <w:szCs w:val="18"/>
              </w:rPr>
            </w:pPr>
          </w:p>
        </w:tc>
        <w:tc>
          <w:tcPr>
            <w:tcW w:w="244" w:type="dxa"/>
            <w:vMerge w:val="restart"/>
            <w:tcBorders>
              <w:top w:val="single" w:sz="4" w:space="0" w:color="auto"/>
            </w:tcBorders>
            <w:vAlign w:val="center"/>
            <w:hideMark/>
          </w:tcPr>
          <w:p w14:paraId="35F3A3D3" w14:textId="77777777" w:rsidR="00BF0919" w:rsidRPr="00962D42" w:rsidRDefault="00BF0919" w:rsidP="0064280E">
            <w:pPr>
              <w:jc w:val="center"/>
              <w:rPr>
                <w:rFonts w:ascii="Times New Roman" w:hAnsi="Times New Roman" w:cs="Times New Roman"/>
                <w:sz w:val="18"/>
                <w:szCs w:val="18"/>
              </w:rPr>
            </w:pPr>
          </w:p>
        </w:tc>
        <w:tc>
          <w:tcPr>
            <w:tcW w:w="234" w:type="dxa"/>
            <w:vMerge w:val="restart"/>
            <w:tcBorders>
              <w:top w:val="single" w:sz="4" w:space="0" w:color="auto"/>
            </w:tcBorders>
            <w:vAlign w:val="center"/>
            <w:hideMark/>
          </w:tcPr>
          <w:p w14:paraId="5EE0A5E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tcBorders>
              <w:top w:val="single" w:sz="4" w:space="0" w:color="auto"/>
            </w:tcBorders>
            <w:vAlign w:val="center"/>
            <w:hideMark/>
          </w:tcPr>
          <w:p w14:paraId="6B4956FF" w14:textId="77777777" w:rsidR="00BF0919" w:rsidRPr="00962D42" w:rsidRDefault="00BF0919" w:rsidP="0064280E">
            <w:pPr>
              <w:jc w:val="center"/>
              <w:rPr>
                <w:rFonts w:ascii="Times New Roman" w:hAnsi="Times New Roman" w:cs="Times New Roman"/>
                <w:sz w:val="18"/>
                <w:szCs w:val="18"/>
              </w:rPr>
            </w:pPr>
          </w:p>
        </w:tc>
        <w:tc>
          <w:tcPr>
            <w:tcW w:w="235" w:type="dxa"/>
            <w:vMerge w:val="restart"/>
            <w:tcBorders>
              <w:top w:val="single" w:sz="4" w:space="0" w:color="auto"/>
            </w:tcBorders>
            <w:vAlign w:val="center"/>
            <w:hideMark/>
          </w:tcPr>
          <w:p w14:paraId="779B6ACC"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205CFF2F"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2AB67748"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350ACA6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tcBorders>
              <w:top w:val="single" w:sz="4" w:space="0" w:color="auto"/>
            </w:tcBorders>
            <w:vAlign w:val="center"/>
            <w:hideMark/>
          </w:tcPr>
          <w:p w14:paraId="7A0331DF"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679D2627"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12CDA6F9"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768B5B25"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5B349F96" w14:textId="77777777" w:rsidR="00BF0919" w:rsidRPr="00962D42" w:rsidRDefault="00BF0919" w:rsidP="0064280E">
            <w:pPr>
              <w:jc w:val="center"/>
              <w:rPr>
                <w:rFonts w:ascii="Times New Roman" w:hAnsi="Times New Roman" w:cs="Times New Roman"/>
                <w:sz w:val="18"/>
                <w:szCs w:val="18"/>
              </w:rPr>
            </w:pPr>
          </w:p>
        </w:tc>
        <w:tc>
          <w:tcPr>
            <w:tcW w:w="236" w:type="dxa"/>
            <w:vMerge w:val="restart"/>
            <w:tcBorders>
              <w:top w:val="single" w:sz="4" w:space="0" w:color="auto"/>
            </w:tcBorders>
            <w:vAlign w:val="center"/>
            <w:hideMark/>
          </w:tcPr>
          <w:p w14:paraId="0CDB3528" w14:textId="77777777" w:rsidR="00BF0919" w:rsidRPr="00962D42" w:rsidRDefault="00BF0919" w:rsidP="0064280E">
            <w:pPr>
              <w:jc w:val="center"/>
              <w:rPr>
                <w:rFonts w:ascii="Times New Roman" w:hAnsi="Times New Roman" w:cs="Times New Roman"/>
                <w:sz w:val="18"/>
                <w:szCs w:val="18"/>
              </w:rPr>
            </w:pPr>
          </w:p>
        </w:tc>
        <w:tc>
          <w:tcPr>
            <w:tcW w:w="264" w:type="dxa"/>
            <w:vMerge w:val="restart"/>
            <w:tcBorders>
              <w:top w:val="single" w:sz="4" w:space="0" w:color="auto"/>
            </w:tcBorders>
            <w:vAlign w:val="center"/>
            <w:hideMark/>
          </w:tcPr>
          <w:p w14:paraId="5092F61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tcBorders>
              <w:top w:val="single" w:sz="4" w:space="0" w:color="auto"/>
            </w:tcBorders>
            <w:vAlign w:val="center"/>
            <w:hideMark/>
          </w:tcPr>
          <w:p w14:paraId="30F74019" w14:textId="77777777" w:rsidR="00BF0919" w:rsidRPr="00962D42" w:rsidRDefault="00BF0919" w:rsidP="0064280E">
            <w:pPr>
              <w:jc w:val="center"/>
              <w:rPr>
                <w:rFonts w:ascii="Times New Roman" w:hAnsi="Times New Roman" w:cs="Times New Roman"/>
                <w:sz w:val="18"/>
                <w:szCs w:val="18"/>
              </w:rPr>
            </w:pPr>
          </w:p>
        </w:tc>
        <w:tc>
          <w:tcPr>
            <w:tcW w:w="246" w:type="dxa"/>
            <w:vMerge w:val="restart"/>
            <w:tcBorders>
              <w:top w:val="single" w:sz="4" w:space="0" w:color="auto"/>
            </w:tcBorders>
            <w:vAlign w:val="center"/>
            <w:hideMark/>
          </w:tcPr>
          <w:p w14:paraId="1862C8F7" w14:textId="77777777" w:rsidR="00BF0919" w:rsidRPr="00962D42" w:rsidRDefault="00BF0919" w:rsidP="0064280E">
            <w:pPr>
              <w:jc w:val="center"/>
              <w:rPr>
                <w:rFonts w:ascii="Times New Roman" w:hAnsi="Times New Roman" w:cs="Times New Roman"/>
                <w:sz w:val="18"/>
                <w:szCs w:val="18"/>
              </w:rPr>
            </w:pPr>
          </w:p>
        </w:tc>
        <w:tc>
          <w:tcPr>
            <w:tcW w:w="223" w:type="dxa"/>
            <w:vMerge w:val="restart"/>
            <w:tcBorders>
              <w:top w:val="single" w:sz="4" w:space="0" w:color="auto"/>
            </w:tcBorders>
            <w:vAlign w:val="center"/>
            <w:hideMark/>
          </w:tcPr>
          <w:p w14:paraId="20C462F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tcBorders>
              <w:top w:val="single" w:sz="4" w:space="0" w:color="auto"/>
            </w:tcBorders>
            <w:vAlign w:val="center"/>
            <w:hideMark/>
          </w:tcPr>
          <w:p w14:paraId="2914FF76" w14:textId="77777777" w:rsidR="00BF0919" w:rsidRPr="00962D42" w:rsidRDefault="00BF0919" w:rsidP="0064280E">
            <w:pPr>
              <w:jc w:val="center"/>
              <w:rPr>
                <w:rFonts w:ascii="Times New Roman" w:hAnsi="Times New Roman" w:cs="Times New Roman"/>
                <w:sz w:val="18"/>
                <w:szCs w:val="18"/>
              </w:rPr>
            </w:pPr>
          </w:p>
        </w:tc>
        <w:tc>
          <w:tcPr>
            <w:tcW w:w="223" w:type="dxa"/>
            <w:vMerge w:val="restart"/>
            <w:tcBorders>
              <w:top w:val="single" w:sz="4" w:space="0" w:color="auto"/>
            </w:tcBorders>
            <w:vAlign w:val="center"/>
            <w:hideMark/>
          </w:tcPr>
          <w:p w14:paraId="25991D06" w14:textId="77777777" w:rsidR="00BF0919" w:rsidRPr="00962D42" w:rsidRDefault="00BF0919" w:rsidP="0064280E">
            <w:pPr>
              <w:jc w:val="center"/>
              <w:rPr>
                <w:rFonts w:ascii="Times New Roman" w:hAnsi="Times New Roman" w:cs="Times New Roman"/>
                <w:sz w:val="18"/>
                <w:szCs w:val="18"/>
              </w:rPr>
            </w:pPr>
          </w:p>
        </w:tc>
        <w:tc>
          <w:tcPr>
            <w:tcW w:w="223" w:type="dxa"/>
            <w:vMerge w:val="restart"/>
            <w:tcBorders>
              <w:top w:val="single" w:sz="4" w:space="0" w:color="auto"/>
            </w:tcBorders>
            <w:vAlign w:val="center"/>
            <w:hideMark/>
          </w:tcPr>
          <w:p w14:paraId="7DFB29C5" w14:textId="77777777" w:rsidR="00BF0919" w:rsidRPr="00962D42" w:rsidRDefault="00BF0919" w:rsidP="0064280E">
            <w:pPr>
              <w:jc w:val="center"/>
              <w:rPr>
                <w:rFonts w:ascii="Times New Roman" w:hAnsi="Times New Roman" w:cs="Times New Roman"/>
                <w:sz w:val="18"/>
                <w:szCs w:val="18"/>
              </w:rPr>
            </w:pPr>
          </w:p>
        </w:tc>
        <w:tc>
          <w:tcPr>
            <w:tcW w:w="213" w:type="dxa"/>
            <w:vMerge w:val="restart"/>
            <w:tcBorders>
              <w:top w:val="single" w:sz="4" w:space="0" w:color="auto"/>
            </w:tcBorders>
            <w:vAlign w:val="center"/>
          </w:tcPr>
          <w:p w14:paraId="277E6C6B" w14:textId="77777777" w:rsidR="00BF0919" w:rsidRPr="00962D42" w:rsidRDefault="00BF0919" w:rsidP="0064280E">
            <w:pPr>
              <w:jc w:val="center"/>
              <w:rPr>
                <w:rFonts w:ascii="Times New Roman" w:hAnsi="Times New Roman" w:cs="Times New Roman"/>
                <w:sz w:val="18"/>
                <w:szCs w:val="18"/>
              </w:rPr>
            </w:pPr>
          </w:p>
        </w:tc>
        <w:tc>
          <w:tcPr>
            <w:tcW w:w="213" w:type="dxa"/>
            <w:vMerge w:val="restart"/>
            <w:tcBorders>
              <w:top w:val="single" w:sz="4" w:space="0" w:color="auto"/>
            </w:tcBorders>
            <w:vAlign w:val="center"/>
          </w:tcPr>
          <w:p w14:paraId="38121678" w14:textId="77777777" w:rsidR="00BF0919" w:rsidRPr="00962D42" w:rsidRDefault="00BF0919" w:rsidP="0064280E">
            <w:pPr>
              <w:jc w:val="center"/>
              <w:rPr>
                <w:rFonts w:ascii="Times New Roman" w:hAnsi="Times New Roman" w:cs="Times New Roman"/>
                <w:sz w:val="18"/>
                <w:szCs w:val="18"/>
              </w:rPr>
            </w:pPr>
          </w:p>
        </w:tc>
        <w:tc>
          <w:tcPr>
            <w:tcW w:w="213" w:type="dxa"/>
            <w:vMerge w:val="restart"/>
            <w:tcBorders>
              <w:top w:val="single" w:sz="4" w:space="0" w:color="auto"/>
            </w:tcBorders>
            <w:vAlign w:val="center"/>
            <w:hideMark/>
          </w:tcPr>
          <w:p w14:paraId="28F4CC04" w14:textId="77777777" w:rsidR="00BF0919" w:rsidRPr="00962D42" w:rsidRDefault="00BF0919" w:rsidP="0064280E">
            <w:pPr>
              <w:jc w:val="center"/>
              <w:rPr>
                <w:rFonts w:ascii="Times New Roman" w:hAnsi="Times New Roman" w:cs="Times New Roman"/>
                <w:sz w:val="18"/>
                <w:szCs w:val="18"/>
              </w:rPr>
            </w:pPr>
          </w:p>
        </w:tc>
        <w:tc>
          <w:tcPr>
            <w:tcW w:w="231" w:type="dxa"/>
            <w:vMerge w:val="restart"/>
            <w:tcBorders>
              <w:top w:val="single" w:sz="4" w:space="0" w:color="auto"/>
            </w:tcBorders>
            <w:vAlign w:val="center"/>
            <w:hideMark/>
          </w:tcPr>
          <w:p w14:paraId="524387C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tcBorders>
              <w:top w:val="single" w:sz="4" w:space="0" w:color="auto"/>
            </w:tcBorders>
            <w:vAlign w:val="center"/>
            <w:hideMark/>
          </w:tcPr>
          <w:p w14:paraId="03BD8ED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tcBorders>
              <w:top w:val="single" w:sz="4" w:space="0" w:color="auto"/>
            </w:tcBorders>
            <w:vAlign w:val="center"/>
            <w:hideMark/>
          </w:tcPr>
          <w:p w14:paraId="1A1E10B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tcBorders>
              <w:top w:val="single" w:sz="4" w:space="0" w:color="auto"/>
            </w:tcBorders>
            <w:vAlign w:val="center"/>
            <w:hideMark/>
          </w:tcPr>
          <w:p w14:paraId="0E734BC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47%OPC+45%GGBS+8%others&gt;&gt;46%</w:t>
            </w:r>
            <w:r w:rsidRPr="00A21754">
              <w:rPr>
                <w:rFonts w:ascii="Times New Roman" w:hAnsi="Times New Roman" w:cs="Times New Roman"/>
                <w:sz w:val="16"/>
                <w:szCs w:val="16"/>
              </w:rPr>
              <w:br/>
              <w:t>25%OPC+70%GGBS+5%others&gt;&gt;68.8%</w:t>
            </w:r>
            <w:r w:rsidRPr="00A21754">
              <w:rPr>
                <w:rFonts w:ascii="Times New Roman" w:hAnsi="Times New Roman" w:cs="Times New Roman"/>
                <w:sz w:val="16"/>
                <w:szCs w:val="16"/>
              </w:rPr>
              <w:br/>
              <w:t>40%OPC+53%GGBS+7%others&gt;&gt;54.7%</w:t>
            </w:r>
          </w:p>
        </w:tc>
        <w:tc>
          <w:tcPr>
            <w:tcW w:w="201" w:type="dxa"/>
            <w:tcBorders>
              <w:top w:val="single" w:sz="4" w:space="0" w:color="auto"/>
            </w:tcBorders>
            <w:vAlign w:val="center"/>
            <w:hideMark/>
          </w:tcPr>
          <w:p w14:paraId="782F5707" w14:textId="77777777" w:rsidR="00BF0919" w:rsidRPr="00962D42" w:rsidRDefault="00BF0919" w:rsidP="0064280E">
            <w:pPr>
              <w:jc w:val="center"/>
              <w:rPr>
                <w:rFonts w:ascii="Times New Roman" w:hAnsi="Times New Roman" w:cs="Times New Roman"/>
                <w:sz w:val="18"/>
                <w:szCs w:val="18"/>
              </w:rPr>
            </w:pPr>
          </w:p>
        </w:tc>
        <w:tc>
          <w:tcPr>
            <w:tcW w:w="201" w:type="dxa"/>
            <w:tcBorders>
              <w:top w:val="single" w:sz="4" w:space="0" w:color="auto"/>
            </w:tcBorders>
            <w:vAlign w:val="center"/>
          </w:tcPr>
          <w:p w14:paraId="4B2A8ECB" w14:textId="77777777" w:rsidR="00BF0919" w:rsidRPr="00962D42" w:rsidRDefault="00BF0919" w:rsidP="0064280E">
            <w:pPr>
              <w:jc w:val="center"/>
              <w:rPr>
                <w:rFonts w:ascii="Times New Roman" w:hAnsi="Times New Roman" w:cs="Times New Roman"/>
                <w:sz w:val="18"/>
                <w:szCs w:val="18"/>
              </w:rPr>
            </w:pPr>
          </w:p>
        </w:tc>
        <w:tc>
          <w:tcPr>
            <w:tcW w:w="201" w:type="dxa"/>
            <w:tcBorders>
              <w:top w:val="single" w:sz="4" w:space="0" w:color="auto"/>
            </w:tcBorders>
            <w:vAlign w:val="center"/>
          </w:tcPr>
          <w:p w14:paraId="3AB4E74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tcBorders>
              <w:top w:val="single" w:sz="4" w:space="0" w:color="auto"/>
            </w:tcBorders>
            <w:vAlign w:val="center"/>
          </w:tcPr>
          <w:p w14:paraId="491946FD" w14:textId="77777777" w:rsidR="00BF0919" w:rsidRPr="00962D42" w:rsidRDefault="00BF0919" w:rsidP="0064280E">
            <w:pPr>
              <w:jc w:val="center"/>
              <w:rPr>
                <w:rFonts w:ascii="Times New Roman" w:hAnsi="Times New Roman" w:cs="Times New Roman"/>
                <w:sz w:val="18"/>
                <w:szCs w:val="18"/>
              </w:rPr>
            </w:pPr>
          </w:p>
        </w:tc>
        <w:tc>
          <w:tcPr>
            <w:tcW w:w="167" w:type="dxa"/>
            <w:tcBorders>
              <w:top w:val="single" w:sz="4" w:space="0" w:color="auto"/>
            </w:tcBorders>
            <w:vAlign w:val="center"/>
          </w:tcPr>
          <w:p w14:paraId="69C53A97" w14:textId="77777777" w:rsidR="00BF0919" w:rsidRPr="00962D42" w:rsidRDefault="00BF0919" w:rsidP="0064280E">
            <w:pPr>
              <w:jc w:val="center"/>
              <w:rPr>
                <w:rFonts w:ascii="Times New Roman" w:hAnsi="Times New Roman" w:cs="Times New Roman"/>
                <w:sz w:val="18"/>
                <w:szCs w:val="18"/>
              </w:rPr>
            </w:pPr>
          </w:p>
        </w:tc>
      </w:tr>
      <w:tr w:rsidR="00BF0919" w:rsidRPr="0064723F" w14:paraId="4BB6C716" w14:textId="77777777" w:rsidTr="00A8541E">
        <w:trPr>
          <w:cantSplit/>
          <w:trHeight w:val="20"/>
          <w:jc w:val="center"/>
        </w:trPr>
        <w:tc>
          <w:tcPr>
            <w:tcW w:w="1057" w:type="dxa"/>
            <w:vMerge/>
            <w:noWrap/>
            <w:vAlign w:val="center"/>
          </w:tcPr>
          <w:p w14:paraId="2A182BB9"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C522C4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77971F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916DAC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CD4562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8FA80D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D2DB46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D6F071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770139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1AC429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883D1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3F6030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FDE2FE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E18CE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E6A89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DFB28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BD0CC1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319F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EAE131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71EA9B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E61242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FB4A3C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FFB678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ABE766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7D17CF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B44CB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1EF4C9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45AF7D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0E357B7"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CA8C213"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12A2E6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A428F5A"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68249C2"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F547E0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774AC1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1FBA3E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DCAFCA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3F4B6D8E" w14:textId="77777777" w:rsidR="00BF0919" w:rsidRPr="00962D42" w:rsidRDefault="00BF0919" w:rsidP="0064280E">
            <w:pPr>
              <w:jc w:val="center"/>
              <w:rPr>
                <w:rFonts w:ascii="Times New Roman" w:hAnsi="Times New Roman" w:cs="Times New Roman"/>
                <w:sz w:val="18"/>
                <w:szCs w:val="18"/>
              </w:rPr>
            </w:pPr>
          </w:p>
        </w:tc>
      </w:tr>
      <w:tr w:rsidR="00BF0919" w:rsidRPr="0064723F" w14:paraId="38E251A9" w14:textId="77777777" w:rsidTr="00A8541E">
        <w:trPr>
          <w:cantSplit/>
          <w:trHeight w:val="20"/>
          <w:jc w:val="center"/>
        </w:trPr>
        <w:tc>
          <w:tcPr>
            <w:tcW w:w="1057" w:type="dxa"/>
            <w:vMerge/>
            <w:noWrap/>
            <w:vAlign w:val="center"/>
          </w:tcPr>
          <w:p w14:paraId="3E00836A"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4BE4CF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39BFA0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D28A0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506C31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F77A6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C4E435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17AAEE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A93F01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86F647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6E4AE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63D3F3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ADED3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72AD4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F6E432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412F82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C6A0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D08080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297B0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A612D4E"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D13F60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1D3666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60D60A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A41C6A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86EC24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C2097F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9733EC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53BC31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0B813AF"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0D8019B"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9C279C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4C621C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009C2E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185FC7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C32589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27C5A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79BCC8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F025E24" w14:textId="77777777" w:rsidR="00BF0919" w:rsidRPr="00962D42" w:rsidRDefault="00BF0919" w:rsidP="0064280E">
            <w:pPr>
              <w:jc w:val="center"/>
              <w:rPr>
                <w:rFonts w:ascii="Times New Roman" w:hAnsi="Times New Roman" w:cs="Times New Roman"/>
                <w:sz w:val="18"/>
                <w:szCs w:val="18"/>
              </w:rPr>
            </w:pPr>
          </w:p>
        </w:tc>
      </w:tr>
      <w:tr w:rsidR="00BF0919" w:rsidRPr="0064723F" w14:paraId="148CBD71" w14:textId="77777777" w:rsidTr="00A8541E">
        <w:trPr>
          <w:cantSplit/>
          <w:trHeight w:val="20"/>
          <w:jc w:val="center"/>
        </w:trPr>
        <w:tc>
          <w:tcPr>
            <w:tcW w:w="1057" w:type="dxa"/>
            <w:vMerge w:val="restart"/>
            <w:vAlign w:val="center"/>
            <w:hideMark/>
          </w:tcPr>
          <w:p w14:paraId="5D639E4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Vargas and Halog (2015)</w:t>
            </w:r>
          </w:p>
        </w:tc>
        <w:tc>
          <w:tcPr>
            <w:tcW w:w="244" w:type="dxa"/>
            <w:vMerge w:val="restart"/>
            <w:vAlign w:val="center"/>
            <w:hideMark/>
          </w:tcPr>
          <w:p w14:paraId="51BBFA7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3385481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B2B09B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D20CB9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E2FEB8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F6A6073"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F02D22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A45DD3E"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54565A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25947C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623792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9EBC1A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4721B5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89068A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70C569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F61C87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554B4F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DAEDD2B"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58677D02"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15338D05"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75B5C3B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923427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38B8AA9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F76206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1C5E151"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F61A85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1084934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9132478"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7E6AFE5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69AC14E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09AB2F9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074DCB37"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20%FA+80%OPC&gt;&gt;13.9%</w:t>
            </w:r>
            <w:r w:rsidRPr="00A21754">
              <w:rPr>
                <w:rFonts w:ascii="Times New Roman" w:hAnsi="Times New Roman" w:cs="Times New Roman"/>
                <w:sz w:val="16"/>
                <w:szCs w:val="16"/>
              </w:rPr>
              <w:br/>
              <w:t>35%FA+65%OPC&gt;&gt;24.4%</w:t>
            </w:r>
          </w:p>
        </w:tc>
        <w:tc>
          <w:tcPr>
            <w:tcW w:w="201" w:type="dxa"/>
            <w:vAlign w:val="center"/>
          </w:tcPr>
          <w:p w14:paraId="4E79AD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CF4CFD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6D7468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BBA4CF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5276CFB" w14:textId="77777777" w:rsidR="00BF0919" w:rsidRPr="00962D42" w:rsidRDefault="00BF0919" w:rsidP="0064280E">
            <w:pPr>
              <w:jc w:val="center"/>
              <w:rPr>
                <w:rFonts w:ascii="Times New Roman" w:hAnsi="Times New Roman" w:cs="Times New Roman"/>
                <w:sz w:val="18"/>
                <w:szCs w:val="18"/>
              </w:rPr>
            </w:pPr>
          </w:p>
        </w:tc>
      </w:tr>
      <w:tr w:rsidR="00BF0919" w:rsidRPr="0064723F" w14:paraId="4FA90C96" w14:textId="77777777" w:rsidTr="00A8541E">
        <w:trPr>
          <w:cantSplit/>
          <w:trHeight w:val="20"/>
          <w:jc w:val="center"/>
        </w:trPr>
        <w:tc>
          <w:tcPr>
            <w:tcW w:w="1057" w:type="dxa"/>
            <w:vMerge/>
            <w:vAlign w:val="center"/>
          </w:tcPr>
          <w:p w14:paraId="764C4CDF"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82E096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92AF6E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04ED0E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AB06D8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67B94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F3C9B36"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31B311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53754B1"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6B8BE2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63AC5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D68A9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B8EF98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70684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00318C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1DA017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376885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559839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6192539"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DB5C37D"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1196CB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76BE42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11C467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4C83A1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0687B2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349BDB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EFF1B6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BCBDC3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6CB3B77"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DB4FAC7"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3058721"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61DA08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9A35274"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99EF19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1A7070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FC52A8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9FC48B1"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E7D8020" w14:textId="77777777" w:rsidR="00BF0919" w:rsidRPr="00962D42" w:rsidRDefault="00BF0919" w:rsidP="0064280E">
            <w:pPr>
              <w:jc w:val="center"/>
              <w:rPr>
                <w:rFonts w:ascii="Times New Roman" w:hAnsi="Times New Roman" w:cs="Times New Roman"/>
                <w:sz w:val="18"/>
                <w:szCs w:val="18"/>
              </w:rPr>
            </w:pPr>
          </w:p>
        </w:tc>
      </w:tr>
      <w:tr w:rsidR="00BF0919" w:rsidRPr="0064723F" w14:paraId="6F01C049" w14:textId="77777777" w:rsidTr="00A8541E">
        <w:trPr>
          <w:cantSplit/>
          <w:trHeight w:val="20"/>
          <w:jc w:val="center"/>
        </w:trPr>
        <w:tc>
          <w:tcPr>
            <w:tcW w:w="1057" w:type="dxa"/>
            <w:vAlign w:val="center"/>
            <w:hideMark/>
          </w:tcPr>
          <w:p w14:paraId="2354C2D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Yang et al. (2015)</w:t>
            </w:r>
          </w:p>
        </w:tc>
        <w:tc>
          <w:tcPr>
            <w:tcW w:w="244" w:type="dxa"/>
            <w:vAlign w:val="center"/>
            <w:hideMark/>
          </w:tcPr>
          <w:p w14:paraId="05C37E9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7DCEB9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3147775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DBA433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DB22D9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78BB6B3"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15ECB763"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354419F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10A42F9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5C32D3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BAA84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4796D8D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10A0FC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7A0BB39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DF6469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BFF931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6BA603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70B45FF"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3689443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4B0BDAFC"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20DCD4E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2E191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2871484"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032ACF8B"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C68B4D5"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7EDFEBC"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00525B5A"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7287324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Align w:val="center"/>
            <w:hideMark/>
          </w:tcPr>
          <w:p w14:paraId="47A0E2E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022D8B9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2851DBC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67684D29"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(3%-80</w:t>
            </w:r>
            <w:proofErr w:type="gramStart"/>
            <w:r w:rsidRPr="00A21754">
              <w:rPr>
                <w:rFonts w:ascii="Times New Roman" w:hAnsi="Times New Roman" w:cs="Times New Roman"/>
                <w:sz w:val="16"/>
                <w:szCs w:val="16"/>
              </w:rPr>
              <w:t>%)GGBS</w:t>
            </w:r>
            <w:proofErr w:type="gramEnd"/>
            <w:r w:rsidRPr="00A21754">
              <w:rPr>
                <w:rFonts w:ascii="Times New Roman" w:hAnsi="Times New Roman" w:cs="Times New Roman"/>
                <w:sz w:val="16"/>
                <w:szCs w:val="16"/>
              </w:rPr>
              <w:t>+(3%-70%)FA+(3%-40%)SF&gt;&gt;(0-84%)</w:t>
            </w:r>
          </w:p>
        </w:tc>
        <w:tc>
          <w:tcPr>
            <w:tcW w:w="201" w:type="dxa"/>
            <w:vAlign w:val="center"/>
          </w:tcPr>
          <w:p w14:paraId="27650AC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A5AD81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A21EBB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425C85C6"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7284E2E8" w14:textId="77777777" w:rsidR="00BF0919" w:rsidRPr="00962D42" w:rsidRDefault="00BF0919" w:rsidP="0064280E">
            <w:pPr>
              <w:jc w:val="center"/>
              <w:rPr>
                <w:rFonts w:ascii="Times New Roman" w:hAnsi="Times New Roman" w:cs="Times New Roman"/>
                <w:sz w:val="18"/>
                <w:szCs w:val="18"/>
              </w:rPr>
            </w:pPr>
          </w:p>
        </w:tc>
      </w:tr>
      <w:tr w:rsidR="00BF0919" w:rsidRPr="0064723F" w14:paraId="471AE00B" w14:textId="77777777" w:rsidTr="00A8541E">
        <w:trPr>
          <w:cantSplit/>
          <w:trHeight w:val="20"/>
          <w:jc w:val="center"/>
        </w:trPr>
        <w:tc>
          <w:tcPr>
            <w:tcW w:w="1057" w:type="dxa"/>
            <w:vAlign w:val="center"/>
            <w:hideMark/>
          </w:tcPr>
          <w:p w14:paraId="313AA0D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Yang et al. (2014)</w:t>
            </w:r>
          </w:p>
        </w:tc>
        <w:tc>
          <w:tcPr>
            <w:tcW w:w="244" w:type="dxa"/>
            <w:vAlign w:val="center"/>
            <w:hideMark/>
          </w:tcPr>
          <w:p w14:paraId="3139165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61C122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DF2361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012FAC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32BBB5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2FBF265E"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532FA03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52337E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13254AE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8B8390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E7137C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874E26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71D28B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4AF8B9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D89C4B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94B88A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1C72E8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15127DE"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6173514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200204A2"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08788DA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3DEE8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697C171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588FF7F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629D585"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DF107A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12BFCF04"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63758027"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2DC23EB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0FEDF26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36799BD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725D081B"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20%FA+80%OPC&gt;&gt;27.4%</w:t>
            </w:r>
          </w:p>
        </w:tc>
        <w:tc>
          <w:tcPr>
            <w:tcW w:w="201" w:type="dxa"/>
            <w:vAlign w:val="center"/>
          </w:tcPr>
          <w:p w14:paraId="760CF50F"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A2227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3B4004A5"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1FF0443"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F533B68" w14:textId="77777777" w:rsidR="00BF0919" w:rsidRPr="00962D42" w:rsidRDefault="00BF0919" w:rsidP="0064280E">
            <w:pPr>
              <w:jc w:val="center"/>
              <w:rPr>
                <w:rFonts w:ascii="Times New Roman" w:hAnsi="Times New Roman" w:cs="Times New Roman"/>
                <w:sz w:val="18"/>
                <w:szCs w:val="18"/>
              </w:rPr>
            </w:pPr>
          </w:p>
        </w:tc>
      </w:tr>
      <w:tr w:rsidR="00BF0919" w:rsidRPr="0064723F" w14:paraId="3857FAF6" w14:textId="77777777" w:rsidTr="00A8541E">
        <w:trPr>
          <w:cantSplit/>
          <w:trHeight w:val="20"/>
          <w:jc w:val="center"/>
        </w:trPr>
        <w:tc>
          <w:tcPr>
            <w:tcW w:w="1057" w:type="dxa"/>
            <w:vMerge w:val="restart"/>
            <w:vAlign w:val="center"/>
            <w:hideMark/>
          </w:tcPr>
          <w:p w14:paraId="6D11E8F9"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Flower and Sanjayan (2007)</w:t>
            </w:r>
          </w:p>
        </w:tc>
        <w:tc>
          <w:tcPr>
            <w:tcW w:w="244" w:type="dxa"/>
            <w:vMerge w:val="restart"/>
            <w:vAlign w:val="center"/>
            <w:hideMark/>
          </w:tcPr>
          <w:p w14:paraId="632396A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6756C08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626038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B61C96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17938B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28156F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6F2FCA7"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72D37D37"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6778C0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344F6A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7B6A73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53A380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58379B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FE07AC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1D216D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3C29F4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C644B1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EA1A053"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59906A5D"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144D664D"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785A5CC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3DA54E9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9C43DF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88ACB8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FAFECB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B18F20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70B118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EAC270F"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D633B1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12DE0C7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6B90EC7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1CDB7FA"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25%FA+75%OPC&gt;&gt;13%-15%</w:t>
            </w:r>
            <w:r w:rsidRPr="00A21754">
              <w:rPr>
                <w:rFonts w:ascii="Times New Roman" w:hAnsi="Times New Roman" w:cs="Times New Roman"/>
                <w:sz w:val="16"/>
                <w:szCs w:val="16"/>
              </w:rPr>
              <w:br/>
              <w:t>40%GGBS+60%OPC&gt;&gt;22%</w:t>
            </w:r>
          </w:p>
        </w:tc>
        <w:tc>
          <w:tcPr>
            <w:tcW w:w="201" w:type="dxa"/>
            <w:vAlign w:val="center"/>
          </w:tcPr>
          <w:p w14:paraId="3C17C4C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6E46FF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4A82BA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29E6B53"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2880C99" w14:textId="77777777" w:rsidR="00BF0919" w:rsidRPr="00962D42" w:rsidRDefault="00BF0919" w:rsidP="0064280E">
            <w:pPr>
              <w:jc w:val="center"/>
              <w:rPr>
                <w:rFonts w:ascii="Times New Roman" w:hAnsi="Times New Roman" w:cs="Times New Roman"/>
                <w:sz w:val="18"/>
                <w:szCs w:val="18"/>
              </w:rPr>
            </w:pPr>
          </w:p>
        </w:tc>
      </w:tr>
      <w:tr w:rsidR="00BF0919" w:rsidRPr="0064723F" w14:paraId="47FE96EE" w14:textId="77777777" w:rsidTr="00A8541E">
        <w:trPr>
          <w:cantSplit/>
          <w:trHeight w:val="20"/>
          <w:jc w:val="center"/>
        </w:trPr>
        <w:tc>
          <w:tcPr>
            <w:tcW w:w="1057" w:type="dxa"/>
            <w:vMerge/>
            <w:vAlign w:val="center"/>
          </w:tcPr>
          <w:p w14:paraId="22437DBF"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23BD2B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C0F978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345F0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2F1CC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36F30A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BAAE311"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5D5DFF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8FCCF16"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5A12AC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F1E49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4DB2A5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6F4B33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48BE36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9FB68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B29C67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AF74E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224D29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B0547B"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CA5DA2A"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1AF2AD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80A582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FE5EF1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3134F4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6D4460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88F7D7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3CC3E6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D82D3E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F0820A1"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5D8A6EB"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388447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DB73A74"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94A814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A4F6F4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46C6D2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1EA3544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AE4A74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0F1D17E" w14:textId="77777777" w:rsidR="00BF0919" w:rsidRPr="00962D42" w:rsidRDefault="00BF0919" w:rsidP="0064280E">
            <w:pPr>
              <w:jc w:val="center"/>
              <w:rPr>
                <w:rFonts w:ascii="Times New Roman" w:hAnsi="Times New Roman" w:cs="Times New Roman"/>
                <w:sz w:val="18"/>
                <w:szCs w:val="18"/>
              </w:rPr>
            </w:pPr>
          </w:p>
        </w:tc>
      </w:tr>
      <w:tr w:rsidR="00BF0919" w:rsidRPr="0064723F" w14:paraId="5ECEEF9D" w14:textId="77777777" w:rsidTr="00A8541E">
        <w:trPr>
          <w:cantSplit/>
          <w:trHeight w:val="20"/>
          <w:jc w:val="center"/>
        </w:trPr>
        <w:tc>
          <w:tcPr>
            <w:tcW w:w="1057" w:type="dxa"/>
            <w:vMerge w:val="restart"/>
            <w:vAlign w:val="center"/>
            <w:hideMark/>
          </w:tcPr>
          <w:p w14:paraId="0CF0FF3B"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Lawania et al. (2015)</w:t>
            </w:r>
          </w:p>
        </w:tc>
        <w:tc>
          <w:tcPr>
            <w:tcW w:w="244" w:type="dxa"/>
            <w:vMerge w:val="restart"/>
            <w:vAlign w:val="center"/>
            <w:hideMark/>
          </w:tcPr>
          <w:p w14:paraId="147C3AF3"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CEE3EC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AEC96C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161AC8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B23CAF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72F755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2B4BF14"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B133882"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B6BAFB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D3FD25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474766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2EEDC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07BE27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BACCF7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FA0045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8D24E9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71E9B3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3460CC"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50723C36"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497CD61B"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552EB8A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7C6DC4C3"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A226999"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539D6B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6EE226A"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78AAF56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1945EE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409CE03"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473119D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41BA05C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187CA2F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0084F1B8"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70%OPC+30%GGBS&gt;&gt;17.5%</w:t>
            </w:r>
            <w:r w:rsidRPr="00A21754">
              <w:rPr>
                <w:rFonts w:ascii="Times New Roman" w:hAnsi="Times New Roman" w:cs="Times New Roman"/>
                <w:sz w:val="16"/>
                <w:szCs w:val="16"/>
              </w:rPr>
              <w:br/>
              <w:t>70%OPC+10%FA+20%GGBS&gt;&gt;19.9%</w:t>
            </w:r>
            <w:r w:rsidRPr="00A21754">
              <w:rPr>
                <w:rFonts w:ascii="Times New Roman" w:hAnsi="Times New Roman" w:cs="Times New Roman"/>
                <w:sz w:val="16"/>
                <w:szCs w:val="16"/>
              </w:rPr>
              <w:br/>
              <w:t>70%OPC+15%FA+15%GGBS&gt;&gt;21.1%</w:t>
            </w:r>
            <w:r w:rsidRPr="00A21754">
              <w:rPr>
                <w:rFonts w:ascii="Times New Roman" w:hAnsi="Times New Roman" w:cs="Times New Roman"/>
                <w:sz w:val="16"/>
                <w:szCs w:val="16"/>
              </w:rPr>
              <w:br/>
              <w:t>70%OPC+20%FA+10%GGBS&gt;&gt;22.4%</w:t>
            </w:r>
            <w:r w:rsidRPr="00A21754">
              <w:rPr>
                <w:rFonts w:ascii="Times New Roman" w:hAnsi="Times New Roman" w:cs="Times New Roman"/>
                <w:sz w:val="16"/>
                <w:szCs w:val="16"/>
              </w:rPr>
              <w:br/>
              <w:t>70%OPC+30%FA&gt;&gt;24.8%</w:t>
            </w:r>
          </w:p>
        </w:tc>
        <w:tc>
          <w:tcPr>
            <w:tcW w:w="201" w:type="dxa"/>
            <w:vAlign w:val="center"/>
          </w:tcPr>
          <w:p w14:paraId="0739C95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EEE73A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CD80A4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70FFD5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B76FCD9" w14:textId="77777777" w:rsidR="00BF0919" w:rsidRPr="00962D42" w:rsidRDefault="00BF0919" w:rsidP="0064280E">
            <w:pPr>
              <w:jc w:val="center"/>
              <w:rPr>
                <w:rFonts w:ascii="Times New Roman" w:hAnsi="Times New Roman" w:cs="Times New Roman"/>
                <w:sz w:val="18"/>
                <w:szCs w:val="18"/>
              </w:rPr>
            </w:pPr>
          </w:p>
        </w:tc>
      </w:tr>
      <w:tr w:rsidR="00BF0919" w:rsidRPr="0064723F" w14:paraId="7277317F" w14:textId="77777777" w:rsidTr="00A8541E">
        <w:trPr>
          <w:cantSplit/>
          <w:trHeight w:val="20"/>
          <w:jc w:val="center"/>
        </w:trPr>
        <w:tc>
          <w:tcPr>
            <w:tcW w:w="1057" w:type="dxa"/>
            <w:vMerge/>
            <w:vAlign w:val="center"/>
          </w:tcPr>
          <w:p w14:paraId="43CB519F"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A0716B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CFEDE5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8A49F7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E86C61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3693D3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75F1684"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5EF991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3D22BE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0EC11F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7B108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35909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0F8B54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04EC55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F4CFE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D8A71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C8ECC7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D47948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E1AC77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4628C1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3A4942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BD3D76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8FAAE2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3F903F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31ABC4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3B4DE0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CB7B42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E85FED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58DBE4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9C919D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2F0E636"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EBC5353"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9D5695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B375F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649997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090EBF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2B8D04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71BD997" w14:textId="77777777" w:rsidR="00BF0919" w:rsidRPr="00962D42" w:rsidRDefault="00BF0919" w:rsidP="0064280E">
            <w:pPr>
              <w:jc w:val="center"/>
              <w:rPr>
                <w:rFonts w:ascii="Times New Roman" w:hAnsi="Times New Roman" w:cs="Times New Roman"/>
                <w:sz w:val="18"/>
                <w:szCs w:val="18"/>
              </w:rPr>
            </w:pPr>
          </w:p>
        </w:tc>
      </w:tr>
      <w:tr w:rsidR="00BF0919" w:rsidRPr="0064723F" w14:paraId="02F969B1" w14:textId="77777777" w:rsidTr="00A8541E">
        <w:trPr>
          <w:cantSplit/>
          <w:trHeight w:val="20"/>
          <w:jc w:val="center"/>
        </w:trPr>
        <w:tc>
          <w:tcPr>
            <w:tcW w:w="1057" w:type="dxa"/>
            <w:vMerge/>
            <w:vAlign w:val="center"/>
          </w:tcPr>
          <w:p w14:paraId="61B2C574"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24DD7C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F5B783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3205D3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BA471B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EAAC9C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90AAFE8"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7A0B12F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5E4B7E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270B92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97C77B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708AFA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48395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4CBBE8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5A172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6378E5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5C382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E42CB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494CAB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B30AA1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4F9FA4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502C85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6CB751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657A68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B9C8B9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FA3238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097A4F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49FD81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332C892"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E45626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6DDE430"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987D130"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A7110C7"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E9D832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BBE29D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958FF4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646AB53"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0276925" w14:textId="77777777" w:rsidR="00BF0919" w:rsidRPr="00962D42" w:rsidRDefault="00BF0919" w:rsidP="0064280E">
            <w:pPr>
              <w:jc w:val="center"/>
              <w:rPr>
                <w:rFonts w:ascii="Times New Roman" w:hAnsi="Times New Roman" w:cs="Times New Roman"/>
                <w:sz w:val="18"/>
                <w:szCs w:val="18"/>
              </w:rPr>
            </w:pPr>
          </w:p>
        </w:tc>
      </w:tr>
      <w:tr w:rsidR="00BF0919" w:rsidRPr="0064723F" w14:paraId="7567AD16" w14:textId="77777777" w:rsidTr="00A8541E">
        <w:trPr>
          <w:cantSplit/>
          <w:trHeight w:val="20"/>
          <w:jc w:val="center"/>
        </w:trPr>
        <w:tc>
          <w:tcPr>
            <w:tcW w:w="1057" w:type="dxa"/>
            <w:vMerge/>
            <w:vAlign w:val="center"/>
          </w:tcPr>
          <w:p w14:paraId="35585616"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8EB675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9E85AF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1F7B76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744971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D644DC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C093914"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8DF8BA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2FC97B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F5668A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0FAC36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286C9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D9B83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7DD38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28B3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18BEC7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FC12E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6E418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4D47318"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550293A"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F4A50D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10B24F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396C73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A646F0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A0348C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B0C358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E6EC5E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AAAEF6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AB037EF"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55EB80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DC67CB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2AC7890"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D9A099A"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96F11E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50E33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CD93BB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4D3B8A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960108B" w14:textId="77777777" w:rsidR="00BF0919" w:rsidRPr="00962D42" w:rsidRDefault="00BF0919" w:rsidP="0064280E">
            <w:pPr>
              <w:jc w:val="center"/>
              <w:rPr>
                <w:rFonts w:ascii="Times New Roman" w:hAnsi="Times New Roman" w:cs="Times New Roman"/>
                <w:sz w:val="18"/>
                <w:szCs w:val="18"/>
              </w:rPr>
            </w:pPr>
          </w:p>
        </w:tc>
      </w:tr>
      <w:tr w:rsidR="00BF0919" w:rsidRPr="0064723F" w14:paraId="010B3CB2" w14:textId="77777777" w:rsidTr="00A8541E">
        <w:trPr>
          <w:cantSplit/>
          <w:trHeight w:val="20"/>
          <w:jc w:val="center"/>
        </w:trPr>
        <w:tc>
          <w:tcPr>
            <w:tcW w:w="1057" w:type="dxa"/>
            <w:vMerge/>
            <w:vAlign w:val="center"/>
          </w:tcPr>
          <w:p w14:paraId="25682A4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82B381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14AB9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D06BD4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6974FD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5DDB94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61A978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534577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40B100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773643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0D8733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AC9BC2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44320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B3F4AA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1F869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27A2E5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451566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6CF5E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2361A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2656A3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7A82B5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994DD9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F05A9E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75481D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005533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757585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CE44A1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CFAF10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1FE6F72"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9061538"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968F70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AD8F69F"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07A0502"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41EEFFF"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1E9F4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75233C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798B4F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862CACE" w14:textId="77777777" w:rsidR="00BF0919" w:rsidRPr="00962D42" w:rsidRDefault="00BF0919" w:rsidP="0064280E">
            <w:pPr>
              <w:jc w:val="center"/>
              <w:rPr>
                <w:rFonts w:ascii="Times New Roman" w:hAnsi="Times New Roman" w:cs="Times New Roman"/>
                <w:sz w:val="18"/>
                <w:szCs w:val="18"/>
              </w:rPr>
            </w:pPr>
          </w:p>
        </w:tc>
      </w:tr>
      <w:tr w:rsidR="00BF0919" w:rsidRPr="0064723F" w14:paraId="0DAD0FA4" w14:textId="77777777" w:rsidTr="00A8541E">
        <w:trPr>
          <w:cantSplit/>
          <w:trHeight w:val="20"/>
          <w:jc w:val="center"/>
        </w:trPr>
        <w:tc>
          <w:tcPr>
            <w:tcW w:w="1057" w:type="dxa"/>
            <w:vMerge w:val="restart"/>
            <w:vAlign w:val="center"/>
            <w:hideMark/>
          </w:tcPr>
          <w:p w14:paraId="272435E2"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Tait and Cheung (2016)</w:t>
            </w:r>
          </w:p>
        </w:tc>
        <w:tc>
          <w:tcPr>
            <w:tcW w:w="244" w:type="dxa"/>
            <w:vMerge w:val="restart"/>
            <w:vAlign w:val="center"/>
            <w:hideMark/>
          </w:tcPr>
          <w:p w14:paraId="3333E1F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686F9A6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C842ED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604B03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CE9E35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3C41A09"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5527AE66"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E5A64C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1CDA264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7FC2E5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08B903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527323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BBE4B5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E5CF68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F6ACCF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F453E6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E77AAC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FDF07A1"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A3490F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7DA94523"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1CE5CE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4CE05A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2EBC5A79"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AE79646"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17CA563"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5E1BC6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004A0FD"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5CA0FC40"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26FA04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607D60D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4FA20A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4AC3981C"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35%FA+65%OPC&gt;&gt;33%</w:t>
            </w:r>
            <w:r w:rsidRPr="00A21754">
              <w:rPr>
                <w:rFonts w:ascii="Times New Roman" w:hAnsi="Times New Roman" w:cs="Times New Roman"/>
                <w:sz w:val="16"/>
                <w:szCs w:val="16"/>
              </w:rPr>
              <w:br/>
              <w:t>70%GGBS+30%OPC&gt;&gt;62.5%</w:t>
            </w:r>
          </w:p>
        </w:tc>
        <w:tc>
          <w:tcPr>
            <w:tcW w:w="201" w:type="dxa"/>
            <w:vAlign w:val="center"/>
          </w:tcPr>
          <w:p w14:paraId="4CAF442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AD6B88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1A70FE0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BCD8823"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6EC98C2" w14:textId="77777777" w:rsidR="00BF0919" w:rsidRPr="00962D42" w:rsidRDefault="00BF0919" w:rsidP="0064280E">
            <w:pPr>
              <w:jc w:val="center"/>
              <w:rPr>
                <w:rFonts w:ascii="Times New Roman" w:hAnsi="Times New Roman" w:cs="Times New Roman"/>
                <w:sz w:val="18"/>
                <w:szCs w:val="18"/>
              </w:rPr>
            </w:pPr>
          </w:p>
        </w:tc>
      </w:tr>
      <w:tr w:rsidR="00BF0919" w:rsidRPr="0064723F" w14:paraId="2C1F4C85" w14:textId="77777777" w:rsidTr="00A8541E">
        <w:trPr>
          <w:cantSplit/>
          <w:trHeight w:val="20"/>
          <w:jc w:val="center"/>
        </w:trPr>
        <w:tc>
          <w:tcPr>
            <w:tcW w:w="1057" w:type="dxa"/>
            <w:vMerge/>
            <w:vAlign w:val="center"/>
          </w:tcPr>
          <w:p w14:paraId="433DACC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01AB3A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B6AC13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98359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F1FEDD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6F3398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BF2B847"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994332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57BB50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5DC1D5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5F5A7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1F683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EDFB0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CC3BE0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5D791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FA644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E6EA1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AF419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74BB9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744C5E7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0D2308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A9BED8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AF4290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3D6312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B298A6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3B053D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E8D034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2C44A2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F5EC32B"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1721726"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0EECE12"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464440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0592D4C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CFA1E7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26F8B9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C4B05A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525DEA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8DB3224" w14:textId="77777777" w:rsidR="00BF0919" w:rsidRPr="00962D42" w:rsidRDefault="00BF0919" w:rsidP="0064280E">
            <w:pPr>
              <w:jc w:val="center"/>
              <w:rPr>
                <w:rFonts w:ascii="Times New Roman" w:hAnsi="Times New Roman" w:cs="Times New Roman"/>
                <w:sz w:val="18"/>
                <w:szCs w:val="18"/>
              </w:rPr>
            </w:pPr>
          </w:p>
        </w:tc>
      </w:tr>
      <w:tr w:rsidR="00BF0919" w:rsidRPr="0064723F" w14:paraId="5C6D7886" w14:textId="77777777" w:rsidTr="00A8541E">
        <w:trPr>
          <w:cantSplit/>
          <w:trHeight w:val="20"/>
          <w:jc w:val="center"/>
        </w:trPr>
        <w:tc>
          <w:tcPr>
            <w:tcW w:w="1057" w:type="dxa"/>
            <w:vMerge w:val="restart"/>
            <w:vAlign w:val="center"/>
            <w:hideMark/>
          </w:tcPr>
          <w:p w14:paraId="47C7620F"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lastRenderedPageBreak/>
              <w:t>Teh et al. (2017)</w:t>
            </w:r>
          </w:p>
        </w:tc>
        <w:tc>
          <w:tcPr>
            <w:tcW w:w="244" w:type="dxa"/>
            <w:vMerge w:val="restart"/>
            <w:vAlign w:val="center"/>
            <w:hideMark/>
          </w:tcPr>
          <w:p w14:paraId="4709A7D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58782357"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3F0AAB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2D19D0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E81BCA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22F4BD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0B7CD2D8"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4EB15F3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059F9EE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79F9B1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10CE04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603C18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9234BE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A24A9A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B8E1E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64346B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DFD0EC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02C035D"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4389ED4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D60F5F1"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2BC7F2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309C90F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1733EB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D389452"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E9ED1FA"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DEA2DF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BF3891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58DF487E"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08ECDD6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1F63A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E2CD73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94954D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30%FA+70%OPC&gt;&gt;9.8%</w:t>
            </w:r>
            <w:r w:rsidRPr="00A21754">
              <w:rPr>
                <w:rFonts w:ascii="Times New Roman" w:hAnsi="Times New Roman" w:cs="Times New Roman"/>
                <w:sz w:val="16"/>
                <w:szCs w:val="16"/>
              </w:rPr>
              <w:br/>
              <w:t>30%GGBS+70%OPC&gt;&gt;15.8%</w:t>
            </w:r>
          </w:p>
        </w:tc>
        <w:tc>
          <w:tcPr>
            <w:tcW w:w="201" w:type="dxa"/>
            <w:vAlign w:val="center"/>
          </w:tcPr>
          <w:p w14:paraId="0D4890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3D2C07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72F621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FD1D3CF"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FB7776E" w14:textId="77777777" w:rsidR="00BF0919" w:rsidRPr="00962D42" w:rsidRDefault="00BF0919" w:rsidP="0064280E">
            <w:pPr>
              <w:jc w:val="center"/>
              <w:rPr>
                <w:rFonts w:ascii="Times New Roman" w:hAnsi="Times New Roman" w:cs="Times New Roman"/>
                <w:sz w:val="18"/>
                <w:szCs w:val="18"/>
              </w:rPr>
            </w:pPr>
          </w:p>
        </w:tc>
      </w:tr>
      <w:tr w:rsidR="00BF0919" w:rsidRPr="0064723F" w14:paraId="2BC3DB86" w14:textId="77777777" w:rsidTr="00A8541E">
        <w:trPr>
          <w:cantSplit/>
          <w:trHeight w:val="20"/>
          <w:jc w:val="center"/>
        </w:trPr>
        <w:tc>
          <w:tcPr>
            <w:tcW w:w="1057" w:type="dxa"/>
            <w:vMerge/>
            <w:vAlign w:val="center"/>
          </w:tcPr>
          <w:p w14:paraId="6EB5840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497924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5D2B5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F9C4D6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A514AF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BB6DA8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0E92D61"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C7EA3A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159071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F722FB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A9DA22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6272D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DC25D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A4F95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AFE034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DCF924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2B9A7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D0A31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0C77A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25614A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B63619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EA3178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1C94DD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2BBD76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B4310A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6E219F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B0B60B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E8A1E9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3C4D6C8"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1709286"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6B1C652"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D11EEA4"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03FCBB8F"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11B4165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4CA0D0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66398D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5EA75C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EB408D7" w14:textId="77777777" w:rsidR="00BF0919" w:rsidRPr="00962D42" w:rsidRDefault="00BF0919" w:rsidP="0064280E">
            <w:pPr>
              <w:jc w:val="center"/>
              <w:rPr>
                <w:rFonts w:ascii="Times New Roman" w:hAnsi="Times New Roman" w:cs="Times New Roman"/>
                <w:sz w:val="18"/>
                <w:szCs w:val="18"/>
              </w:rPr>
            </w:pPr>
          </w:p>
        </w:tc>
      </w:tr>
      <w:tr w:rsidR="00BF0919" w:rsidRPr="0064723F" w14:paraId="7B77EF1B" w14:textId="77777777" w:rsidTr="00A8541E">
        <w:trPr>
          <w:cantSplit/>
          <w:trHeight w:val="20"/>
          <w:jc w:val="center"/>
        </w:trPr>
        <w:tc>
          <w:tcPr>
            <w:tcW w:w="1057" w:type="dxa"/>
            <w:vMerge w:val="restart"/>
            <w:vAlign w:val="center"/>
            <w:hideMark/>
          </w:tcPr>
          <w:p w14:paraId="13C97F18"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Gan et al. (2019)</w:t>
            </w:r>
          </w:p>
        </w:tc>
        <w:tc>
          <w:tcPr>
            <w:tcW w:w="244" w:type="dxa"/>
            <w:vMerge w:val="restart"/>
            <w:vAlign w:val="center"/>
            <w:hideMark/>
          </w:tcPr>
          <w:p w14:paraId="341D864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BB4FB0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190E2B7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FA5F61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CDF320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98F875F"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624903E7"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6279E32"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58EC9F8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8B012A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5C91F2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FBD371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8F76D5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72A390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9D9E77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79226C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E6C3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BE09DA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Merge w:val="restart"/>
            <w:vAlign w:val="center"/>
            <w:hideMark/>
          </w:tcPr>
          <w:p w14:paraId="430DAAB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7E5C445D"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4B7A1F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3CD5614"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76BEC7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25BA212"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065445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17FC63A1"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886D8AD"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8333FBC"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120F5C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48827F8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16357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6B2F138D"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25%FA+75%OPC&gt;&gt;22.6%~23.4%</w:t>
            </w:r>
            <w:r w:rsidRPr="00A21754">
              <w:rPr>
                <w:rFonts w:ascii="Times New Roman" w:hAnsi="Times New Roman" w:cs="Times New Roman"/>
                <w:sz w:val="16"/>
                <w:szCs w:val="16"/>
              </w:rPr>
              <w:br/>
              <w:t>35%FA+65%OPC&gt;&gt;31.7%~32.7%</w:t>
            </w:r>
            <w:r w:rsidRPr="00A21754">
              <w:rPr>
                <w:rFonts w:ascii="Times New Roman" w:hAnsi="Times New Roman" w:cs="Times New Roman"/>
                <w:sz w:val="16"/>
                <w:szCs w:val="16"/>
              </w:rPr>
              <w:br/>
              <w:t>35%GGBS+65%OPC&gt;&gt;29.4%~30.1%</w:t>
            </w:r>
            <w:r w:rsidRPr="00A21754">
              <w:rPr>
                <w:rFonts w:ascii="Times New Roman" w:hAnsi="Times New Roman" w:cs="Times New Roman"/>
                <w:sz w:val="16"/>
                <w:szCs w:val="16"/>
              </w:rPr>
              <w:br/>
              <w:t>75%GGBS+25%OPC&gt;&gt;62.6%~64.7%</w:t>
            </w:r>
          </w:p>
        </w:tc>
        <w:tc>
          <w:tcPr>
            <w:tcW w:w="201" w:type="dxa"/>
            <w:vAlign w:val="center"/>
          </w:tcPr>
          <w:p w14:paraId="080DE6A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855A99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95816C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36E424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7F19F45" w14:textId="77777777" w:rsidR="00BF0919" w:rsidRPr="00962D42" w:rsidRDefault="00BF0919" w:rsidP="0064280E">
            <w:pPr>
              <w:jc w:val="center"/>
              <w:rPr>
                <w:rFonts w:ascii="Times New Roman" w:hAnsi="Times New Roman" w:cs="Times New Roman"/>
                <w:sz w:val="18"/>
                <w:szCs w:val="18"/>
              </w:rPr>
            </w:pPr>
          </w:p>
        </w:tc>
      </w:tr>
      <w:tr w:rsidR="00BF0919" w:rsidRPr="0064723F" w14:paraId="5DB245AA" w14:textId="77777777" w:rsidTr="00A8541E">
        <w:trPr>
          <w:cantSplit/>
          <w:trHeight w:val="20"/>
          <w:jc w:val="center"/>
        </w:trPr>
        <w:tc>
          <w:tcPr>
            <w:tcW w:w="1057" w:type="dxa"/>
            <w:vMerge/>
            <w:vAlign w:val="center"/>
          </w:tcPr>
          <w:p w14:paraId="431CE53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692DD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B3BF1E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5BBC34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F3F09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04FFEC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7ED122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CDEF69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0A6686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AFF183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750108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96E74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9337FA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7B458D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C04A9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7F9E4E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CE992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D5577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8926DA"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7A462F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876966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8747EA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82B9DF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C57E9A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3AB1B6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647551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99884A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B2531E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CF8A98A"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A8CCA3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56361A2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495841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26FA0662"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0D399C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0BEEEF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7E134E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5B7088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59CE62D4" w14:textId="77777777" w:rsidR="00BF0919" w:rsidRPr="00962D42" w:rsidRDefault="00BF0919" w:rsidP="0064280E">
            <w:pPr>
              <w:jc w:val="center"/>
              <w:rPr>
                <w:rFonts w:ascii="Times New Roman" w:hAnsi="Times New Roman" w:cs="Times New Roman"/>
                <w:sz w:val="18"/>
                <w:szCs w:val="18"/>
              </w:rPr>
            </w:pPr>
          </w:p>
        </w:tc>
      </w:tr>
      <w:tr w:rsidR="00BF0919" w:rsidRPr="0064723F" w14:paraId="5CB45C55" w14:textId="77777777" w:rsidTr="00A8541E">
        <w:trPr>
          <w:cantSplit/>
          <w:trHeight w:val="20"/>
          <w:jc w:val="center"/>
        </w:trPr>
        <w:tc>
          <w:tcPr>
            <w:tcW w:w="1057" w:type="dxa"/>
            <w:vMerge/>
            <w:vAlign w:val="center"/>
          </w:tcPr>
          <w:p w14:paraId="1B27851E"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62A9B2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8E028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204B29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9441CC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50FE00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D12EE39"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A49CD9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C60B4E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508F1B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2DAD4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A5C843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A49C1C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A9A8EF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66B2D4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B5330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A73171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48AF5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7B26A5"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E866ED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65630D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39BF3E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0E7E7C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BB3FD2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304D4E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B67AFA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3CA736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8BB340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0C7CE0E"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C38BCF0"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7B51276"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8921974"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7E72FC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2B21182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FA8336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2C81EA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24DB82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A9E79D2" w14:textId="77777777" w:rsidR="00BF0919" w:rsidRPr="00962D42" w:rsidRDefault="00BF0919" w:rsidP="0064280E">
            <w:pPr>
              <w:jc w:val="center"/>
              <w:rPr>
                <w:rFonts w:ascii="Times New Roman" w:hAnsi="Times New Roman" w:cs="Times New Roman"/>
                <w:sz w:val="18"/>
                <w:szCs w:val="18"/>
              </w:rPr>
            </w:pPr>
          </w:p>
        </w:tc>
      </w:tr>
      <w:tr w:rsidR="00BF0919" w:rsidRPr="0064723F" w14:paraId="5046E45C" w14:textId="77777777" w:rsidTr="00A8541E">
        <w:trPr>
          <w:cantSplit/>
          <w:trHeight w:val="20"/>
          <w:jc w:val="center"/>
        </w:trPr>
        <w:tc>
          <w:tcPr>
            <w:tcW w:w="1057" w:type="dxa"/>
            <w:vMerge/>
            <w:vAlign w:val="center"/>
          </w:tcPr>
          <w:p w14:paraId="0E470A10"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659D1D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ED410A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88EBD1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6F8011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34E362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A815B59"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7F9A60F6"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086C95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DE6A76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4B11F5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A0C2F4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07EE5D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F43B57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39603C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1AD57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7BDB3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F96CF6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79ED817"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3D4BD0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363904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DA1CCA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3340D1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EE7D61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F0D385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937A22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65544C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03C7B7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B59FAD2"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5F81BAA"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A4A14AA"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707714F"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392BC57"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F502AE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189A1F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817BC0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1961C7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56CEA2C3" w14:textId="77777777" w:rsidR="00BF0919" w:rsidRPr="00962D42" w:rsidRDefault="00BF0919" w:rsidP="0064280E">
            <w:pPr>
              <w:jc w:val="center"/>
              <w:rPr>
                <w:rFonts w:ascii="Times New Roman" w:hAnsi="Times New Roman" w:cs="Times New Roman"/>
                <w:sz w:val="18"/>
                <w:szCs w:val="18"/>
              </w:rPr>
            </w:pPr>
          </w:p>
        </w:tc>
      </w:tr>
      <w:tr w:rsidR="00BF0919" w:rsidRPr="0064723F" w14:paraId="5818A2DB" w14:textId="77777777" w:rsidTr="00A8541E">
        <w:trPr>
          <w:cantSplit/>
          <w:trHeight w:val="20"/>
          <w:jc w:val="center"/>
        </w:trPr>
        <w:tc>
          <w:tcPr>
            <w:tcW w:w="1057" w:type="dxa"/>
            <w:vAlign w:val="center"/>
            <w:hideMark/>
          </w:tcPr>
          <w:p w14:paraId="4AB38F3D"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Teng and Pan (2019)</w:t>
            </w:r>
          </w:p>
        </w:tc>
        <w:tc>
          <w:tcPr>
            <w:tcW w:w="244" w:type="dxa"/>
            <w:vAlign w:val="center"/>
            <w:hideMark/>
          </w:tcPr>
          <w:p w14:paraId="658AEDA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DCB047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07828C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6CC1D77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374341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BFF4F5C"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0C948A0A"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398060CC"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0D0E50A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793992C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0C1A4C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FDB4C2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B04155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6B3301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3482CC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2EAD35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5BB876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646547C"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4323D9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51586C1B"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4838354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F60CD18"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FA8E591"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D7BA8F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0C0DFBE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tcPr>
          <w:p w14:paraId="0F857D40"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0F22B9CC"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423E8DC4"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74D17D0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23B76EA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4F1D048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2742FB7F"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25%FA+75%OPC&gt;&gt;9.8%</w:t>
            </w:r>
          </w:p>
        </w:tc>
        <w:tc>
          <w:tcPr>
            <w:tcW w:w="201" w:type="dxa"/>
            <w:vAlign w:val="center"/>
          </w:tcPr>
          <w:p w14:paraId="4FB6EBD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378158A3"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832496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C367BE9"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113C79C8" w14:textId="77777777" w:rsidR="00BF0919" w:rsidRPr="00962D42" w:rsidRDefault="00BF0919" w:rsidP="0064280E">
            <w:pPr>
              <w:jc w:val="center"/>
              <w:rPr>
                <w:rFonts w:ascii="Times New Roman" w:hAnsi="Times New Roman" w:cs="Times New Roman"/>
                <w:sz w:val="18"/>
                <w:szCs w:val="18"/>
              </w:rPr>
            </w:pPr>
          </w:p>
        </w:tc>
      </w:tr>
      <w:tr w:rsidR="00BF0919" w:rsidRPr="0064723F" w14:paraId="12202B7C" w14:textId="77777777" w:rsidTr="00A8541E">
        <w:trPr>
          <w:cantSplit/>
          <w:trHeight w:val="20"/>
          <w:jc w:val="center"/>
        </w:trPr>
        <w:tc>
          <w:tcPr>
            <w:tcW w:w="1057" w:type="dxa"/>
            <w:vMerge w:val="restart"/>
            <w:vAlign w:val="center"/>
            <w:hideMark/>
          </w:tcPr>
          <w:p w14:paraId="442C840D"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Zhang et al. (2018)</w:t>
            </w:r>
          </w:p>
        </w:tc>
        <w:tc>
          <w:tcPr>
            <w:tcW w:w="244" w:type="dxa"/>
            <w:vMerge w:val="restart"/>
            <w:vAlign w:val="center"/>
            <w:hideMark/>
          </w:tcPr>
          <w:p w14:paraId="7AD2AE0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F6C25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2F7E30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ACCFC47"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4F6F1F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0AD066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68DB019E"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4D9FBB1"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999815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104418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B53684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9D381F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22EE6B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550EB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362314A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ADBC95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CC71E4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DE1CC1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Merge w:val="restart"/>
            <w:vAlign w:val="center"/>
            <w:hideMark/>
          </w:tcPr>
          <w:p w14:paraId="3A5F1B3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DA4FCA7"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D7D786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181947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32A3D6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6816E0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E670C4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224E3AA3"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2E2C3FF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29E4B14"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3DB33D7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204AF51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76A99041"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620FF51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30%FA+70%OPC&gt;&gt;16.2%~18.4%</w:t>
            </w:r>
            <w:r w:rsidRPr="00A21754">
              <w:rPr>
                <w:rFonts w:ascii="Times New Roman" w:hAnsi="Times New Roman" w:cs="Times New Roman"/>
                <w:sz w:val="16"/>
                <w:szCs w:val="16"/>
              </w:rPr>
              <w:br/>
              <w:t>50%GGBS+50%OPC&gt;&gt;25.4%~26.4%</w:t>
            </w:r>
            <w:r w:rsidRPr="00A21754">
              <w:rPr>
                <w:rFonts w:ascii="Times New Roman" w:hAnsi="Times New Roman" w:cs="Times New Roman"/>
                <w:sz w:val="16"/>
                <w:szCs w:val="16"/>
              </w:rPr>
              <w:br/>
              <w:t>15%LP+85%OPC&gt;&gt;7.8%~8.8%</w:t>
            </w:r>
          </w:p>
        </w:tc>
        <w:tc>
          <w:tcPr>
            <w:tcW w:w="201" w:type="dxa"/>
            <w:vAlign w:val="center"/>
          </w:tcPr>
          <w:p w14:paraId="193A475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BD012E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872CFA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7955DD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83DB39C" w14:textId="77777777" w:rsidR="00BF0919" w:rsidRPr="00962D42" w:rsidRDefault="00BF0919" w:rsidP="0064280E">
            <w:pPr>
              <w:jc w:val="center"/>
              <w:rPr>
                <w:rFonts w:ascii="Times New Roman" w:hAnsi="Times New Roman" w:cs="Times New Roman"/>
                <w:sz w:val="18"/>
                <w:szCs w:val="18"/>
              </w:rPr>
            </w:pPr>
          </w:p>
        </w:tc>
      </w:tr>
      <w:tr w:rsidR="00BF0919" w:rsidRPr="0064723F" w14:paraId="01E4FC7F" w14:textId="77777777" w:rsidTr="00A8541E">
        <w:trPr>
          <w:cantSplit/>
          <w:trHeight w:val="20"/>
          <w:jc w:val="center"/>
        </w:trPr>
        <w:tc>
          <w:tcPr>
            <w:tcW w:w="1057" w:type="dxa"/>
            <w:vMerge/>
            <w:vAlign w:val="center"/>
          </w:tcPr>
          <w:p w14:paraId="7730F648"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C6517E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D51BF9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431090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83462A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CBA80D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9ED3A21"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7CDBDA2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94D060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AECF7C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E9B6A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11E59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A1840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5401C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9D3F57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37CEAD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A490ED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FCA5F4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1B65AEC"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BCADCB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081145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2F5531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881C0A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4C9511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A399C1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F257D3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C425C0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8D28F8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0DA07D7"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76B80F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24091D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22727A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32980B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A3B01B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4BD5CD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F9E6C2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BA8172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A8CAD65" w14:textId="77777777" w:rsidR="00BF0919" w:rsidRPr="00962D42" w:rsidRDefault="00BF0919" w:rsidP="0064280E">
            <w:pPr>
              <w:jc w:val="center"/>
              <w:rPr>
                <w:rFonts w:ascii="Times New Roman" w:hAnsi="Times New Roman" w:cs="Times New Roman"/>
                <w:sz w:val="18"/>
                <w:szCs w:val="18"/>
              </w:rPr>
            </w:pPr>
          </w:p>
        </w:tc>
      </w:tr>
      <w:tr w:rsidR="00BF0919" w:rsidRPr="0064723F" w14:paraId="1E1FE051" w14:textId="77777777" w:rsidTr="00A8541E">
        <w:trPr>
          <w:cantSplit/>
          <w:trHeight w:val="20"/>
          <w:jc w:val="center"/>
        </w:trPr>
        <w:tc>
          <w:tcPr>
            <w:tcW w:w="1057" w:type="dxa"/>
            <w:vMerge/>
            <w:vAlign w:val="center"/>
          </w:tcPr>
          <w:p w14:paraId="48B750E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BA793A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6D9119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0849B1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A3F3F1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763242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6EAFC2"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E5952C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3CAA4E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0259D6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E14E7B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0B1D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7D109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F16B6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B261B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5BFA7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A424D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25E06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11EFE9B"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D1A275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F644D2A"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5F0FC5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90D810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61B4BC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03636C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E0605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CDBA5B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1724B3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8BBFA48"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E7D87AD"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0CAEAC9"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39E136F"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25C712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F6E9BB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159C46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BD0915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B647BF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8F585EF" w14:textId="77777777" w:rsidR="00BF0919" w:rsidRPr="00962D42" w:rsidRDefault="00BF0919" w:rsidP="0064280E">
            <w:pPr>
              <w:jc w:val="center"/>
              <w:rPr>
                <w:rFonts w:ascii="Times New Roman" w:hAnsi="Times New Roman" w:cs="Times New Roman"/>
                <w:sz w:val="18"/>
                <w:szCs w:val="18"/>
              </w:rPr>
            </w:pPr>
          </w:p>
        </w:tc>
      </w:tr>
      <w:tr w:rsidR="00BF0919" w:rsidRPr="0064723F" w14:paraId="591738E0" w14:textId="77777777" w:rsidTr="00A8541E">
        <w:trPr>
          <w:cantSplit/>
          <w:trHeight w:val="20"/>
          <w:jc w:val="center"/>
        </w:trPr>
        <w:tc>
          <w:tcPr>
            <w:tcW w:w="1057" w:type="dxa"/>
            <w:vAlign w:val="center"/>
            <w:hideMark/>
          </w:tcPr>
          <w:p w14:paraId="47ED49A2" w14:textId="77777777" w:rsidR="00BF0919" w:rsidRPr="00A21754"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Crossin (2015)</w:t>
            </w:r>
          </w:p>
        </w:tc>
        <w:tc>
          <w:tcPr>
            <w:tcW w:w="244" w:type="dxa"/>
            <w:vAlign w:val="center"/>
            <w:hideMark/>
          </w:tcPr>
          <w:p w14:paraId="752EAD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1AB99BE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D9F18E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B8A446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26F2D5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E2C0B9F"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3AC6AD80"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72FAE01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1D72BA7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568AD1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BC626B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BC864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1BE555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DDCCEA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AF0098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5A94C9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AEC159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E045E46" w14:textId="77777777" w:rsidR="00BF0919" w:rsidRPr="00962D42" w:rsidRDefault="00BF0919" w:rsidP="0064280E">
            <w:pPr>
              <w:jc w:val="center"/>
              <w:rPr>
                <w:rFonts w:ascii="Times New Roman" w:hAnsi="Times New Roman" w:cs="Times New Roman"/>
                <w:sz w:val="18"/>
                <w:szCs w:val="18"/>
              </w:rPr>
            </w:pPr>
          </w:p>
        </w:tc>
        <w:tc>
          <w:tcPr>
            <w:tcW w:w="264" w:type="dxa"/>
            <w:noWrap/>
            <w:vAlign w:val="center"/>
            <w:hideMark/>
          </w:tcPr>
          <w:p w14:paraId="68A19445"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19C20A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4407D57C"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B95C43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B949D50"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F63D64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4218325"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4B0F23D"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349F929"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67E85C0E"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58206DD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6F22820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19E35E3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42A19694"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70%GGBS+30%OPC&gt;&gt;47.5%</w:t>
            </w:r>
          </w:p>
        </w:tc>
        <w:tc>
          <w:tcPr>
            <w:tcW w:w="201" w:type="dxa"/>
            <w:vAlign w:val="center"/>
          </w:tcPr>
          <w:p w14:paraId="4C1A939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29DE4CC"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E5F3C2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5692858B"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E1A1151" w14:textId="77777777" w:rsidR="00BF0919" w:rsidRPr="00962D42" w:rsidRDefault="00BF0919" w:rsidP="0064280E">
            <w:pPr>
              <w:jc w:val="center"/>
              <w:rPr>
                <w:rFonts w:ascii="Times New Roman" w:hAnsi="Times New Roman" w:cs="Times New Roman"/>
                <w:sz w:val="18"/>
                <w:szCs w:val="18"/>
              </w:rPr>
            </w:pPr>
          </w:p>
        </w:tc>
      </w:tr>
      <w:tr w:rsidR="00BF0919" w:rsidRPr="0064723F" w14:paraId="425677BC" w14:textId="77777777" w:rsidTr="00A8541E">
        <w:trPr>
          <w:cantSplit/>
          <w:trHeight w:val="20"/>
          <w:jc w:val="center"/>
        </w:trPr>
        <w:tc>
          <w:tcPr>
            <w:tcW w:w="1057" w:type="dxa"/>
            <w:vMerge w:val="restart"/>
            <w:vAlign w:val="center"/>
            <w:hideMark/>
          </w:tcPr>
          <w:p w14:paraId="6AEDCB27" w14:textId="77777777" w:rsidR="00BF0919" w:rsidRPr="00A21754"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Gan, Chan, et al. (2017)</w:t>
            </w:r>
          </w:p>
        </w:tc>
        <w:tc>
          <w:tcPr>
            <w:tcW w:w="244" w:type="dxa"/>
            <w:vMerge w:val="restart"/>
            <w:vAlign w:val="center"/>
            <w:hideMark/>
          </w:tcPr>
          <w:p w14:paraId="3F9798F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5D3467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0543392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EF4FCB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78FC70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1D258FE"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7DACC3C3"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7DF1896"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74BF0F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0D2E4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58ED7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3EEAAB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618C89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FD3F79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1CF02B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DA75D8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8BAD47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27682D9"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378684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3E9972D1"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1FD68D3A"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4F4A09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7C2B03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2EF915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BA687A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3EAEC02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10D56C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07C6F141"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7621FF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115CC72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2F5221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CDD0E82"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35%FA+65%OPC&gt;&gt;20%</w:t>
            </w:r>
            <w:r w:rsidRPr="00A21754">
              <w:rPr>
                <w:rFonts w:ascii="Times New Roman" w:hAnsi="Times New Roman" w:cs="Times New Roman"/>
                <w:sz w:val="16"/>
                <w:szCs w:val="16"/>
              </w:rPr>
              <w:br/>
              <w:t>75%GGBS+25%OPC&gt;&gt;22.2%</w:t>
            </w:r>
          </w:p>
        </w:tc>
        <w:tc>
          <w:tcPr>
            <w:tcW w:w="201" w:type="dxa"/>
            <w:vAlign w:val="center"/>
          </w:tcPr>
          <w:p w14:paraId="4782829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4D8D45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D55EBC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442647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21608A5" w14:textId="77777777" w:rsidR="00BF0919" w:rsidRPr="00962D42" w:rsidRDefault="00BF0919" w:rsidP="0064280E">
            <w:pPr>
              <w:jc w:val="center"/>
              <w:rPr>
                <w:rFonts w:ascii="Times New Roman" w:hAnsi="Times New Roman" w:cs="Times New Roman"/>
                <w:sz w:val="18"/>
                <w:szCs w:val="18"/>
              </w:rPr>
            </w:pPr>
          </w:p>
        </w:tc>
      </w:tr>
      <w:tr w:rsidR="00BF0919" w:rsidRPr="0064723F" w14:paraId="7F936854" w14:textId="77777777" w:rsidTr="00A8541E">
        <w:trPr>
          <w:cantSplit/>
          <w:trHeight w:val="20"/>
          <w:jc w:val="center"/>
        </w:trPr>
        <w:tc>
          <w:tcPr>
            <w:tcW w:w="1057" w:type="dxa"/>
            <w:vMerge/>
            <w:vAlign w:val="center"/>
          </w:tcPr>
          <w:p w14:paraId="0A3C4051"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47C0EC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650FB8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CF670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EB1503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35F167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EC930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BD1C3F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958CD8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ED271B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A623F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2AAAD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DE849A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5D6B5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EB0DB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17A191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42191F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E9D8A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290DF4"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609259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7F373BC"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1ABCC6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6CCCAA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988517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DA9734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8B7739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0D9F55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4A5FF1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F390D20"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AB93567"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5E4293C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B2BE73A"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E525CD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8BF48A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D5294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4159D3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C3D7C4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DD6AC0F" w14:textId="77777777" w:rsidR="00BF0919" w:rsidRPr="00962D42" w:rsidRDefault="00BF0919" w:rsidP="0064280E">
            <w:pPr>
              <w:jc w:val="center"/>
              <w:rPr>
                <w:rFonts w:ascii="Times New Roman" w:hAnsi="Times New Roman" w:cs="Times New Roman"/>
                <w:sz w:val="18"/>
                <w:szCs w:val="18"/>
              </w:rPr>
            </w:pPr>
          </w:p>
        </w:tc>
      </w:tr>
      <w:tr w:rsidR="00BF0919" w:rsidRPr="0064723F" w14:paraId="1BCD4034" w14:textId="77777777" w:rsidTr="00A8541E">
        <w:trPr>
          <w:cantSplit/>
          <w:trHeight w:val="20"/>
          <w:jc w:val="center"/>
        </w:trPr>
        <w:tc>
          <w:tcPr>
            <w:tcW w:w="1057" w:type="dxa"/>
            <w:vMerge w:val="restart"/>
            <w:vAlign w:val="center"/>
            <w:hideMark/>
          </w:tcPr>
          <w:p w14:paraId="55165726"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Huang et al. (2019)</w:t>
            </w:r>
          </w:p>
        </w:tc>
        <w:tc>
          <w:tcPr>
            <w:tcW w:w="244" w:type="dxa"/>
            <w:vMerge w:val="restart"/>
            <w:vAlign w:val="center"/>
            <w:hideMark/>
          </w:tcPr>
          <w:p w14:paraId="551A37B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69D8BC2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AB6047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3D7530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69A0E8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F2C7E80"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68FDE172"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EBEB0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2484040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79BF2E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4C3ABF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1A9075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5C8C2C1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88435C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30F57A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EA2650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70AA2B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E1068BF"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168F385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0F700F23"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59015C6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443899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4E02C823"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BC4D5D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94C348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B880B5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D26E7F5"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89D916C"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0FE0B9E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3B4861F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62E3A13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51AC9C50"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10%GGBS+90%OPC&gt;&gt;8.5%</w:t>
            </w:r>
            <w:r w:rsidRPr="00A21754">
              <w:rPr>
                <w:rFonts w:ascii="Times New Roman" w:hAnsi="Times New Roman" w:cs="Times New Roman"/>
                <w:sz w:val="16"/>
                <w:szCs w:val="16"/>
              </w:rPr>
              <w:br/>
              <w:t>20%GGBS+80%OPC&gt;&gt;17.6%</w:t>
            </w:r>
            <w:r w:rsidRPr="00A21754">
              <w:rPr>
                <w:rFonts w:ascii="Times New Roman" w:hAnsi="Times New Roman" w:cs="Times New Roman"/>
                <w:sz w:val="16"/>
                <w:szCs w:val="16"/>
              </w:rPr>
              <w:br/>
              <w:t>40%GGBS+60%OPC&gt;&gt;36.5%</w:t>
            </w:r>
          </w:p>
        </w:tc>
        <w:tc>
          <w:tcPr>
            <w:tcW w:w="201" w:type="dxa"/>
            <w:vAlign w:val="center"/>
          </w:tcPr>
          <w:p w14:paraId="65F581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1663CCD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DB587F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82E6D0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81A160F" w14:textId="77777777" w:rsidR="00BF0919" w:rsidRPr="00962D42" w:rsidRDefault="00BF0919" w:rsidP="0064280E">
            <w:pPr>
              <w:jc w:val="center"/>
              <w:rPr>
                <w:rFonts w:ascii="Times New Roman" w:hAnsi="Times New Roman" w:cs="Times New Roman"/>
                <w:sz w:val="18"/>
                <w:szCs w:val="18"/>
              </w:rPr>
            </w:pPr>
          </w:p>
        </w:tc>
      </w:tr>
      <w:tr w:rsidR="00BF0919" w:rsidRPr="0064723F" w14:paraId="33671438" w14:textId="77777777" w:rsidTr="00A8541E">
        <w:trPr>
          <w:cantSplit/>
          <w:trHeight w:val="20"/>
          <w:jc w:val="center"/>
        </w:trPr>
        <w:tc>
          <w:tcPr>
            <w:tcW w:w="1057" w:type="dxa"/>
            <w:vMerge/>
            <w:vAlign w:val="center"/>
          </w:tcPr>
          <w:p w14:paraId="2C24BD05"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874302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C67F8A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BABFC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65C66C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1E085C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795C83"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3DF0E6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F37F576"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0D06F4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749041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2E49A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5CC9C6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599FF1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DC6BC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206B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4D8E50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D7CC8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CF639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32B6E7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438CAE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1CBEDC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76EF06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609368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A7C7DE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4F5EF1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9E3056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552058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6ABA540"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1EF567A"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5D5521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3BA6EE1"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23C8EA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8383E4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0BA25C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048F48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9DA9F3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31ABA3B" w14:textId="77777777" w:rsidR="00BF0919" w:rsidRPr="00962D42" w:rsidRDefault="00BF0919" w:rsidP="0064280E">
            <w:pPr>
              <w:jc w:val="center"/>
              <w:rPr>
                <w:rFonts w:ascii="Times New Roman" w:hAnsi="Times New Roman" w:cs="Times New Roman"/>
                <w:sz w:val="18"/>
                <w:szCs w:val="18"/>
              </w:rPr>
            </w:pPr>
          </w:p>
        </w:tc>
      </w:tr>
      <w:tr w:rsidR="00BF0919" w:rsidRPr="0064723F" w14:paraId="5986067A" w14:textId="77777777" w:rsidTr="00A8541E">
        <w:trPr>
          <w:cantSplit/>
          <w:trHeight w:val="20"/>
          <w:jc w:val="center"/>
        </w:trPr>
        <w:tc>
          <w:tcPr>
            <w:tcW w:w="1057" w:type="dxa"/>
            <w:vMerge/>
            <w:vAlign w:val="center"/>
          </w:tcPr>
          <w:p w14:paraId="147F7753"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911608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AAFF4E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540DA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29B91B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530C94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A5A4E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CB4B13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AFEC5A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AF230A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412FF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DAD51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2E184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065D00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CEA88E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925F5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66004D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A57D9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D02EDA"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4A213C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8DD5DB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F60CD3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FAE408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AEE4AB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2B4457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8D8AB0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B27425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C28863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9B2469F"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74C1CCE"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DF9B28D"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F43890A"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CED18D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EDF435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626C91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8FCDCC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7ADC5D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08A6D0C" w14:textId="77777777" w:rsidR="00BF0919" w:rsidRPr="00962D42" w:rsidRDefault="00BF0919" w:rsidP="0064280E">
            <w:pPr>
              <w:jc w:val="center"/>
              <w:rPr>
                <w:rFonts w:ascii="Times New Roman" w:hAnsi="Times New Roman" w:cs="Times New Roman"/>
                <w:sz w:val="18"/>
                <w:szCs w:val="18"/>
              </w:rPr>
            </w:pPr>
          </w:p>
        </w:tc>
      </w:tr>
      <w:tr w:rsidR="00BF0919" w:rsidRPr="0064723F" w14:paraId="2FA64A7F" w14:textId="77777777" w:rsidTr="00A8541E">
        <w:trPr>
          <w:cantSplit/>
          <w:trHeight w:val="20"/>
          <w:jc w:val="center"/>
        </w:trPr>
        <w:tc>
          <w:tcPr>
            <w:tcW w:w="1057" w:type="dxa"/>
            <w:vMerge w:val="restart"/>
            <w:vAlign w:val="center"/>
            <w:hideMark/>
          </w:tcPr>
          <w:p w14:paraId="05B35B1B"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Gan et al. (2018)</w:t>
            </w:r>
          </w:p>
        </w:tc>
        <w:tc>
          <w:tcPr>
            <w:tcW w:w="244" w:type="dxa"/>
            <w:vMerge w:val="restart"/>
            <w:vAlign w:val="center"/>
            <w:hideMark/>
          </w:tcPr>
          <w:p w14:paraId="4CBABF2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343F25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0B3DB47"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EF0021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88C26C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3B7BF7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2B39DE2D"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60D2DED"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2A7C52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9440E4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2E4F68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4D2D4D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73B10B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FFE396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6ED830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0C8967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A41DF1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C18A9EF"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93C065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3ECD4E77"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54810E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8BD80C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9022CB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37AE4FE"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CAF9CB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381B29E3"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0522BF6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2115DFBC"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5F34F8C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E39B19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65E643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E367514"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25% FA+75% OPC&gt;&gt;19.4%~21.6%</w:t>
            </w:r>
            <w:r w:rsidRPr="00A21754">
              <w:rPr>
                <w:rFonts w:ascii="Times New Roman" w:hAnsi="Times New Roman" w:cs="Times New Roman"/>
                <w:sz w:val="16"/>
                <w:szCs w:val="16"/>
              </w:rPr>
              <w:br/>
              <w:t>35% FA+65% OPC&gt;&gt;27.8%~30%</w:t>
            </w:r>
            <w:r w:rsidRPr="00A21754">
              <w:rPr>
                <w:rFonts w:ascii="Times New Roman" w:hAnsi="Times New Roman" w:cs="Times New Roman"/>
                <w:sz w:val="16"/>
                <w:szCs w:val="16"/>
              </w:rPr>
              <w:br/>
              <w:t>50%GGBS+50%OPC&gt;&gt;26.4%~27.5%</w:t>
            </w:r>
            <w:r w:rsidRPr="00A21754">
              <w:rPr>
                <w:rFonts w:ascii="Times New Roman" w:hAnsi="Times New Roman" w:cs="Times New Roman"/>
                <w:sz w:val="16"/>
                <w:szCs w:val="16"/>
              </w:rPr>
              <w:br/>
              <w:t>75%GGBS+25%OPC&gt;&gt;55.6%~59.2%</w:t>
            </w:r>
          </w:p>
        </w:tc>
        <w:tc>
          <w:tcPr>
            <w:tcW w:w="201" w:type="dxa"/>
            <w:vAlign w:val="center"/>
          </w:tcPr>
          <w:p w14:paraId="0A3672D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5E024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2F39AD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688E2EF"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C76ABB6" w14:textId="77777777" w:rsidR="00BF0919" w:rsidRPr="00962D42" w:rsidRDefault="00BF0919" w:rsidP="0064280E">
            <w:pPr>
              <w:jc w:val="center"/>
              <w:rPr>
                <w:rFonts w:ascii="Times New Roman" w:hAnsi="Times New Roman" w:cs="Times New Roman"/>
                <w:sz w:val="18"/>
                <w:szCs w:val="18"/>
              </w:rPr>
            </w:pPr>
          </w:p>
        </w:tc>
      </w:tr>
      <w:tr w:rsidR="00BF0919" w:rsidRPr="0064723F" w14:paraId="1076CB70" w14:textId="77777777" w:rsidTr="00A8541E">
        <w:trPr>
          <w:cantSplit/>
          <w:trHeight w:val="20"/>
          <w:jc w:val="center"/>
        </w:trPr>
        <w:tc>
          <w:tcPr>
            <w:tcW w:w="1057" w:type="dxa"/>
            <w:vMerge/>
            <w:vAlign w:val="center"/>
          </w:tcPr>
          <w:p w14:paraId="1984BAC3"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3FD8F6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1731D9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843D68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8A696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1FAE16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0A6C4DF"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8DB9AA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BC87AB1"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517AE7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8D071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555BA8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4E07C5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31001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80381E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9BE63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CDAE42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46EA94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4608965"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683AC8D"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47F744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89D174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D928A7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9D7776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A0CD21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8E5434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E52E31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CDEE39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DCCEEF8"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9F86A0B"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A0932EA"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DF30BD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01AAA06"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29F97D6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34B938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566AE9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F444121"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8834EE6" w14:textId="77777777" w:rsidR="00BF0919" w:rsidRPr="00962D42" w:rsidRDefault="00BF0919" w:rsidP="0064280E">
            <w:pPr>
              <w:jc w:val="center"/>
              <w:rPr>
                <w:rFonts w:ascii="Times New Roman" w:hAnsi="Times New Roman" w:cs="Times New Roman"/>
                <w:sz w:val="18"/>
                <w:szCs w:val="18"/>
              </w:rPr>
            </w:pPr>
          </w:p>
        </w:tc>
      </w:tr>
      <w:tr w:rsidR="00BF0919" w:rsidRPr="0064723F" w14:paraId="00E4EEF6" w14:textId="77777777" w:rsidTr="00A8541E">
        <w:trPr>
          <w:cantSplit/>
          <w:trHeight w:val="20"/>
          <w:jc w:val="center"/>
        </w:trPr>
        <w:tc>
          <w:tcPr>
            <w:tcW w:w="1057" w:type="dxa"/>
            <w:vMerge/>
            <w:vAlign w:val="center"/>
          </w:tcPr>
          <w:p w14:paraId="38674129"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C3B819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1E71A1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9E143B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1EFAF6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327E54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C944BE8"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030DF1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DEA7C9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7B9CE5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E2EEA7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8E62DC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175FA0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05281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EDF125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D0026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CF8FEF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75AF40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75041ED"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CFE005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75F918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85F8B7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47530F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EE42F1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2EEC05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C55E50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63F4CE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576F9B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0569E3F"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601BCA3"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BAEACA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7236588"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3FACF7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7F6303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AA4B75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C19C2F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359797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A949356" w14:textId="77777777" w:rsidR="00BF0919" w:rsidRPr="00962D42" w:rsidRDefault="00BF0919" w:rsidP="0064280E">
            <w:pPr>
              <w:jc w:val="center"/>
              <w:rPr>
                <w:rFonts w:ascii="Times New Roman" w:hAnsi="Times New Roman" w:cs="Times New Roman"/>
                <w:sz w:val="18"/>
                <w:szCs w:val="18"/>
              </w:rPr>
            </w:pPr>
          </w:p>
        </w:tc>
      </w:tr>
      <w:tr w:rsidR="00BF0919" w:rsidRPr="0064723F" w14:paraId="77C49975" w14:textId="77777777" w:rsidTr="00A8541E">
        <w:trPr>
          <w:cantSplit/>
          <w:trHeight w:val="20"/>
          <w:jc w:val="center"/>
        </w:trPr>
        <w:tc>
          <w:tcPr>
            <w:tcW w:w="1057" w:type="dxa"/>
            <w:vMerge/>
            <w:vAlign w:val="center"/>
          </w:tcPr>
          <w:p w14:paraId="69B006FE"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1091DE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5CC43B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84E8A7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821C52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2943FA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C5BD500"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A070BD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B5EE3D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2583D8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E3D05E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618996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C100F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4FF98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25519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B6FC1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F2FF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751698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4A945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D28E8AD"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5731B5A"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BED11C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0CEEC9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D56F74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C5A49B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ECBF92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221519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344B9B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E959ED5"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CFB4D29"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FCBFA6E"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F533451"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060ABF8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563399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AA47C7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347C6B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39DFF2A"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F52D511" w14:textId="77777777" w:rsidR="00BF0919" w:rsidRPr="00962D42" w:rsidRDefault="00BF0919" w:rsidP="0064280E">
            <w:pPr>
              <w:jc w:val="center"/>
              <w:rPr>
                <w:rFonts w:ascii="Times New Roman" w:hAnsi="Times New Roman" w:cs="Times New Roman"/>
                <w:sz w:val="18"/>
                <w:szCs w:val="18"/>
              </w:rPr>
            </w:pPr>
          </w:p>
        </w:tc>
      </w:tr>
      <w:tr w:rsidR="00BF0919" w:rsidRPr="0064723F" w14:paraId="021EE71D" w14:textId="77777777" w:rsidTr="00A8541E">
        <w:trPr>
          <w:cantSplit/>
          <w:trHeight w:val="20"/>
          <w:jc w:val="center"/>
        </w:trPr>
        <w:tc>
          <w:tcPr>
            <w:tcW w:w="1057" w:type="dxa"/>
            <w:vMerge w:val="restart"/>
            <w:vAlign w:val="center"/>
            <w:hideMark/>
          </w:tcPr>
          <w:p w14:paraId="4C4004C1"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Kumar et al. (2022)</w:t>
            </w:r>
          </w:p>
        </w:tc>
        <w:tc>
          <w:tcPr>
            <w:tcW w:w="244" w:type="dxa"/>
            <w:vMerge w:val="restart"/>
            <w:vAlign w:val="center"/>
            <w:hideMark/>
          </w:tcPr>
          <w:p w14:paraId="4F0345A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B938323"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51AB86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D20DD0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0CB087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810914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0EA3092C"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FA39A6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62681F5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F871AF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D22E8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F4C9D1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9341CC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F41D85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1447D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11591C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385298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696CB0E"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31F8A11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2A494FCE"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59875C8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8F487B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18070DD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1A99CF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2F840C5"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8D99B82"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F2FB12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hideMark/>
          </w:tcPr>
          <w:p w14:paraId="43ACFB3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5E2E4E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31768B6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2BCF512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4B69115F"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95%OPC+5%SF&gt;&gt;4%</w:t>
            </w:r>
            <w:r w:rsidRPr="00A21754">
              <w:rPr>
                <w:rFonts w:ascii="Times New Roman" w:hAnsi="Times New Roman" w:cs="Times New Roman"/>
                <w:sz w:val="16"/>
                <w:szCs w:val="16"/>
              </w:rPr>
              <w:br/>
              <w:t>90%OPC+10%SF&gt;&gt;8.1%</w:t>
            </w:r>
            <w:r w:rsidRPr="00A21754">
              <w:rPr>
                <w:rFonts w:ascii="Times New Roman" w:hAnsi="Times New Roman" w:cs="Times New Roman"/>
                <w:sz w:val="16"/>
                <w:szCs w:val="16"/>
              </w:rPr>
              <w:br/>
              <w:t>85%OPC+15%SF&gt;&gt;12.1%</w:t>
            </w:r>
          </w:p>
        </w:tc>
        <w:tc>
          <w:tcPr>
            <w:tcW w:w="201" w:type="dxa"/>
            <w:vAlign w:val="center"/>
          </w:tcPr>
          <w:p w14:paraId="18CC38F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DB1175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DD961B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7875052"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D21509F" w14:textId="77777777" w:rsidR="00BF0919" w:rsidRPr="00962D42" w:rsidRDefault="00BF0919" w:rsidP="0064280E">
            <w:pPr>
              <w:jc w:val="center"/>
              <w:rPr>
                <w:rFonts w:ascii="Times New Roman" w:hAnsi="Times New Roman" w:cs="Times New Roman"/>
                <w:sz w:val="18"/>
                <w:szCs w:val="18"/>
              </w:rPr>
            </w:pPr>
          </w:p>
        </w:tc>
      </w:tr>
      <w:tr w:rsidR="00BF0919" w:rsidRPr="0064723F" w14:paraId="298AB15D" w14:textId="77777777" w:rsidTr="00A8541E">
        <w:trPr>
          <w:cantSplit/>
          <w:trHeight w:val="20"/>
          <w:jc w:val="center"/>
        </w:trPr>
        <w:tc>
          <w:tcPr>
            <w:tcW w:w="1057" w:type="dxa"/>
            <w:vMerge/>
            <w:vAlign w:val="center"/>
          </w:tcPr>
          <w:p w14:paraId="7695070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E3C241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44150E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8C9CA3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05F9C9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F0702F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092A06"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99E0AC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F109C5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B4B390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D6D59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CC25C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5D1C75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BD9271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BDE9C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BDA51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A73800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03857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E24799A"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859F28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DB9AF8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78FDEB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5607C2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188DF2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E5D15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D9C6E8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548801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967C14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C6EE4D1"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54CCA7E"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E010FD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9C8F981"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E189A43"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0E2D25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8ACDAF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A59949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9A5602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866C46F" w14:textId="77777777" w:rsidR="00BF0919" w:rsidRPr="00962D42" w:rsidRDefault="00BF0919" w:rsidP="0064280E">
            <w:pPr>
              <w:jc w:val="center"/>
              <w:rPr>
                <w:rFonts w:ascii="Times New Roman" w:hAnsi="Times New Roman" w:cs="Times New Roman"/>
                <w:sz w:val="18"/>
                <w:szCs w:val="18"/>
              </w:rPr>
            </w:pPr>
          </w:p>
        </w:tc>
      </w:tr>
      <w:tr w:rsidR="00BF0919" w:rsidRPr="0064723F" w14:paraId="29663A5A" w14:textId="77777777" w:rsidTr="00A8541E">
        <w:trPr>
          <w:cantSplit/>
          <w:trHeight w:val="20"/>
          <w:jc w:val="center"/>
        </w:trPr>
        <w:tc>
          <w:tcPr>
            <w:tcW w:w="1057" w:type="dxa"/>
            <w:vMerge/>
            <w:vAlign w:val="center"/>
          </w:tcPr>
          <w:p w14:paraId="48C30ADC"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D847E1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EE67FA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BC7CE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910126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89E5ED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EA865A0"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D4F5B9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87A10C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DE2FA5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7A99C3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0DBAD7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99CDB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5760DD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CFDF70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F9AB8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36C69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E6D798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DD093D"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2B83C0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0E3D4B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F63B00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E6567B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349C46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FFFADB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EB7C4E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B08DA8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DB56C4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408A369"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A71BA08"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7FA71F1"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DF1E464"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3D3D93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141342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D7A8AD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12D4FA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2562CB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EFF0B6D" w14:textId="77777777" w:rsidR="00BF0919" w:rsidRPr="00962D42" w:rsidRDefault="00BF0919" w:rsidP="0064280E">
            <w:pPr>
              <w:jc w:val="center"/>
              <w:rPr>
                <w:rFonts w:ascii="Times New Roman" w:hAnsi="Times New Roman" w:cs="Times New Roman"/>
                <w:sz w:val="18"/>
                <w:szCs w:val="18"/>
              </w:rPr>
            </w:pPr>
          </w:p>
        </w:tc>
      </w:tr>
      <w:tr w:rsidR="00BF0919" w:rsidRPr="0064723F" w14:paraId="6D84FF44" w14:textId="77777777" w:rsidTr="00A8541E">
        <w:trPr>
          <w:cantSplit/>
          <w:trHeight w:val="20"/>
          <w:jc w:val="center"/>
        </w:trPr>
        <w:tc>
          <w:tcPr>
            <w:tcW w:w="1057" w:type="dxa"/>
            <w:vMerge w:val="restart"/>
            <w:vAlign w:val="center"/>
            <w:hideMark/>
          </w:tcPr>
          <w:p w14:paraId="51D95BCC"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Zhang et al. (2019)</w:t>
            </w:r>
          </w:p>
        </w:tc>
        <w:tc>
          <w:tcPr>
            <w:tcW w:w="244" w:type="dxa"/>
            <w:vMerge w:val="restart"/>
            <w:vAlign w:val="center"/>
            <w:hideMark/>
          </w:tcPr>
          <w:p w14:paraId="1AA3776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C29740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D550BC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2B2C0D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E9BE9B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0E62F35F"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051F32B8"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8E980F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5104EEC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5481AF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A400A3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5D4C39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E5F2E3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347D226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F9E10F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DFD2F5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50D05A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F9DA4BD"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1DC5C9C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47DB3023"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ED27BD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BE4D73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52248F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F5593E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117E7E6"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D283A5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3B5423D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25F05E3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115ABBF9" w14:textId="77777777" w:rsidR="00BF0919" w:rsidRPr="00962D42" w:rsidRDefault="00BF0919" w:rsidP="0064280E">
            <w:pPr>
              <w:jc w:val="center"/>
              <w:rPr>
                <w:rFonts w:ascii="Times New Roman" w:hAnsi="Times New Roman" w:cs="Times New Roman"/>
                <w:sz w:val="18"/>
                <w:szCs w:val="18"/>
              </w:rPr>
            </w:pPr>
          </w:p>
        </w:tc>
        <w:tc>
          <w:tcPr>
            <w:tcW w:w="438" w:type="dxa"/>
            <w:vMerge w:val="restart"/>
            <w:vAlign w:val="center"/>
            <w:hideMark/>
          </w:tcPr>
          <w:p w14:paraId="60E9F31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0A1F4C3E"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6DBC914E"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5%SF+95%OPC&gt;&gt;3.9%</w:t>
            </w:r>
            <w:r w:rsidRPr="00A21754">
              <w:rPr>
                <w:rFonts w:ascii="Times New Roman" w:hAnsi="Times New Roman" w:cs="Times New Roman"/>
                <w:sz w:val="16"/>
                <w:szCs w:val="16"/>
              </w:rPr>
              <w:br/>
              <w:t>20%FA+80%OPC&gt;&gt;15.6%</w:t>
            </w:r>
            <w:r w:rsidRPr="00A21754">
              <w:rPr>
                <w:rFonts w:ascii="Times New Roman" w:hAnsi="Times New Roman" w:cs="Times New Roman"/>
                <w:sz w:val="16"/>
                <w:szCs w:val="16"/>
              </w:rPr>
              <w:br/>
            </w:r>
            <w:r w:rsidRPr="00A21754">
              <w:rPr>
                <w:rFonts w:ascii="Times New Roman" w:hAnsi="Times New Roman" w:cs="Times New Roman"/>
                <w:sz w:val="16"/>
                <w:szCs w:val="16"/>
              </w:rPr>
              <w:lastRenderedPageBreak/>
              <w:t>15%FA+5%SF+80%OPC&gt;&gt;15.7%</w:t>
            </w:r>
          </w:p>
        </w:tc>
        <w:tc>
          <w:tcPr>
            <w:tcW w:w="201" w:type="dxa"/>
            <w:vAlign w:val="center"/>
          </w:tcPr>
          <w:p w14:paraId="761F52A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lastRenderedPageBreak/>
              <w:t>x</w:t>
            </w:r>
          </w:p>
        </w:tc>
        <w:tc>
          <w:tcPr>
            <w:tcW w:w="201" w:type="dxa"/>
            <w:vAlign w:val="center"/>
          </w:tcPr>
          <w:p w14:paraId="2AB37BB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29DA5E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4F2258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8974027" w14:textId="77777777" w:rsidR="00BF0919" w:rsidRPr="00962D42" w:rsidRDefault="00BF0919" w:rsidP="0064280E">
            <w:pPr>
              <w:jc w:val="center"/>
              <w:rPr>
                <w:rFonts w:ascii="Times New Roman" w:hAnsi="Times New Roman" w:cs="Times New Roman"/>
                <w:sz w:val="18"/>
                <w:szCs w:val="18"/>
              </w:rPr>
            </w:pPr>
          </w:p>
        </w:tc>
      </w:tr>
      <w:tr w:rsidR="00BF0919" w:rsidRPr="0064723F" w14:paraId="4F7E9D27" w14:textId="77777777" w:rsidTr="00A8541E">
        <w:trPr>
          <w:cantSplit/>
          <w:trHeight w:val="20"/>
          <w:jc w:val="center"/>
        </w:trPr>
        <w:tc>
          <w:tcPr>
            <w:tcW w:w="1057" w:type="dxa"/>
            <w:vMerge/>
            <w:vAlign w:val="center"/>
          </w:tcPr>
          <w:p w14:paraId="2241D183"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20F412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E43D96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F8028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4860B7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573FD2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DC377F0"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EDD29E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59E269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F3C33B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399F0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3B19D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F9832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229629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8B6D74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96E662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5224C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959B47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6C3E3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09AFAA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48DACB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A277AC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79D70F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E03A3A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CAAE58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335844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71F7B4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DC8CEC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BB06D9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A68615E"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16C192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B0CF9D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2BDA0B7F"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6F7CA4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B191F9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DDEA33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127BB3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C45DEBB" w14:textId="77777777" w:rsidR="00BF0919" w:rsidRPr="00962D42" w:rsidRDefault="00BF0919" w:rsidP="0064280E">
            <w:pPr>
              <w:jc w:val="center"/>
              <w:rPr>
                <w:rFonts w:ascii="Times New Roman" w:hAnsi="Times New Roman" w:cs="Times New Roman"/>
                <w:sz w:val="18"/>
                <w:szCs w:val="18"/>
              </w:rPr>
            </w:pPr>
          </w:p>
        </w:tc>
      </w:tr>
      <w:tr w:rsidR="00BF0919" w:rsidRPr="0064723F" w14:paraId="50FA33EA" w14:textId="77777777" w:rsidTr="00A8541E">
        <w:trPr>
          <w:cantSplit/>
          <w:trHeight w:val="20"/>
          <w:jc w:val="center"/>
        </w:trPr>
        <w:tc>
          <w:tcPr>
            <w:tcW w:w="1057" w:type="dxa"/>
            <w:vMerge/>
            <w:vAlign w:val="center"/>
          </w:tcPr>
          <w:p w14:paraId="475FB1DE"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D375D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FFE64C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D6D39E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253265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AF1AB4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444589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D07B9F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C758D5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4BC62A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A2179E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14E9F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05A67D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74DAE8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2CF15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338C5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99AE6F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9BDFB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4E2094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7E89EF0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CA3FFBE"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A96DCF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8A89BE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7716CB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563AD9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C07A49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C4319A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53C678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95D4910"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AC8D789"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6016BC0"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F8F7B7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E7F7DF5"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C100D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ED0840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066137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70610C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EBF6E60" w14:textId="77777777" w:rsidR="00BF0919" w:rsidRPr="00962D42" w:rsidRDefault="00BF0919" w:rsidP="0064280E">
            <w:pPr>
              <w:jc w:val="center"/>
              <w:rPr>
                <w:rFonts w:ascii="Times New Roman" w:hAnsi="Times New Roman" w:cs="Times New Roman"/>
                <w:sz w:val="18"/>
                <w:szCs w:val="18"/>
              </w:rPr>
            </w:pPr>
          </w:p>
        </w:tc>
      </w:tr>
      <w:tr w:rsidR="00BF0919" w:rsidRPr="0064723F" w14:paraId="0B78BE36" w14:textId="77777777" w:rsidTr="00A8541E">
        <w:trPr>
          <w:cantSplit/>
          <w:trHeight w:val="20"/>
          <w:jc w:val="center"/>
        </w:trPr>
        <w:tc>
          <w:tcPr>
            <w:tcW w:w="1057" w:type="dxa"/>
            <w:vMerge w:val="restart"/>
            <w:vAlign w:val="center"/>
            <w:hideMark/>
          </w:tcPr>
          <w:p w14:paraId="29A66616"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Blankendaal et al. (2014)</w:t>
            </w:r>
          </w:p>
        </w:tc>
        <w:tc>
          <w:tcPr>
            <w:tcW w:w="244" w:type="dxa"/>
            <w:vMerge w:val="restart"/>
            <w:vAlign w:val="center"/>
            <w:hideMark/>
          </w:tcPr>
          <w:p w14:paraId="6FA717C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849346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B6CCD0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8017B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3BD88E7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DDE0813"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9E8BE7B"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00E05F0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AA99FE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868220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DEE6C4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EBD357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BB9D7B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396A4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552E2AE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72FF8A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663866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328AFF5"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AF311D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0A01062F"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456E3D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4703DE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11036544"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A50AAE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3B971E2"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C52984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17A8F04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7179443"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E9FA37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7D4EA6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D577FF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0D497AC"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19%FA+76%OPC+5%GY&gt;&gt;11.3%</w:t>
            </w:r>
            <w:r w:rsidRPr="00A21754">
              <w:rPr>
                <w:rFonts w:ascii="Times New Roman" w:hAnsi="Times New Roman" w:cs="Times New Roman"/>
                <w:sz w:val="16"/>
                <w:szCs w:val="16"/>
              </w:rPr>
              <w:br/>
              <w:t>50%GGBS+46%OPC+4%GY&gt;&gt;28.6%</w:t>
            </w:r>
          </w:p>
        </w:tc>
        <w:tc>
          <w:tcPr>
            <w:tcW w:w="201" w:type="dxa"/>
            <w:vAlign w:val="center"/>
          </w:tcPr>
          <w:p w14:paraId="66CB67C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458B29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9C7B29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D1AB74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4F6CF3B" w14:textId="77777777" w:rsidR="00BF0919" w:rsidRPr="00962D42" w:rsidRDefault="00BF0919" w:rsidP="0064280E">
            <w:pPr>
              <w:jc w:val="center"/>
              <w:rPr>
                <w:rFonts w:ascii="Times New Roman" w:hAnsi="Times New Roman" w:cs="Times New Roman"/>
                <w:sz w:val="18"/>
                <w:szCs w:val="18"/>
              </w:rPr>
            </w:pPr>
          </w:p>
        </w:tc>
      </w:tr>
      <w:tr w:rsidR="00BF0919" w:rsidRPr="0064723F" w14:paraId="67F37FD6" w14:textId="77777777" w:rsidTr="00A8541E">
        <w:trPr>
          <w:cantSplit/>
          <w:trHeight w:val="20"/>
          <w:jc w:val="center"/>
        </w:trPr>
        <w:tc>
          <w:tcPr>
            <w:tcW w:w="1057" w:type="dxa"/>
            <w:vMerge/>
            <w:vAlign w:val="center"/>
          </w:tcPr>
          <w:p w14:paraId="3225E4CD"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2C7556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42339F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673766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691ED5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74AE49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F315C35"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3AB632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107996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B959E4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E6B03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01F9F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DF56B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F0D959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730EB9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ACA037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2F4251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B3F4E3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A8D85F"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6816B1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DF5014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B3EF10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8B1C40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6B93D1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B6A915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255E66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475FC8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D65967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D4A41C1"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4C93984"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6B063D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7F2A4FE"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2B06A1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4E372B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4B589D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375B40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5884FDA"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96C39D6" w14:textId="77777777" w:rsidR="00BF0919" w:rsidRPr="00962D42" w:rsidRDefault="00BF0919" w:rsidP="0064280E">
            <w:pPr>
              <w:jc w:val="center"/>
              <w:rPr>
                <w:rFonts w:ascii="Times New Roman" w:hAnsi="Times New Roman" w:cs="Times New Roman"/>
                <w:sz w:val="18"/>
                <w:szCs w:val="18"/>
              </w:rPr>
            </w:pPr>
          </w:p>
        </w:tc>
      </w:tr>
      <w:tr w:rsidR="00BF0919" w:rsidRPr="0064723F" w14:paraId="376844AB" w14:textId="77777777" w:rsidTr="00A8541E">
        <w:trPr>
          <w:cantSplit/>
          <w:trHeight w:val="20"/>
          <w:jc w:val="center"/>
        </w:trPr>
        <w:tc>
          <w:tcPr>
            <w:tcW w:w="1057" w:type="dxa"/>
            <w:vMerge w:val="restart"/>
            <w:vAlign w:val="center"/>
            <w:hideMark/>
          </w:tcPr>
          <w:p w14:paraId="037C1E52"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Hossain et al. (2021)</w:t>
            </w:r>
          </w:p>
        </w:tc>
        <w:tc>
          <w:tcPr>
            <w:tcW w:w="244" w:type="dxa"/>
            <w:vMerge w:val="restart"/>
            <w:vAlign w:val="center"/>
            <w:hideMark/>
          </w:tcPr>
          <w:p w14:paraId="4BA3E0A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68EDDDE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866B71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78AD4D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413C34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538253C"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25F9347B"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45F29A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1CEA74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FF3B83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3EFE2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4D19A1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3810A69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1D4BB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928835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242B88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4AE07C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36D5D7F"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35A8A2C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217AB897"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7C084714"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49BBC6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4596C7A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476398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68973B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229097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B5E3B0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90C73D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7DC493D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796944D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6822DB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5B1FAD73"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70%OPC+30%GGBS&gt;&gt;13%</w:t>
            </w:r>
            <w:r w:rsidRPr="00A21754">
              <w:rPr>
                <w:rFonts w:ascii="Times New Roman" w:hAnsi="Times New Roman" w:cs="Times New Roman"/>
                <w:sz w:val="16"/>
                <w:szCs w:val="16"/>
              </w:rPr>
              <w:br/>
              <w:t>50%OPC+50%GGBS&gt;&gt;28%</w:t>
            </w:r>
            <w:r w:rsidRPr="00A21754">
              <w:rPr>
                <w:rFonts w:ascii="Times New Roman" w:hAnsi="Times New Roman" w:cs="Times New Roman"/>
                <w:sz w:val="16"/>
                <w:szCs w:val="16"/>
              </w:rPr>
              <w:br/>
              <w:t>75%OPC+25%FA&gt;&gt;6%</w:t>
            </w:r>
            <w:r w:rsidRPr="00A21754">
              <w:rPr>
                <w:rFonts w:ascii="Times New Roman" w:hAnsi="Times New Roman" w:cs="Times New Roman"/>
                <w:sz w:val="16"/>
                <w:szCs w:val="16"/>
              </w:rPr>
              <w:br/>
              <w:t>80%OPC+20%volcanic ash&gt;&gt;20%</w:t>
            </w:r>
            <w:r w:rsidRPr="00A21754">
              <w:rPr>
                <w:rFonts w:ascii="Times New Roman" w:hAnsi="Times New Roman" w:cs="Times New Roman"/>
                <w:sz w:val="16"/>
                <w:szCs w:val="16"/>
              </w:rPr>
              <w:br/>
              <w:t>70%OPC+30%VA&gt;&gt;30%</w:t>
            </w:r>
          </w:p>
        </w:tc>
        <w:tc>
          <w:tcPr>
            <w:tcW w:w="201" w:type="dxa"/>
            <w:vAlign w:val="center"/>
          </w:tcPr>
          <w:p w14:paraId="694DFFE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05FF73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C9B19A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534B38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1D805ED" w14:textId="77777777" w:rsidR="00BF0919" w:rsidRPr="00962D42" w:rsidRDefault="00BF0919" w:rsidP="0064280E">
            <w:pPr>
              <w:jc w:val="center"/>
              <w:rPr>
                <w:rFonts w:ascii="Times New Roman" w:hAnsi="Times New Roman" w:cs="Times New Roman"/>
                <w:sz w:val="18"/>
                <w:szCs w:val="18"/>
              </w:rPr>
            </w:pPr>
          </w:p>
        </w:tc>
      </w:tr>
      <w:tr w:rsidR="00BF0919" w:rsidRPr="0064723F" w14:paraId="7D20762E" w14:textId="77777777" w:rsidTr="00A8541E">
        <w:trPr>
          <w:cantSplit/>
          <w:trHeight w:val="20"/>
          <w:jc w:val="center"/>
        </w:trPr>
        <w:tc>
          <w:tcPr>
            <w:tcW w:w="1057" w:type="dxa"/>
            <w:vMerge/>
            <w:vAlign w:val="center"/>
          </w:tcPr>
          <w:p w14:paraId="361F195B"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21C8B9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C24811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F7929A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63F742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572A5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A0064AF"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C236AF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5CA391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9FD71F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B09CA3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19EEC9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E6D2B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A2F88D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CA21E7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786E9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374DC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AFAA9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B30B194"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61980AA"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B69C40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391812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0149BE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1AD7B2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75A74A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439798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BF7A7E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6F01DE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4B92055"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D1A33CC"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141E78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85D399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B77D54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F3E338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04B8C0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D469A4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898FA5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FC9D5EA" w14:textId="77777777" w:rsidR="00BF0919" w:rsidRPr="00962D42" w:rsidRDefault="00BF0919" w:rsidP="0064280E">
            <w:pPr>
              <w:jc w:val="center"/>
              <w:rPr>
                <w:rFonts w:ascii="Times New Roman" w:hAnsi="Times New Roman" w:cs="Times New Roman"/>
                <w:sz w:val="18"/>
                <w:szCs w:val="18"/>
              </w:rPr>
            </w:pPr>
          </w:p>
        </w:tc>
      </w:tr>
      <w:tr w:rsidR="00BF0919" w:rsidRPr="0064723F" w14:paraId="60F7B408" w14:textId="77777777" w:rsidTr="00A8541E">
        <w:trPr>
          <w:cantSplit/>
          <w:trHeight w:val="20"/>
          <w:jc w:val="center"/>
        </w:trPr>
        <w:tc>
          <w:tcPr>
            <w:tcW w:w="1057" w:type="dxa"/>
            <w:vMerge/>
            <w:vAlign w:val="center"/>
          </w:tcPr>
          <w:p w14:paraId="6162AC6F"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17E038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A5B214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518473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F71835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0C78EF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2C3AF8F"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832CC0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FCA028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3CFFB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DD999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C5A77E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B75D7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88A78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90641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55DF75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0E79F9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E2913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EEAB724"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D80A73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B9A9E6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5BA9CB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31B227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307524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AED50F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D47799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A1013E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5D88FC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00FF59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F4CB1B0"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C4989F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C3FEC68"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B5D136A"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CBECE3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EF9951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7D9FC1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0A8925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E03C05E" w14:textId="77777777" w:rsidR="00BF0919" w:rsidRPr="00962D42" w:rsidRDefault="00BF0919" w:rsidP="0064280E">
            <w:pPr>
              <w:jc w:val="center"/>
              <w:rPr>
                <w:rFonts w:ascii="Times New Roman" w:hAnsi="Times New Roman" w:cs="Times New Roman"/>
                <w:sz w:val="18"/>
                <w:szCs w:val="18"/>
              </w:rPr>
            </w:pPr>
          </w:p>
        </w:tc>
      </w:tr>
      <w:tr w:rsidR="00BF0919" w:rsidRPr="0064723F" w14:paraId="77692FDE" w14:textId="77777777" w:rsidTr="00A8541E">
        <w:trPr>
          <w:cantSplit/>
          <w:trHeight w:val="20"/>
          <w:jc w:val="center"/>
        </w:trPr>
        <w:tc>
          <w:tcPr>
            <w:tcW w:w="1057" w:type="dxa"/>
            <w:vMerge/>
            <w:vAlign w:val="center"/>
          </w:tcPr>
          <w:p w14:paraId="19C2879A"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6D8D99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8213E7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E6735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86FCB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3D2504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65F2A03"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BDB639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A899CE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C5466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FDE10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AF7DB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176FF6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3184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A9EB6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B7A0F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3A6C41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FBDDEE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21D2C5E"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43BF41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B0F8C9D"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E924BB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D6F557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32D9F1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83D741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89CB4A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ECA8FD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BFD98B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AD80A8E"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D19C946"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14B342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D1DB9EE"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872A48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111F547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9F84F9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61339F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AA2886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8588813" w14:textId="77777777" w:rsidR="00BF0919" w:rsidRPr="00962D42" w:rsidRDefault="00BF0919" w:rsidP="0064280E">
            <w:pPr>
              <w:jc w:val="center"/>
              <w:rPr>
                <w:rFonts w:ascii="Times New Roman" w:hAnsi="Times New Roman" w:cs="Times New Roman"/>
                <w:sz w:val="18"/>
                <w:szCs w:val="18"/>
              </w:rPr>
            </w:pPr>
          </w:p>
        </w:tc>
      </w:tr>
      <w:tr w:rsidR="00BF0919" w:rsidRPr="0064723F" w14:paraId="693C4EE9" w14:textId="77777777" w:rsidTr="00A8541E">
        <w:trPr>
          <w:cantSplit/>
          <w:trHeight w:val="20"/>
          <w:jc w:val="center"/>
        </w:trPr>
        <w:tc>
          <w:tcPr>
            <w:tcW w:w="1057" w:type="dxa"/>
            <w:vMerge/>
            <w:vAlign w:val="center"/>
          </w:tcPr>
          <w:p w14:paraId="195E584E"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36E572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12D44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C658DF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F041A1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B69CAA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48F805E"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03C75F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A87043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8BA5AC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03923C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B1DD4C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27856B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A4945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DDA7A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877A5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56E213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FE311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AE634D"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32444E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175550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D4AA21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33A067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4167AC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D7076E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E8DB97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E1092F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CE4242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74B5B4F"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0FAC48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F537A2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08188E7"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46DC6E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1273921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6B8227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1110271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3B7BB93"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AA3CEAB" w14:textId="77777777" w:rsidR="00BF0919" w:rsidRPr="00962D42" w:rsidRDefault="00BF0919" w:rsidP="0064280E">
            <w:pPr>
              <w:jc w:val="center"/>
              <w:rPr>
                <w:rFonts w:ascii="Times New Roman" w:hAnsi="Times New Roman" w:cs="Times New Roman"/>
                <w:sz w:val="18"/>
                <w:szCs w:val="18"/>
              </w:rPr>
            </w:pPr>
          </w:p>
        </w:tc>
      </w:tr>
      <w:tr w:rsidR="00BF0919" w:rsidRPr="0064723F" w14:paraId="70236160" w14:textId="77777777" w:rsidTr="00A8541E">
        <w:trPr>
          <w:cantSplit/>
          <w:trHeight w:val="20"/>
          <w:jc w:val="center"/>
        </w:trPr>
        <w:tc>
          <w:tcPr>
            <w:tcW w:w="1057" w:type="dxa"/>
            <w:vMerge w:val="restart"/>
            <w:vAlign w:val="center"/>
            <w:hideMark/>
          </w:tcPr>
          <w:p w14:paraId="49AC23D9"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Lee et al. (2021)</w:t>
            </w:r>
          </w:p>
        </w:tc>
        <w:tc>
          <w:tcPr>
            <w:tcW w:w="244" w:type="dxa"/>
            <w:vMerge w:val="restart"/>
            <w:vAlign w:val="center"/>
            <w:hideMark/>
          </w:tcPr>
          <w:p w14:paraId="6BE8288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468989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BB1C98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E8CBAC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7E7090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55291E2"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2BB36F5B"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DC3D14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7C3F39E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09D087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35B9ED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CE897F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21B732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21D08B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EE3354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D7EFF5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1688B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786D148"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A178EF8"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24D4BBC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0357D0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F0AD31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D5190E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D31669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B3A1CFA"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F76866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410EE041"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2BDF85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7CED6D4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3B8571C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096B331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094CC7A"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30%OPC+70%FA&gt;&gt;68.1%</w:t>
            </w:r>
            <w:r w:rsidRPr="00A21754">
              <w:rPr>
                <w:rFonts w:ascii="Times New Roman" w:hAnsi="Times New Roman" w:cs="Times New Roman"/>
                <w:sz w:val="16"/>
                <w:szCs w:val="16"/>
              </w:rPr>
              <w:br/>
              <w:t>30%OPC+70%GGBS&gt;&gt;4.2%</w:t>
            </w:r>
          </w:p>
        </w:tc>
        <w:tc>
          <w:tcPr>
            <w:tcW w:w="201" w:type="dxa"/>
            <w:vAlign w:val="center"/>
          </w:tcPr>
          <w:p w14:paraId="1775689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E39737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D0E9E0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4D2370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4F970839" w14:textId="77777777" w:rsidR="00BF0919" w:rsidRPr="00962D42" w:rsidRDefault="00BF0919" w:rsidP="0064280E">
            <w:pPr>
              <w:jc w:val="center"/>
              <w:rPr>
                <w:rFonts w:ascii="Times New Roman" w:hAnsi="Times New Roman" w:cs="Times New Roman"/>
                <w:sz w:val="18"/>
                <w:szCs w:val="18"/>
              </w:rPr>
            </w:pPr>
          </w:p>
        </w:tc>
      </w:tr>
      <w:tr w:rsidR="00BF0919" w:rsidRPr="0064723F" w14:paraId="470A69B7" w14:textId="77777777" w:rsidTr="00A8541E">
        <w:trPr>
          <w:cantSplit/>
          <w:trHeight w:val="20"/>
          <w:jc w:val="center"/>
        </w:trPr>
        <w:tc>
          <w:tcPr>
            <w:tcW w:w="1057" w:type="dxa"/>
            <w:vMerge/>
            <w:vAlign w:val="center"/>
          </w:tcPr>
          <w:p w14:paraId="185B8495"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09FA006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6EE32B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B1C019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C754A9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ABBECD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67A7184"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261944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481E13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5A93BF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6E55C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BDDDEF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BF15E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2B7070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296149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A0349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70ED2A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EB5732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0F17AD"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80C1B6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383B97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F6F313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7C1131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505D44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BACDAB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14E95A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ED05AA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A33500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D90EFD6"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C4DA46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9A9F8F0"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8BFD506"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25C05BE"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F553D8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4279A9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E62BEF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D44EC5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82B7A94" w14:textId="77777777" w:rsidR="00BF0919" w:rsidRPr="00962D42" w:rsidRDefault="00BF0919" w:rsidP="0064280E">
            <w:pPr>
              <w:jc w:val="center"/>
              <w:rPr>
                <w:rFonts w:ascii="Times New Roman" w:hAnsi="Times New Roman" w:cs="Times New Roman"/>
                <w:sz w:val="18"/>
                <w:szCs w:val="18"/>
              </w:rPr>
            </w:pPr>
          </w:p>
        </w:tc>
      </w:tr>
      <w:tr w:rsidR="00BF0919" w:rsidRPr="0064723F" w14:paraId="5ED475F2" w14:textId="77777777" w:rsidTr="00A8541E">
        <w:trPr>
          <w:cantSplit/>
          <w:trHeight w:val="20"/>
          <w:jc w:val="center"/>
        </w:trPr>
        <w:tc>
          <w:tcPr>
            <w:tcW w:w="1057" w:type="dxa"/>
            <w:vMerge w:val="restart"/>
            <w:vAlign w:val="center"/>
            <w:hideMark/>
          </w:tcPr>
          <w:p w14:paraId="7586652C"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Farahani et al. (2017)</w:t>
            </w:r>
          </w:p>
        </w:tc>
        <w:tc>
          <w:tcPr>
            <w:tcW w:w="244" w:type="dxa"/>
            <w:vMerge w:val="restart"/>
            <w:vAlign w:val="center"/>
            <w:hideMark/>
          </w:tcPr>
          <w:p w14:paraId="3FE4451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33A6F3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3C9B393"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BFAEE63"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498199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A1A96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4" w:type="dxa"/>
            <w:vMerge w:val="restart"/>
            <w:vAlign w:val="center"/>
            <w:hideMark/>
          </w:tcPr>
          <w:p w14:paraId="390FE583"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1E4B7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2E5E56A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42DF32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1D6978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08101D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02FA9F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F97FF9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534E05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88ED14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9FE834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3FE29E1"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289991B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26776EA0"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4EDBA77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BB595E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6044351A"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3B6082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963949C"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2C4919B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0B6C2A5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hideMark/>
          </w:tcPr>
          <w:p w14:paraId="4FA03F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519F45C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66442F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60E2A75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239CB1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80%OPC+20%RHA&gt;&gt;15%</w:t>
            </w:r>
            <w:r w:rsidRPr="00A21754">
              <w:rPr>
                <w:rFonts w:ascii="Times New Roman" w:hAnsi="Times New Roman" w:cs="Times New Roman"/>
                <w:sz w:val="16"/>
                <w:szCs w:val="16"/>
              </w:rPr>
              <w:br/>
              <w:t>80%OPC+30%RHA&gt;&gt;24%</w:t>
            </w:r>
            <w:r w:rsidRPr="00A21754">
              <w:rPr>
                <w:rFonts w:ascii="Times New Roman" w:hAnsi="Times New Roman" w:cs="Times New Roman"/>
                <w:sz w:val="16"/>
                <w:szCs w:val="16"/>
              </w:rPr>
              <w:br/>
              <w:t>70%OPC+15%RHA+15%FA&gt;&gt;26%</w:t>
            </w:r>
            <w:r w:rsidRPr="00A21754">
              <w:rPr>
                <w:rFonts w:ascii="Times New Roman" w:hAnsi="Times New Roman" w:cs="Times New Roman"/>
                <w:sz w:val="16"/>
                <w:szCs w:val="16"/>
              </w:rPr>
              <w:br/>
              <w:t>50%OPC+25%RHA+25%FA&gt;&gt;42%</w:t>
            </w:r>
          </w:p>
        </w:tc>
        <w:tc>
          <w:tcPr>
            <w:tcW w:w="201" w:type="dxa"/>
            <w:vAlign w:val="center"/>
          </w:tcPr>
          <w:p w14:paraId="2E31AE3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2F6357F"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A6F331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707A6B1"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B9283BC" w14:textId="77777777" w:rsidR="00BF0919" w:rsidRPr="00962D42" w:rsidRDefault="00BF0919" w:rsidP="0064280E">
            <w:pPr>
              <w:jc w:val="center"/>
              <w:rPr>
                <w:rFonts w:ascii="Times New Roman" w:hAnsi="Times New Roman" w:cs="Times New Roman"/>
                <w:sz w:val="18"/>
                <w:szCs w:val="18"/>
              </w:rPr>
            </w:pPr>
          </w:p>
        </w:tc>
      </w:tr>
      <w:tr w:rsidR="00BF0919" w:rsidRPr="0064723F" w14:paraId="20296FD3" w14:textId="77777777" w:rsidTr="00A8541E">
        <w:trPr>
          <w:cantSplit/>
          <w:trHeight w:val="20"/>
          <w:jc w:val="center"/>
        </w:trPr>
        <w:tc>
          <w:tcPr>
            <w:tcW w:w="1057" w:type="dxa"/>
            <w:vMerge/>
            <w:vAlign w:val="center"/>
          </w:tcPr>
          <w:p w14:paraId="17BDBD0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5096F8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608CB3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A69AF4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376725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20D3FE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58977F"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EB8A72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CF21A2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EE120F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BB117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9A5C6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D872A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2B42FC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59A232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543C06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337EC9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7CC5F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4C3251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D71C79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10260C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3471D8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4504E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4DA271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01ADCB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1927B9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B9C86F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EF3225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078AD82"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0A52886"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7B105D6A"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DDCA950"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5583B0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4DC602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561299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B841CA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64D0ED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53FEB0F" w14:textId="77777777" w:rsidR="00BF0919" w:rsidRPr="00962D42" w:rsidRDefault="00BF0919" w:rsidP="0064280E">
            <w:pPr>
              <w:jc w:val="center"/>
              <w:rPr>
                <w:rFonts w:ascii="Times New Roman" w:hAnsi="Times New Roman" w:cs="Times New Roman"/>
                <w:sz w:val="18"/>
                <w:szCs w:val="18"/>
              </w:rPr>
            </w:pPr>
          </w:p>
        </w:tc>
      </w:tr>
      <w:tr w:rsidR="00BF0919" w:rsidRPr="0064723F" w14:paraId="392082AB" w14:textId="77777777" w:rsidTr="00A8541E">
        <w:trPr>
          <w:cantSplit/>
          <w:trHeight w:val="20"/>
          <w:jc w:val="center"/>
        </w:trPr>
        <w:tc>
          <w:tcPr>
            <w:tcW w:w="1057" w:type="dxa"/>
            <w:vMerge/>
            <w:vAlign w:val="center"/>
          </w:tcPr>
          <w:p w14:paraId="70B3AF2A"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853E35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544FE2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2D6386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F3F211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3E5160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68A8D2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C566BC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A72BF1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F1995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388EF3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74D24B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58621E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5CF4EF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D16495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B07FA4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1A2D3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344AD1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B1CBC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BE2C15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5202E1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E94785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0D8F7C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EA7194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B82E17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711409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BE6D17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0FDC31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231A6D0"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5D95D84"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EE576C8"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40AAACD"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84753A4"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36073E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64B16A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9B18F5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BD4C1B1"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C1768E9" w14:textId="77777777" w:rsidR="00BF0919" w:rsidRPr="00962D42" w:rsidRDefault="00BF0919" w:rsidP="0064280E">
            <w:pPr>
              <w:jc w:val="center"/>
              <w:rPr>
                <w:rFonts w:ascii="Times New Roman" w:hAnsi="Times New Roman" w:cs="Times New Roman"/>
                <w:sz w:val="18"/>
                <w:szCs w:val="18"/>
              </w:rPr>
            </w:pPr>
          </w:p>
        </w:tc>
      </w:tr>
      <w:tr w:rsidR="00BF0919" w:rsidRPr="0064723F" w14:paraId="7E21ED99" w14:textId="77777777" w:rsidTr="00A8541E">
        <w:trPr>
          <w:cantSplit/>
          <w:trHeight w:val="20"/>
          <w:jc w:val="center"/>
        </w:trPr>
        <w:tc>
          <w:tcPr>
            <w:tcW w:w="1057" w:type="dxa"/>
            <w:vMerge/>
            <w:vAlign w:val="center"/>
          </w:tcPr>
          <w:p w14:paraId="2F41B3A9"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0696368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B7CF7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59EAE9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39CD71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2F32C2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5F07AA7"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59E26E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F4701F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2228A3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1C352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2FA0E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13BF3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3EE5B2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A2B964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31C51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163CBC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8CFD0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7D5270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746234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8C3894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076044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8F7E2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DE6530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80C701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033EFF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3892AD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03CA98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241A2AC"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B0A8483"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D8A8250"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5B6000C"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22C7CB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FB84BD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C428A7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FC7C25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D7750C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562E618" w14:textId="77777777" w:rsidR="00BF0919" w:rsidRPr="00962D42" w:rsidRDefault="00BF0919" w:rsidP="0064280E">
            <w:pPr>
              <w:jc w:val="center"/>
              <w:rPr>
                <w:rFonts w:ascii="Times New Roman" w:hAnsi="Times New Roman" w:cs="Times New Roman"/>
                <w:sz w:val="18"/>
                <w:szCs w:val="18"/>
              </w:rPr>
            </w:pPr>
          </w:p>
        </w:tc>
      </w:tr>
      <w:tr w:rsidR="00BF0919" w:rsidRPr="0064723F" w14:paraId="7A025F30" w14:textId="77777777" w:rsidTr="00A8541E">
        <w:trPr>
          <w:cantSplit/>
          <w:trHeight w:val="20"/>
          <w:jc w:val="center"/>
        </w:trPr>
        <w:tc>
          <w:tcPr>
            <w:tcW w:w="1057" w:type="dxa"/>
            <w:vMerge w:val="restart"/>
            <w:vAlign w:val="center"/>
            <w:hideMark/>
          </w:tcPr>
          <w:p w14:paraId="76A50056"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Hossain et al. (2017)</w:t>
            </w:r>
          </w:p>
        </w:tc>
        <w:tc>
          <w:tcPr>
            <w:tcW w:w="244" w:type="dxa"/>
            <w:vMerge w:val="restart"/>
            <w:vAlign w:val="center"/>
            <w:hideMark/>
          </w:tcPr>
          <w:p w14:paraId="330AE9E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4BB930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B04BDD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FF4182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24F86C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FF26EBC"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128F18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16AA2B94"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95695E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C156D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92C8DF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3D4EB76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FDF150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C369E3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566144D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C9A5B8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8B6DE3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A78454B"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13070938"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0FF95AF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C22D93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FF3207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7D3246A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CCC8BE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E2092E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2B0B4A2"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00E8956"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8B783F5" w14:textId="77777777" w:rsidR="00BF0919" w:rsidRPr="00962D42" w:rsidRDefault="00BF0919" w:rsidP="0064280E">
            <w:pPr>
              <w:jc w:val="center"/>
              <w:rPr>
                <w:rFonts w:ascii="Times New Roman" w:hAnsi="Times New Roman" w:cs="Times New Roman"/>
                <w:sz w:val="18"/>
                <w:szCs w:val="18"/>
              </w:rPr>
            </w:pPr>
          </w:p>
        </w:tc>
        <w:tc>
          <w:tcPr>
            <w:tcW w:w="231" w:type="dxa"/>
            <w:vMerge w:val="restart"/>
            <w:noWrap/>
            <w:vAlign w:val="center"/>
            <w:hideMark/>
          </w:tcPr>
          <w:p w14:paraId="734E0E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noWrap/>
            <w:vAlign w:val="center"/>
            <w:hideMark/>
          </w:tcPr>
          <w:p w14:paraId="147E87A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526033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2E56BCCF"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80%OPC+20%FA&gt;&gt;18%</w:t>
            </w:r>
            <w:r w:rsidRPr="00A21754">
              <w:rPr>
                <w:rFonts w:ascii="Times New Roman" w:hAnsi="Times New Roman" w:cs="Times New Roman"/>
                <w:sz w:val="16"/>
                <w:szCs w:val="16"/>
              </w:rPr>
              <w:br/>
              <w:t>80%OPC+20%glass cullet&gt;&gt;17%</w:t>
            </w:r>
          </w:p>
        </w:tc>
        <w:tc>
          <w:tcPr>
            <w:tcW w:w="201" w:type="dxa"/>
            <w:vAlign w:val="center"/>
          </w:tcPr>
          <w:p w14:paraId="50962AE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BF8309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B6BE5F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561426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F3CC947" w14:textId="77777777" w:rsidR="00BF0919" w:rsidRPr="00962D42" w:rsidRDefault="00BF0919" w:rsidP="0064280E">
            <w:pPr>
              <w:jc w:val="center"/>
              <w:rPr>
                <w:rFonts w:ascii="Times New Roman" w:hAnsi="Times New Roman" w:cs="Times New Roman"/>
                <w:sz w:val="18"/>
                <w:szCs w:val="18"/>
              </w:rPr>
            </w:pPr>
          </w:p>
        </w:tc>
      </w:tr>
      <w:tr w:rsidR="00BF0919" w:rsidRPr="0064723F" w14:paraId="4626D861" w14:textId="77777777" w:rsidTr="00A8541E">
        <w:trPr>
          <w:cantSplit/>
          <w:trHeight w:val="20"/>
          <w:jc w:val="center"/>
        </w:trPr>
        <w:tc>
          <w:tcPr>
            <w:tcW w:w="1057" w:type="dxa"/>
            <w:vMerge/>
            <w:vAlign w:val="center"/>
          </w:tcPr>
          <w:p w14:paraId="480AAFB2"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D0311D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9D108B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3489F5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4148E7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3A9386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E4A4F8"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799C61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1512DE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25AF70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C452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92CD1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ED1CAC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15D510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3FAEC8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C511FE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42D75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4BCAF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B665EF"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071538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69D088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15CF14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5A0BB5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23F136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8D8AAC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B1D622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14AC1D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BFB28E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D5BF636" w14:textId="77777777" w:rsidR="00BF0919" w:rsidRPr="00962D42" w:rsidRDefault="00BF0919" w:rsidP="0064280E">
            <w:pPr>
              <w:jc w:val="center"/>
              <w:rPr>
                <w:rFonts w:ascii="Times New Roman" w:hAnsi="Times New Roman" w:cs="Times New Roman"/>
                <w:sz w:val="18"/>
                <w:szCs w:val="18"/>
              </w:rPr>
            </w:pPr>
          </w:p>
        </w:tc>
        <w:tc>
          <w:tcPr>
            <w:tcW w:w="231" w:type="dxa"/>
            <w:vMerge/>
            <w:noWrap/>
            <w:vAlign w:val="center"/>
          </w:tcPr>
          <w:p w14:paraId="5C01517A" w14:textId="77777777" w:rsidR="00BF0919" w:rsidRPr="00962D42" w:rsidRDefault="00BF0919" w:rsidP="0064280E">
            <w:pPr>
              <w:jc w:val="center"/>
              <w:rPr>
                <w:rFonts w:ascii="Times New Roman" w:hAnsi="Times New Roman" w:cs="Times New Roman"/>
                <w:sz w:val="18"/>
                <w:szCs w:val="18"/>
              </w:rPr>
            </w:pPr>
          </w:p>
        </w:tc>
        <w:tc>
          <w:tcPr>
            <w:tcW w:w="438" w:type="dxa"/>
            <w:vMerge/>
            <w:noWrap/>
            <w:vAlign w:val="center"/>
          </w:tcPr>
          <w:p w14:paraId="399FA9A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D3D7BC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AC2A65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1874F72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A3B7EF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781DE9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C44DDB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8FA51F4" w14:textId="77777777" w:rsidR="00BF0919" w:rsidRPr="00962D42" w:rsidRDefault="00BF0919" w:rsidP="0064280E">
            <w:pPr>
              <w:jc w:val="center"/>
              <w:rPr>
                <w:rFonts w:ascii="Times New Roman" w:hAnsi="Times New Roman" w:cs="Times New Roman"/>
                <w:sz w:val="18"/>
                <w:szCs w:val="18"/>
              </w:rPr>
            </w:pPr>
          </w:p>
        </w:tc>
      </w:tr>
      <w:tr w:rsidR="00BF0919" w:rsidRPr="0064723F" w14:paraId="35C858BF" w14:textId="77777777" w:rsidTr="00A8541E">
        <w:trPr>
          <w:cantSplit/>
          <w:trHeight w:val="20"/>
          <w:jc w:val="center"/>
        </w:trPr>
        <w:tc>
          <w:tcPr>
            <w:tcW w:w="1057" w:type="dxa"/>
            <w:vMerge w:val="restart"/>
            <w:vAlign w:val="center"/>
            <w:hideMark/>
          </w:tcPr>
          <w:p w14:paraId="5B47D9CD"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Van den Heede and De Belie (2014)</w:t>
            </w:r>
          </w:p>
        </w:tc>
        <w:tc>
          <w:tcPr>
            <w:tcW w:w="244" w:type="dxa"/>
            <w:vMerge w:val="restart"/>
            <w:vAlign w:val="center"/>
            <w:hideMark/>
          </w:tcPr>
          <w:p w14:paraId="6E7B82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133C4B7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B26CF8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AF4E8C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092051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CDAEAA7"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568B639"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5D239354"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8D7E99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E28104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20655C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814A9A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BBD2BB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3438A7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123AF6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10DCB4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93C451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833B5E8"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72D67FB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29EE61D4"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92BCD78"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0764B0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52A6FD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381077F2"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AD662A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D9324B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50F4532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825D9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6F244BC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5E7AFB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2F184639"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514AB3E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85%OPC+15%FA&gt;&gt;18%</w:t>
            </w:r>
            <w:r w:rsidRPr="00A21754">
              <w:rPr>
                <w:rFonts w:ascii="Times New Roman" w:hAnsi="Times New Roman" w:cs="Times New Roman"/>
                <w:sz w:val="16"/>
                <w:szCs w:val="16"/>
              </w:rPr>
              <w:br/>
              <w:t>50%OPC+50%FA&gt;&gt;27%</w:t>
            </w:r>
          </w:p>
        </w:tc>
        <w:tc>
          <w:tcPr>
            <w:tcW w:w="201" w:type="dxa"/>
            <w:vAlign w:val="center"/>
          </w:tcPr>
          <w:p w14:paraId="39E46B6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AFA0B8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598956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9A8711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E06CBE2" w14:textId="77777777" w:rsidR="00BF0919" w:rsidRPr="00962D42" w:rsidRDefault="00BF0919" w:rsidP="0064280E">
            <w:pPr>
              <w:jc w:val="center"/>
              <w:rPr>
                <w:rFonts w:ascii="Times New Roman" w:hAnsi="Times New Roman" w:cs="Times New Roman"/>
                <w:sz w:val="18"/>
                <w:szCs w:val="18"/>
              </w:rPr>
            </w:pPr>
          </w:p>
        </w:tc>
      </w:tr>
      <w:tr w:rsidR="00BF0919" w:rsidRPr="0064723F" w14:paraId="0AD7B1F7" w14:textId="77777777" w:rsidTr="00A8541E">
        <w:trPr>
          <w:cantSplit/>
          <w:trHeight w:val="20"/>
          <w:jc w:val="center"/>
        </w:trPr>
        <w:tc>
          <w:tcPr>
            <w:tcW w:w="1057" w:type="dxa"/>
            <w:vMerge/>
            <w:vAlign w:val="center"/>
          </w:tcPr>
          <w:p w14:paraId="6201615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A002B2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384949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04556B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F1DBAD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294F78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7E91651"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409E936"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B44708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B9E599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E0C31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A80D5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15666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705568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D64BB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23AC4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D95294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E5DBB4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CE63989"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739ECCC"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43E388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20AAA5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E36BB8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4C4182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1DF9DA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AAF274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C83411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265B95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3844D91"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5A0A36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EA92CE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B2DC575"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5FD046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69FAB3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678C3E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200947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B4B81E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AC24B82" w14:textId="77777777" w:rsidR="00BF0919" w:rsidRPr="00962D42" w:rsidRDefault="00BF0919" w:rsidP="0064280E">
            <w:pPr>
              <w:jc w:val="center"/>
              <w:rPr>
                <w:rFonts w:ascii="Times New Roman" w:hAnsi="Times New Roman" w:cs="Times New Roman"/>
                <w:sz w:val="18"/>
                <w:szCs w:val="18"/>
              </w:rPr>
            </w:pPr>
          </w:p>
        </w:tc>
      </w:tr>
      <w:tr w:rsidR="00BF0919" w:rsidRPr="0064723F" w14:paraId="24B40898" w14:textId="77777777" w:rsidTr="00A8541E">
        <w:trPr>
          <w:cantSplit/>
          <w:trHeight w:val="20"/>
          <w:jc w:val="center"/>
        </w:trPr>
        <w:tc>
          <w:tcPr>
            <w:tcW w:w="1057" w:type="dxa"/>
            <w:vMerge w:val="restart"/>
            <w:vAlign w:val="center"/>
            <w:hideMark/>
          </w:tcPr>
          <w:p w14:paraId="0FD30E66"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Wanna et al. (2020)</w:t>
            </w:r>
          </w:p>
        </w:tc>
        <w:tc>
          <w:tcPr>
            <w:tcW w:w="244" w:type="dxa"/>
            <w:vMerge w:val="restart"/>
            <w:vAlign w:val="center"/>
            <w:hideMark/>
          </w:tcPr>
          <w:p w14:paraId="2EDC25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E913C9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4CF543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0DE7B27"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227515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968966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3C5FBE4C"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4014364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62727B3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CED9C6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29641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94E93A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682DAE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515F37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629101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05C0F4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6C2584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8C26F72"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763A2A6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307A7269"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48405A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7DAAE6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B61056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419EAE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1569F7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330DE3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14C8D39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76A473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433B9A8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60A4A6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27A4C98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77D454C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70%OPC+30%FA&gt;&gt;23.9%</w:t>
            </w:r>
            <w:r w:rsidRPr="00A21754">
              <w:rPr>
                <w:rFonts w:ascii="Times New Roman" w:hAnsi="Times New Roman" w:cs="Times New Roman"/>
                <w:sz w:val="16"/>
                <w:szCs w:val="16"/>
              </w:rPr>
              <w:br/>
              <w:t>90%OPC+10GS&gt;&gt;8%</w:t>
            </w:r>
            <w:r w:rsidRPr="00A21754">
              <w:rPr>
                <w:rFonts w:ascii="Times New Roman" w:hAnsi="Times New Roman" w:cs="Times New Roman"/>
                <w:sz w:val="16"/>
                <w:szCs w:val="16"/>
              </w:rPr>
              <w:br/>
              <w:t>70%OPC+20%FA+10%GS&gt;&gt;23.3%</w:t>
            </w:r>
          </w:p>
        </w:tc>
        <w:tc>
          <w:tcPr>
            <w:tcW w:w="201" w:type="dxa"/>
            <w:vAlign w:val="center"/>
          </w:tcPr>
          <w:p w14:paraId="27C51F2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047D76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F1E8C6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1FC9E3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534F4FC5" w14:textId="77777777" w:rsidR="00BF0919" w:rsidRPr="00962D42" w:rsidRDefault="00BF0919" w:rsidP="0064280E">
            <w:pPr>
              <w:jc w:val="center"/>
              <w:rPr>
                <w:rFonts w:ascii="Times New Roman" w:hAnsi="Times New Roman" w:cs="Times New Roman"/>
                <w:sz w:val="18"/>
                <w:szCs w:val="18"/>
              </w:rPr>
            </w:pPr>
          </w:p>
        </w:tc>
      </w:tr>
      <w:tr w:rsidR="00BF0919" w:rsidRPr="0064723F" w14:paraId="4DC61DF8" w14:textId="77777777" w:rsidTr="00A8541E">
        <w:trPr>
          <w:cantSplit/>
          <w:trHeight w:val="20"/>
          <w:jc w:val="center"/>
        </w:trPr>
        <w:tc>
          <w:tcPr>
            <w:tcW w:w="1057" w:type="dxa"/>
            <w:vMerge/>
            <w:vAlign w:val="center"/>
          </w:tcPr>
          <w:p w14:paraId="29BA7966"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1D0112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62EC98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BF5268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6D368D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7693C7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40BA6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7D3CDFB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35F033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F0A199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1845E7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E28E64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18077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E344D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D5839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D25FF4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BE8B2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9ED1A8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1F923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7E386A3E"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550C3C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674BCA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77563E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D87431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9262BA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864FB5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50AD40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B74FCD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213A376"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672AEEC"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58AD716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0E40B7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79934B8"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B8831C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2EBD08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BABAE7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451333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A26CE53" w14:textId="77777777" w:rsidR="00BF0919" w:rsidRPr="00962D42" w:rsidRDefault="00BF0919" w:rsidP="0064280E">
            <w:pPr>
              <w:jc w:val="center"/>
              <w:rPr>
                <w:rFonts w:ascii="Times New Roman" w:hAnsi="Times New Roman" w:cs="Times New Roman"/>
                <w:sz w:val="18"/>
                <w:szCs w:val="18"/>
              </w:rPr>
            </w:pPr>
          </w:p>
        </w:tc>
      </w:tr>
      <w:tr w:rsidR="00BF0919" w:rsidRPr="0064723F" w14:paraId="3F159B21" w14:textId="77777777" w:rsidTr="00A8541E">
        <w:trPr>
          <w:cantSplit/>
          <w:trHeight w:val="20"/>
          <w:jc w:val="center"/>
        </w:trPr>
        <w:tc>
          <w:tcPr>
            <w:tcW w:w="1057" w:type="dxa"/>
            <w:vMerge/>
            <w:vAlign w:val="center"/>
          </w:tcPr>
          <w:p w14:paraId="44788870"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F17064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57D61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1BCE81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7210CA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9F043F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16BD244"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06E406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0A8ECF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B97486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5C233C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48F2E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9BFFD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6B3504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81B4D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78C04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576288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FDCC1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38B4A6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1B10B5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00BA5A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9DEA3E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D41BFA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E625F8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EF7B38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FAF3B0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07948F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7F15DD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1A9AB5D"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51FF9B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76BB764F"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0B6A193"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9613508"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13C495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0D5D1B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5DA334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EEE7C85"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E2BBD9B" w14:textId="77777777" w:rsidR="00BF0919" w:rsidRPr="00962D42" w:rsidRDefault="00BF0919" w:rsidP="0064280E">
            <w:pPr>
              <w:jc w:val="center"/>
              <w:rPr>
                <w:rFonts w:ascii="Times New Roman" w:hAnsi="Times New Roman" w:cs="Times New Roman"/>
                <w:sz w:val="18"/>
                <w:szCs w:val="18"/>
              </w:rPr>
            </w:pPr>
          </w:p>
        </w:tc>
      </w:tr>
      <w:tr w:rsidR="00BF0919" w:rsidRPr="0064723F" w14:paraId="674A89E7" w14:textId="77777777" w:rsidTr="00A8541E">
        <w:trPr>
          <w:cantSplit/>
          <w:trHeight w:val="20"/>
          <w:jc w:val="center"/>
        </w:trPr>
        <w:tc>
          <w:tcPr>
            <w:tcW w:w="1057" w:type="dxa"/>
            <w:vMerge w:val="restart"/>
            <w:vAlign w:val="center"/>
            <w:hideMark/>
          </w:tcPr>
          <w:p w14:paraId="3AED2731"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Zhao et al. (2022)</w:t>
            </w:r>
          </w:p>
        </w:tc>
        <w:tc>
          <w:tcPr>
            <w:tcW w:w="244" w:type="dxa"/>
            <w:vMerge w:val="restart"/>
            <w:vAlign w:val="center"/>
            <w:hideMark/>
          </w:tcPr>
          <w:p w14:paraId="3705535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25B614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6B0133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BDD51A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4929AD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74AC06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4" w:type="dxa"/>
            <w:vMerge w:val="restart"/>
            <w:vAlign w:val="center"/>
            <w:hideMark/>
          </w:tcPr>
          <w:p w14:paraId="19C5411C"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F5FA06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529918A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652E5C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546D9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A0CBFB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623928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DB9A7C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666497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D1E5CA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0D4A85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94AE440"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49235281"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B20E96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8A77D7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C8454A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7BB08D7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F30FA4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4FF72F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6E9D4B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391E3F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EE36E1E"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76046A9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227ACA4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BAFA78A"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7CBB427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80%OPC+20%FA&gt;&gt;19.2%</w:t>
            </w:r>
            <w:r w:rsidRPr="00A21754">
              <w:rPr>
                <w:rFonts w:ascii="Times New Roman" w:hAnsi="Times New Roman" w:cs="Times New Roman"/>
                <w:sz w:val="16"/>
                <w:szCs w:val="16"/>
              </w:rPr>
              <w:br/>
              <w:t>70%OPC+30%FA&gt;&gt;28.8%</w:t>
            </w:r>
            <w:r w:rsidRPr="00A21754">
              <w:rPr>
                <w:rFonts w:ascii="Times New Roman" w:hAnsi="Times New Roman" w:cs="Times New Roman"/>
                <w:sz w:val="16"/>
                <w:szCs w:val="16"/>
              </w:rPr>
              <w:br/>
              <w:t>60%OPC+40%FA&gt;&gt;38.3%</w:t>
            </w:r>
            <w:r w:rsidRPr="00A21754">
              <w:rPr>
                <w:rFonts w:ascii="Times New Roman" w:hAnsi="Times New Roman" w:cs="Times New Roman"/>
                <w:sz w:val="16"/>
                <w:szCs w:val="16"/>
              </w:rPr>
              <w:br/>
              <w:t>50%OPC+50%FA&gt;&gt;41.4%</w:t>
            </w:r>
          </w:p>
        </w:tc>
        <w:tc>
          <w:tcPr>
            <w:tcW w:w="201" w:type="dxa"/>
            <w:vAlign w:val="center"/>
          </w:tcPr>
          <w:p w14:paraId="36F2515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92806D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F9A7C4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49FAA41"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C536B5C" w14:textId="77777777" w:rsidR="00BF0919" w:rsidRPr="00962D42" w:rsidRDefault="00BF0919" w:rsidP="0064280E">
            <w:pPr>
              <w:jc w:val="center"/>
              <w:rPr>
                <w:rFonts w:ascii="Times New Roman" w:hAnsi="Times New Roman" w:cs="Times New Roman"/>
                <w:sz w:val="18"/>
                <w:szCs w:val="18"/>
              </w:rPr>
            </w:pPr>
          </w:p>
        </w:tc>
      </w:tr>
      <w:tr w:rsidR="00BF0919" w:rsidRPr="0064723F" w14:paraId="741B1C16" w14:textId="77777777" w:rsidTr="00A8541E">
        <w:trPr>
          <w:cantSplit/>
          <w:trHeight w:val="20"/>
          <w:jc w:val="center"/>
        </w:trPr>
        <w:tc>
          <w:tcPr>
            <w:tcW w:w="1057" w:type="dxa"/>
            <w:vMerge/>
            <w:vAlign w:val="center"/>
          </w:tcPr>
          <w:p w14:paraId="319948D2"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08B7B5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207139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4876C0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A48697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703C08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5FE7010"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D1DC7F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A8C2FE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F15C7F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1A4566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93457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DCF23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444DB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655DE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D1837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AD972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F8C264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EA568B4"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AAEA56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90CE68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EF43E5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B07F75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BA8310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E6E89E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1AD360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CFDFBC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6B1410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918E025"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A5BB82C"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7BB5237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F1E378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54582A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6B2DCB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6CA6FC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F2E5B6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075C79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1772D8C" w14:textId="77777777" w:rsidR="00BF0919" w:rsidRPr="00962D42" w:rsidRDefault="00BF0919" w:rsidP="0064280E">
            <w:pPr>
              <w:jc w:val="center"/>
              <w:rPr>
                <w:rFonts w:ascii="Times New Roman" w:hAnsi="Times New Roman" w:cs="Times New Roman"/>
                <w:sz w:val="18"/>
                <w:szCs w:val="18"/>
              </w:rPr>
            </w:pPr>
          </w:p>
        </w:tc>
      </w:tr>
      <w:tr w:rsidR="00BF0919" w:rsidRPr="0064723F" w14:paraId="7A3733DB" w14:textId="77777777" w:rsidTr="00A8541E">
        <w:trPr>
          <w:cantSplit/>
          <w:trHeight w:val="20"/>
          <w:jc w:val="center"/>
        </w:trPr>
        <w:tc>
          <w:tcPr>
            <w:tcW w:w="1057" w:type="dxa"/>
            <w:vMerge/>
            <w:vAlign w:val="center"/>
          </w:tcPr>
          <w:p w14:paraId="4F117C1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CD2612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DE7385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A68592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0315CA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0BC359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F605079"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CFC066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B8E6C1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1D5A3E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BFE47F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1C71A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41DF9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D2BE40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7D876A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64DAE4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23B52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DE89C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FD976E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4B291D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190F75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16D741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F0C362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2866A2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9A3614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BD7344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9FDB26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4B20A1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D3AB534"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0466E59"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90419BC"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D5C0D20"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F705792"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3DC58C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747855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DD4395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1A8C8C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32B2BAC" w14:textId="77777777" w:rsidR="00BF0919" w:rsidRPr="00962D42" w:rsidRDefault="00BF0919" w:rsidP="0064280E">
            <w:pPr>
              <w:jc w:val="center"/>
              <w:rPr>
                <w:rFonts w:ascii="Times New Roman" w:hAnsi="Times New Roman" w:cs="Times New Roman"/>
                <w:sz w:val="18"/>
                <w:szCs w:val="18"/>
              </w:rPr>
            </w:pPr>
          </w:p>
        </w:tc>
      </w:tr>
      <w:tr w:rsidR="00BF0919" w:rsidRPr="0064723F" w14:paraId="37BF5C59" w14:textId="77777777" w:rsidTr="00A8541E">
        <w:trPr>
          <w:cantSplit/>
          <w:trHeight w:val="20"/>
          <w:jc w:val="center"/>
        </w:trPr>
        <w:tc>
          <w:tcPr>
            <w:tcW w:w="1057" w:type="dxa"/>
            <w:vMerge/>
            <w:vAlign w:val="center"/>
          </w:tcPr>
          <w:p w14:paraId="32CD589D"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0ACD42D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F8A411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5EF18E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09ADC6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007870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D42FB9"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637A2A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F689F7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BBB53A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8608D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D0CDBC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58D87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75C98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C096E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C6A26E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F63905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A4147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B21D68"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A1EE22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DD6643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4D00D8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CA351E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088DEC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DD87C4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524516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D54FE8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0B4FD1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A5D83C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094C328"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60F9DEA"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029DF5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016900F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455E13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DADAF4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B2A3A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E09B0B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4CD6C44" w14:textId="77777777" w:rsidR="00BF0919" w:rsidRPr="00962D42" w:rsidRDefault="00BF0919" w:rsidP="0064280E">
            <w:pPr>
              <w:jc w:val="center"/>
              <w:rPr>
                <w:rFonts w:ascii="Times New Roman" w:hAnsi="Times New Roman" w:cs="Times New Roman"/>
                <w:sz w:val="18"/>
                <w:szCs w:val="18"/>
              </w:rPr>
            </w:pPr>
          </w:p>
        </w:tc>
      </w:tr>
      <w:tr w:rsidR="00BF0919" w:rsidRPr="0064723F" w14:paraId="5BE87CCF" w14:textId="77777777" w:rsidTr="00A8541E">
        <w:trPr>
          <w:cantSplit/>
          <w:trHeight w:val="20"/>
          <w:jc w:val="center"/>
        </w:trPr>
        <w:tc>
          <w:tcPr>
            <w:tcW w:w="1057" w:type="dxa"/>
            <w:vMerge w:val="restart"/>
            <w:vAlign w:val="center"/>
            <w:hideMark/>
          </w:tcPr>
          <w:p w14:paraId="43468E89"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lastRenderedPageBreak/>
              <w:t>Bostanci et al. (2018)</w:t>
            </w:r>
          </w:p>
        </w:tc>
        <w:tc>
          <w:tcPr>
            <w:tcW w:w="244" w:type="dxa"/>
            <w:vMerge w:val="restart"/>
            <w:vAlign w:val="center"/>
            <w:hideMark/>
          </w:tcPr>
          <w:p w14:paraId="04D6ED33"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4565F5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093A38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AF6657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99F48C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EB76C6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4" w:type="dxa"/>
            <w:vMerge w:val="restart"/>
            <w:vAlign w:val="center"/>
            <w:hideMark/>
          </w:tcPr>
          <w:p w14:paraId="6DC7A102"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E78BCE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18F357B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A78B5A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3DD03D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0E9DA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65D0BF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AA1C88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B96677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40C0F4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DB308D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866BEBF"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18B0B0C2"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tcPr>
          <w:p w14:paraId="4D79B04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tcPr>
          <w:p w14:paraId="506BAD24"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DDE1DC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D2899F4"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9A716D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A24BB02"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0E27017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0970D003"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7E8AE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4468F91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A28CA3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9E15D51"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35C5CA03"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65%OPC+30%GGBS+5%SF&gt;&gt;36%~42%</w:t>
            </w:r>
            <w:r w:rsidRPr="00A21754">
              <w:rPr>
                <w:rFonts w:ascii="Times New Roman" w:hAnsi="Times New Roman" w:cs="Times New Roman"/>
                <w:sz w:val="16"/>
                <w:szCs w:val="16"/>
              </w:rPr>
              <w:br/>
              <w:t>40%OPC+30%FA+30%GGBS&gt;&gt;51%~56%</w:t>
            </w:r>
          </w:p>
        </w:tc>
        <w:tc>
          <w:tcPr>
            <w:tcW w:w="201" w:type="dxa"/>
            <w:vAlign w:val="center"/>
          </w:tcPr>
          <w:p w14:paraId="7FE3A9E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BFA1AC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4E2E52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F7D788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B85ED2B" w14:textId="77777777" w:rsidR="00BF0919" w:rsidRPr="00962D42" w:rsidRDefault="00BF0919" w:rsidP="0064280E">
            <w:pPr>
              <w:jc w:val="center"/>
              <w:rPr>
                <w:rFonts w:ascii="Times New Roman" w:hAnsi="Times New Roman" w:cs="Times New Roman"/>
                <w:sz w:val="18"/>
                <w:szCs w:val="18"/>
              </w:rPr>
            </w:pPr>
          </w:p>
        </w:tc>
      </w:tr>
      <w:tr w:rsidR="00BF0919" w:rsidRPr="0064723F" w14:paraId="3BFD53BD" w14:textId="77777777" w:rsidTr="00A8541E">
        <w:trPr>
          <w:cantSplit/>
          <w:trHeight w:val="20"/>
          <w:jc w:val="center"/>
        </w:trPr>
        <w:tc>
          <w:tcPr>
            <w:tcW w:w="1057" w:type="dxa"/>
            <w:vMerge/>
            <w:vAlign w:val="center"/>
          </w:tcPr>
          <w:p w14:paraId="01090A83"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52E4F9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55733C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D6B436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7065B0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9DFF33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F834C1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B0BF66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4F8059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9FA37C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F3BD98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1464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7553B7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BD81C5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C5734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E453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B74322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B46BC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970C2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CB9243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5AFC7E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3947B9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255991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8DE9D0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F3A428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916DEA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D67991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A67B4B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78D536E"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3C69993"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4FE647B"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E61B8D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5FD2177"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AF9BAC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97E66D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13D03B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CC4CF7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1556BF80" w14:textId="77777777" w:rsidR="00BF0919" w:rsidRPr="00962D42" w:rsidRDefault="00BF0919" w:rsidP="0064280E">
            <w:pPr>
              <w:jc w:val="center"/>
              <w:rPr>
                <w:rFonts w:ascii="Times New Roman" w:hAnsi="Times New Roman" w:cs="Times New Roman"/>
                <w:sz w:val="18"/>
                <w:szCs w:val="18"/>
              </w:rPr>
            </w:pPr>
          </w:p>
        </w:tc>
      </w:tr>
      <w:tr w:rsidR="00BF0919" w:rsidRPr="0064723F" w14:paraId="0648591B" w14:textId="77777777" w:rsidTr="00A8541E">
        <w:trPr>
          <w:cantSplit/>
          <w:trHeight w:val="20"/>
          <w:jc w:val="center"/>
        </w:trPr>
        <w:tc>
          <w:tcPr>
            <w:tcW w:w="1057" w:type="dxa"/>
            <w:vMerge w:val="restart"/>
            <w:vAlign w:val="center"/>
            <w:hideMark/>
          </w:tcPr>
          <w:p w14:paraId="00824305" w14:textId="77777777" w:rsidR="00BF0919" w:rsidRPr="00A21754"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Berndt (2015)</w:t>
            </w:r>
          </w:p>
        </w:tc>
        <w:tc>
          <w:tcPr>
            <w:tcW w:w="244" w:type="dxa"/>
            <w:vMerge w:val="restart"/>
            <w:vAlign w:val="center"/>
            <w:hideMark/>
          </w:tcPr>
          <w:p w14:paraId="2051C3A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BCA9C6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6DFFBF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9D3213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3ADB13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297559F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1609F6CF"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74E2A02"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2CAE5B2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37EBCB7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BEAA94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46D7A2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6F36D1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3AD56D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BEA1CA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F59E74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70A095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7148506"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9402925"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5D7754E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4601AB7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91BC3E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49366BC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47D261E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D01B65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75BE5F35"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2357687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6B4F92F1"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6C50F1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30E1337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A80EA1F"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4EA28B7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75%OPC+25%GGBS&gt;&gt;22%</w:t>
            </w:r>
            <w:r w:rsidRPr="00A21754">
              <w:rPr>
                <w:rFonts w:ascii="Times New Roman" w:hAnsi="Times New Roman" w:cs="Times New Roman"/>
                <w:sz w:val="16"/>
                <w:szCs w:val="16"/>
              </w:rPr>
              <w:br/>
              <w:t>50%OPC+50%GGBS&gt;&gt;31.4%</w:t>
            </w:r>
            <w:r w:rsidRPr="00A21754">
              <w:rPr>
                <w:rFonts w:ascii="Times New Roman" w:hAnsi="Times New Roman" w:cs="Times New Roman"/>
                <w:sz w:val="16"/>
                <w:szCs w:val="16"/>
              </w:rPr>
              <w:br/>
              <w:t>35%OPC+65%GGBS&gt;&gt;44.8%</w:t>
            </w:r>
          </w:p>
        </w:tc>
        <w:tc>
          <w:tcPr>
            <w:tcW w:w="201" w:type="dxa"/>
            <w:vAlign w:val="center"/>
          </w:tcPr>
          <w:p w14:paraId="4CCC424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317313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BC74D1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7E543D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168A329" w14:textId="77777777" w:rsidR="00BF0919" w:rsidRPr="00962D42" w:rsidRDefault="00BF0919" w:rsidP="0064280E">
            <w:pPr>
              <w:jc w:val="center"/>
              <w:rPr>
                <w:rFonts w:ascii="Times New Roman" w:hAnsi="Times New Roman" w:cs="Times New Roman"/>
                <w:sz w:val="18"/>
                <w:szCs w:val="18"/>
              </w:rPr>
            </w:pPr>
          </w:p>
        </w:tc>
      </w:tr>
      <w:tr w:rsidR="00BF0919" w:rsidRPr="0064723F" w14:paraId="362661B8" w14:textId="77777777" w:rsidTr="00A8541E">
        <w:trPr>
          <w:cantSplit/>
          <w:trHeight w:val="20"/>
          <w:jc w:val="center"/>
        </w:trPr>
        <w:tc>
          <w:tcPr>
            <w:tcW w:w="1057" w:type="dxa"/>
            <w:vMerge/>
            <w:vAlign w:val="center"/>
          </w:tcPr>
          <w:p w14:paraId="208F01EE"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949C5E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E3907F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CF3E75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3FF1FE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77508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5586D9C"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C71C01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2E39BC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0DB340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46890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A81CD1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0A5488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FDBB81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B32E0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EC3E1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15D4C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B910F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70195E9"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2E0D8D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6EACD9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8DD5FB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FADA4C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3965F9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ADD4DC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6FD16F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667F08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C8263B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1388867"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0D582E0"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5A0AB2B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776695F"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4B55460"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B72D22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EF5C00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4D4582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146D65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59A93D7" w14:textId="77777777" w:rsidR="00BF0919" w:rsidRPr="00962D42" w:rsidRDefault="00BF0919" w:rsidP="0064280E">
            <w:pPr>
              <w:jc w:val="center"/>
              <w:rPr>
                <w:rFonts w:ascii="Times New Roman" w:hAnsi="Times New Roman" w:cs="Times New Roman"/>
                <w:sz w:val="18"/>
                <w:szCs w:val="18"/>
              </w:rPr>
            </w:pPr>
          </w:p>
        </w:tc>
      </w:tr>
      <w:tr w:rsidR="00BF0919" w:rsidRPr="0064723F" w14:paraId="1E7E2BED" w14:textId="77777777" w:rsidTr="00A8541E">
        <w:trPr>
          <w:cantSplit/>
          <w:trHeight w:val="20"/>
          <w:jc w:val="center"/>
        </w:trPr>
        <w:tc>
          <w:tcPr>
            <w:tcW w:w="1057" w:type="dxa"/>
            <w:vMerge/>
            <w:vAlign w:val="center"/>
          </w:tcPr>
          <w:p w14:paraId="797F95AC"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E9DF2C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C77898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0E47DC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8B90A1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DC4D7F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39D0C3E"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AEBA29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CC9E65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89706E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4F1921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7DFD4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669875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97A27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E5A19E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A0308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9723F5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EF51BD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3AC1A8"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52411BD"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3C952F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D81406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29155E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C98B97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A0FAF1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6BD2AA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219F09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8303D0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DA223C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1042D11A"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E5C7D1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D374FAA"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DF82012"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2F3415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91F32C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CEBB34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94A0428"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78E707D" w14:textId="77777777" w:rsidR="00BF0919" w:rsidRPr="00962D42" w:rsidRDefault="00BF0919" w:rsidP="0064280E">
            <w:pPr>
              <w:jc w:val="center"/>
              <w:rPr>
                <w:rFonts w:ascii="Times New Roman" w:hAnsi="Times New Roman" w:cs="Times New Roman"/>
                <w:sz w:val="18"/>
                <w:szCs w:val="18"/>
              </w:rPr>
            </w:pPr>
          </w:p>
        </w:tc>
      </w:tr>
      <w:tr w:rsidR="00BF0919" w:rsidRPr="0064723F" w14:paraId="66D70B82" w14:textId="77777777" w:rsidTr="00A8541E">
        <w:trPr>
          <w:cantSplit/>
          <w:trHeight w:val="20"/>
          <w:jc w:val="center"/>
        </w:trPr>
        <w:tc>
          <w:tcPr>
            <w:tcW w:w="1057" w:type="dxa"/>
            <w:vAlign w:val="center"/>
            <w:hideMark/>
          </w:tcPr>
          <w:p w14:paraId="6967E5A2"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Nanayakkara et al. (2021)</w:t>
            </w:r>
          </w:p>
        </w:tc>
        <w:tc>
          <w:tcPr>
            <w:tcW w:w="244" w:type="dxa"/>
            <w:vAlign w:val="center"/>
            <w:hideMark/>
          </w:tcPr>
          <w:p w14:paraId="51E15D1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DBCB15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AEB3D3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D98BAE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3746174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6F84BA6"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4E7AEA02"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5C702C3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565DEE0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C80B85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12DA85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FA0FD3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E1FAD8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050FFD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E74A9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CA0733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271618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52B60E6A"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2D53EB1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076E1E55"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268E61F8"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F513EA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2ADEA661"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AA192C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389D22F"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39513DC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tcPr>
          <w:p w14:paraId="7CBABF1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hideMark/>
          </w:tcPr>
          <w:p w14:paraId="23410AF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Align w:val="center"/>
            <w:hideMark/>
          </w:tcPr>
          <w:p w14:paraId="114DFE6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782534A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466265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47C9ABF5"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78%GGBS+13.3%NAOH+8.7%SS&gt;&gt;43.5%</w:t>
            </w:r>
          </w:p>
        </w:tc>
        <w:tc>
          <w:tcPr>
            <w:tcW w:w="201" w:type="dxa"/>
            <w:vAlign w:val="center"/>
          </w:tcPr>
          <w:p w14:paraId="1ED6B29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D8F1E5B"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68C636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32CF0253"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A98E6B2" w14:textId="77777777" w:rsidR="00BF0919" w:rsidRPr="00962D42" w:rsidRDefault="00BF0919" w:rsidP="0064280E">
            <w:pPr>
              <w:jc w:val="center"/>
              <w:rPr>
                <w:rFonts w:ascii="Times New Roman" w:hAnsi="Times New Roman" w:cs="Times New Roman"/>
                <w:sz w:val="18"/>
                <w:szCs w:val="18"/>
              </w:rPr>
            </w:pPr>
          </w:p>
        </w:tc>
      </w:tr>
      <w:tr w:rsidR="00BF0919" w:rsidRPr="0064723F" w14:paraId="25A992BF" w14:textId="77777777" w:rsidTr="00A8541E">
        <w:trPr>
          <w:cantSplit/>
          <w:trHeight w:val="20"/>
          <w:jc w:val="center"/>
        </w:trPr>
        <w:tc>
          <w:tcPr>
            <w:tcW w:w="1057" w:type="dxa"/>
            <w:vMerge w:val="restart"/>
            <w:vAlign w:val="center"/>
            <w:hideMark/>
          </w:tcPr>
          <w:p w14:paraId="62E17A0D"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McLellan et al. (2011)</w:t>
            </w:r>
          </w:p>
        </w:tc>
        <w:tc>
          <w:tcPr>
            <w:tcW w:w="244" w:type="dxa"/>
            <w:vMerge w:val="restart"/>
            <w:vAlign w:val="center"/>
            <w:hideMark/>
          </w:tcPr>
          <w:p w14:paraId="7F14404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6F2D1C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C66FEB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6474FA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8C7C67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3155BF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5759D9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4C2BB70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44191CB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270B4B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8D278F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D77B8C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4F89FB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113AE6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B179D5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3FBAAE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8D7743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C936E0D"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7EF1C86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CA215E6"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112EE369"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ED6F83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27FDB50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B17370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4A6945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15964339"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09DA53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AD82211"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509FE66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2155E8F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77D7EBE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181ED63"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84%FA+11NaOH+5SF&gt;&gt;47%</w:t>
            </w:r>
            <w:r w:rsidRPr="00A21754">
              <w:rPr>
                <w:rFonts w:ascii="Times New Roman" w:hAnsi="Times New Roman" w:cs="Times New Roman"/>
                <w:sz w:val="16"/>
                <w:szCs w:val="16"/>
              </w:rPr>
              <w:br/>
              <w:t xml:space="preserve"> 91%FA+7.2%NaOH+1.8%SS&gt;&gt;64%</w:t>
            </w:r>
            <w:r w:rsidRPr="00A21754">
              <w:rPr>
                <w:rFonts w:ascii="Times New Roman" w:hAnsi="Times New Roman" w:cs="Times New Roman"/>
                <w:sz w:val="16"/>
                <w:szCs w:val="16"/>
              </w:rPr>
              <w:br/>
            </w:r>
            <w:r w:rsidRPr="00E974BC">
              <w:rPr>
                <w:rFonts w:ascii="Times New Roman" w:hAnsi="Times New Roman" w:cs="Times New Roman"/>
                <w:sz w:val="16"/>
                <w:szCs w:val="16"/>
              </w:rPr>
              <w:t xml:space="preserve">  85.2%FA+7.6%NaOH+7.2%SS&gt;&gt;59% </w:t>
            </w:r>
            <w:r w:rsidRPr="00E974BC">
              <w:rPr>
                <w:rFonts w:ascii="Times New Roman" w:hAnsi="Times New Roman" w:cs="Times New Roman"/>
                <w:sz w:val="16"/>
                <w:szCs w:val="16"/>
              </w:rPr>
              <w:br/>
              <w:t>78%FA+11%NaOH+9%SF+2%Gibbsite&gt;&gt;44%</w:t>
            </w:r>
          </w:p>
        </w:tc>
        <w:tc>
          <w:tcPr>
            <w:tcW w:w="201" w:type="dxa"/>
            <w:vAlign w:val="center"/>
          </w:tcPr>
          <w:p w14:paraId="607CBB2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C25300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9B104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70712B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56603B9" w14:textId="77777777" w:rsidR="00BF0919" w:rsidRPr="00962D42" w:rsidRDefault="00BF0919" w:rsidP="0064280E">
            <w:pPr>
              <w:jc w:val="center"/>
              <w:rPr>
                <w:rFonts w:ascii="Times New Roman" w:hAnsi="Times New Roman" w:cs="Times New Roman"/>
                <w:sz w:val="18"/>
                <w:szCs w:val="18"/>
              </w:rPr>
            </w:pPr>
          </w:p>
        </w:tc>
      </w:tr>
      <w:tr w:rsidR="00BF0919" w:rsidRPr="0064723F" w14:paraId="33154C65" w14:textId="77777777" w:rsidTr="00A8541E">
        <w:trPr>
          <w:cantSplit/>
          <w:trHeight w:val="20"/>
          <w:jc w:val="center"/>
        </w:trPr>
        <w:tc>
          <w:tcPr>
            <w:tcW w:w="1057" w:type="dxa"/>
            <w:vMerge/>
            <w:vAlign w:val="center"/>
          </w:tcPr>
          <w:p w14:paraId="756F6840"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DFF484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5857EE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63127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CC8BDF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C2D93D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B8E4FE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D9C9A8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BE1E53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4227E1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A4B0F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CAE779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C2FF30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8ABB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34D5E9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A32A2C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39C1AB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B9CE9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136AD0E"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999A8C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6ECF16E"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AF6AFB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4C0AC4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E9E146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180BF5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339D20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C3B842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249A0B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DA65594"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12E0034"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CCACB6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AE9A8F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1034226"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50D9DC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66A72F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CC97D3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8D5A13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0695922C" w14:textId="77777777" w:rsidR="00BF0919" w:rsidRPr="00962D42" w:rsidRDefault="00BF0919" w:rsidP="0064280E">
            <w:pPr>
              <w:jc w:val="center"/>
              <w:rPr>
                <w:rFonts w:ascii="Times New Roman" w:hAnsi="Times New Roman" w:cs="Times New Roman"/>
                <w:sz w:val="18"/>
                <w:szCs w:val="18"/>
              </w:rPr>
            </w:pPr>
          </w:p>
        </w:tc>
      </w:tr>
      <w:tr w:rsidR="00BF0919" w:rsidRPr="0064723F" w14:paraId="520093E5" w14:textId="77777777" w:rsidTr="00A8541E">
        <w:trPr>
          <w:cantSplit/>
          <w:trHeight w:val="20"/>
          <w:jc w:val="center"/>
        </w:trPr>
        <w:tc>
          <w:tcPr>
            <w:tcW w:w="1057" w:type="dxa"/>
            <w:vMerge/>
            <w:vAlign w:val="center"/>
          </w:tcPr>
          <w:p w14:paraId="53209130"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236EB7C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98C2E5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1DBC26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6BD1B9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FD76E1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6A6DE64"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AAE761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1F579C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14D48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E2E00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6B8D5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F3516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864BE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1BEB2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9196DD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97CB2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D59DFF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BF24BDE"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955599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A5ADCCF"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AD5BAB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4686C7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5172D8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53BB6A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EDB914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861B58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77EAAC2"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169815C"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79478B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5E7091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B53F186"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E65706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497022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03981A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92EEE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4890FA9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CEAAD20" w14:textId="77777777" w:rsidR="00BF0919" w:rsidRPr="00962D42" w:rsidRDefault="00BF0919" w:rsidP="0064280E">
            <w:pPr>
              <w:jc w:val="center"/>
              <w:rPr>
                <w:rFonts w:ascii="Times New Roman" w:hAnsi="Times New Roman" w:cs="Times New Roman"/>
                <w:sz w:val="18"/>
                <w:szCs w:val="18"/>
              </w:rPr>
            </w:pPr>
          </w:p>
        </w:tc>
      </w:tr>
      <w:tr w:rsidR="00BF0919" w:rsidRPr="0064723F" w14:paraId="078298D7" w14:textId="77777777" w:rsidTr="00A8541E">
        <w:trPr>
          <w:cantSplit/>
          <w:trHeight w:val="20"/>
          <w:jc w:val="center"/>
        </w:trPr>
        <w:tc>
          <w:tcPr>
            <w:tcW w:w="1057" w:type="dxa"/>
            <w:vMerge/>
            <w:vAlign w:val="center"/>
          </w:tcPr>
          <w:p w14:paraId="7B3687FD"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60BDFE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099AFC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2FA5AA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974E3A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44E6AD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F658688"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4E6F3B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B21557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8D81B0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591DE3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806DBC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2ABF3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4F7150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EE51C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2C548B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8472F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3C6F8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A8FBEE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79A64A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913326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0808E6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EE4C79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9CA879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9C140A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5D9ACA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AC1F4E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DDD71D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3657E8E"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7B4D69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5F984F5E"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129A90E"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66476B1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CE4CFB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10252D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130B9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53720DB"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EF426D5" w14:textId="77777777" w:rsidR="00BF0919" w:rsidRPr="00962D42" w:rsidRDefault="00BF0919" w:rsidP="0064280E">
            <w:pPr>
              <w:jc w:val="center"/>
              <w:rPr>
                <w:rFonts w:ascii="Times New Roman" w:hAnsi="Times New Roman" w:cs="Times New Roman"/>
                <w:sz w:val="18"/>
                <w:szCs w:val="18"/>
              </w:rPr>
            </w:pPr>
          </w:p>
        </w:tc>
      </w:tr>
      <w:tr w:rsidR="00BF0919" w:rsidRPr="0064723F" w14:paraId="2BAF53DE" w14:textId="77777777" w:rsidTr="00A8541E">
        <w:trPr>
          <w:cantSplit/>
          <w:trHeight w:val="20"/>
          <w:jc w:val="center"/>
        </w:trPr>
        <w:tc>
          <w:tcPr>
            <w:tcW w:w="1057" w:type="dxa"/>
            <w:vAlign w:val="center"/>
            <w:hideMark/>
          </w:tcPr>
          <w:p w14:paraId="382E3351"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Turner and Collins (2013)</w:t>
            </w:r>
          </w:p>
        </w:tc>
        <w:tc>
          <w:tcPr>
            <w:tcW w:w="244" w:type="dxa"/>
            <w:vAlign w:val="center"/>
            <w:hideMark/>
          </w:tcPr>
          <w:p w14:paraId="5F7381A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D415AE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F4920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3360F9FB"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A62F41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13BE5E3"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61EEF7C6"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27A45D9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67A8457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D7D187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320058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E80579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CAD365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C0B7DF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FEBD04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34A14CE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B109E2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78FFC49"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29CE464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6969D4E6"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1C19589E"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3696FC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4EF2F37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973474A"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682D606"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4596C7C"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05A3B5C1"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74806562"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7CBE4A3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2B33579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6BB3E3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6F25763E"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74%FA+7,4%NaOH+18.6%SS&gt;&gt;9%</w:t>
            </w:r>
          </w:p>
        </w:tc>
        <w:tc>
          <w:tcPr>
            <w:tcW w:w="201" w:type="dxa"/>
            <w:vAlign w:val="center"/>
          </w:tcPr>
          <w:p w14:paraId="0B36094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330DEFA3"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8AEFEB5"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C6E2BF7"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19995DC7" w14:textId="77777777" w:rsidR="00BF0919" w:rsidRPr="00962D42" w:rsidRDefault="00BF0919" w:rsidP="0064280E">
            <w:pPr>
              <w:jc w:val="center"/>
              <w:rPr>
                <w:rFonts w:ascii="Times New Roman" w:hAnsi="Times New Roman" w:cs="Times New Roman"/>
                <w:sz w:val="18"/>
                <w:szCs w:val="18"/>
              </w:rPr>
            </w:pPr>
          </w:p>
        </w:tc>
      </w:tr>
      <w:tr w:rsidR="00BF0919" w:rsidRPr="0064723F" w14:paraId="6E49935F" w14:textId="77777777" w:rsidTr="00A8541E">
        <w:trPr>
          <w:cantSplit/>
          <w:trHeight w:val="20"/>
          <w:jc w:val="center"/>
        </w:trPr>
        <w:tc>
          <w:tcPr>
            <w:tcW w:w="1057" w:type="dxa"/>
            <w:vMerge w:val="restart"/>
            <w:vAlign w:val="center"/>
            <w:hideMark/>
          </w:tcPr>
          <w:p w14:paraId="00312473"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Salas et al. (2018)</w:t>
            </w:r>
          </w:p>
        </w:tc>
        <w:tc>
          <w:tcPr>
            <w:tcW w:w="244" w:type="dxa"/>
            <w:vMerge w:val="restart"/>
            <w:vAlign w:val="center"/>
            <w:hideMark/>
          </w:tcPr>
          <w:p w14:paraId="784FF71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2EC7FB3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8FE240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8B83A3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E9D3EF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186844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008D176C"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FC8413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007B5AB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753DB1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70925E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4FFC96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3DE324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E3B6BF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8A93A9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7F38BF1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F07BD3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6F26ACE"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3CF81E6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5B42147"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A6D66E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2126C8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67DAA6D3"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A3ECB7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60F58E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75D2B896"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0003972"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13A89412"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45453F3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C9728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1DFA8D1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002D710"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70.4%Natural zeolite+4.9%NaOH+24.7%SS&gt;&gt;72.2%</w:t>
            </w:r>
            <w:r w:rsidRPr="00A21754">
              <w:rPr>
                <w:rFonts w:ascii="Times New Roman" w:hAnsi="Times New Roman" w:cs="Times New Roman"/>
                <w:sz w:val="16"/>
                <w:szCs w:val="16"/>
              </w:rPr>
              <w:br/>
              <w:t xml:space="preserve">64.7%Natural </w:t>
            </w:r>
            <w:r w:rsidRPr="00E974BC">
              <w:rPr>
                <w:rFonts w:ascii="Times New Roman" w:hAnsi="Times New Roman" w:cs="Times New Roman"/>
                <w:sz w:val="16"/>
                <w:szCs w:val="16"/>
              </w:rPr>
              <w:t>zeolite+4.5%NaOH+30.8%SS&gt;&gt;68.5%</w:t>
            </w:r>
            <w:r w:rsidRPr="00E974BC">
              <w:rPr>
                <w:rFonts w:ascii="Times New Roman" w:hAnsi="Times New Roman" w:cs="Times New Roman"/>
                <w:sz w:val="16"/>
                <w:szCs w:val="16"/>
              </w:rPr>
              <w:br/>
              <w:t>60.6%Natural zeolite+4.7%NaOH+34.7%SS&gt;&gt;63.6%</w:t>
            </w:r>
          </w:p>
        </w:tc>
        <w:tc>
          <w:tcPr>
            <w:tcW w:w="201" w:type="dxa"/>
            <w:vAlign w:val="center"/>
          </w:tcPr>
          <w:p w14:paraId="78014D6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502C13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5BBCE6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0EAE4D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4E5A039E" w14:textId="77777777" w:rsidR="00BF0919" w:rsidRPr="00962D42" w:rsidRDefault="00BF0919" w:rsidP="0064280E">
            <w:pPr>
              <w:jc w:val="center"/>
              <w:rPr>
                <w:rFonts w:ascii="Times New Roman" w:hAnsi="Times New Roman" w:cs="Times New Roman"/>
                <w:sz w:val="18"/>
                <w:szCs w:val="18"/>
              </w:rPr>
            </w:pPr>
          </w:p>
        </w:tc>
      </w:tr>
      <w:tr w:rsidR="00BF0919" w:rsidRPr="0064723F" w14:paraId="30345A86" w14:textId="77777777" w:rsidTr="00A8541E">
        <w:trPr>
          <w:cantSplit/>
          <w:trHeight w:val="20"/>
          <w:jc w:val="center"/>
        </w:trPr>
        <w:tc>
          <w:tcPr>
            <w:tcW w:w="1057" w:type="dxa"/>
            <w:vMerge/>
            <w:vAlign w:val="center"/>
          </w:tcPr>
          <w:p w14:paraId="17A79A0D"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3CDA5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365966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47CFC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CFBB1E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EE4E13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DA16702"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3F971A5"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389B071"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442AF4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D4BE50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9F1A0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9B69DD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DD2216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57BC7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DE5F17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96DC3C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2FC062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84D8D1"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187E8AD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9A049F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541907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F50375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367E61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3F2BFE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2B88F3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D5B988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DF6978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82104BD"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5BFC4EA"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8F22152"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3BF5183D"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4AFA0A5"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20B2B48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2C4900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9D67FD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4F2208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17D70DAD" w14:textId="77777777" w:rsidR="00BF0919" w:rsidRPr="00962D42" w:rsidRDefault="00BF0919" w:rsidP="0064280E">
            <w:pPr>
              <w:jc w:val="center"/>
              <w:rPr>
                <w:rFonts w:ascii="Times New Roman" w:hAnsi="Times New Roman" w:cs="Times New Roman"/>
                <w:sz w:val="18"/>
                <w:szCs w:val="18"/>
              </w:rPr>
            </w:pPr>
          </w:p>
        </w:tc>
      </w:tr>
      <w:tr w:rsidR="00BF0919" w:rsidRPr="0064723F" w14:paraId="74AA3CD6" w14:textId="77777777" w:rsidTr="00A8541E">
        <w:trPr>
          <w:cantSplit/>
          <w:trHeight w:val="20"/>
          <w:jc w:val="center"/>
        </w:trPr>
        <w:tc>
          <w:tcPr>
            <w:tcW w:w="1057" w:type="dxa"/>
            <w:vMerge/>
            <w:vAlign w:val="center"/>
          </w:tcPr>
          <w:p w14:paraId="638194C1"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D34944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529D57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0EF165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F39C95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6EE33D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B46ECF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AFE566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A4501C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46346F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FA6CA6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B076C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8C8F56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07B2CB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0700A9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539BC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38BDA8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74A415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6B9B139"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CD0B2E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D6BD734"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D2BC1D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2B7B6F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CF3BAA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D4BD7E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1A7A1B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6F31A8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74CB5D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4E88697"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780435E"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1EA5584C"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8392BB5"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44E9F43"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740A56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615647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DBCD89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0CEEAA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1D0C1C66" w14:textId="77777777" w:rsidR="00BF0919" w:rsidRPr="00962D42" w:rsidRDefault="00BF0919" w:rsidP="0064280E">
            <w:pPr>
              <w:jc w:val="center"/>
              <w:rPr>
                <w:rFonts w:ascii="Times New Roman" w:hAnsi="Times New Roman" w:cs="Times New Roman"/>
                <w:sz w:val="18"/>
                <w:szCs w:val="18"/>
              </w:rPr>
            </w:pPr>
          </w:p>
        </w:tc>
      </w:tr>
      <w:tr w:rsidR="00BF0919" w:rsidRPr="0064723F" w14:paraId="6ECDFA02" w14:textId="77777777" w:rsidTr="00A8541E">
        <w:trPr>
          <w:cantSplit/>
          <w:trHeight w:val="20"/>
          <w:jc w:val="center"/>
        </w:trPr>
        <w:tc>
          <w:tcPr>
            <w:tcW w:w="1057" w:type="dxa"/>
            <w:vAlign w:val="center"/>
            <w:hideMark/>
          </w:tcPr>
          <w:p w14:paraId="41ECC388"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Habert (2010)</w:t>
            </w:r>
          </w:p>
        </w:tc>
        <w:tc>
          <w:tcPr>
            <w:tcW w:w="244" w:type="dxa"/>
            <w:vAlign w:val="center"/>
            <w:hideMark/>
          </w:tcPr>
          <w:p w14:paraId="33161C4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7247FB3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E7DD0B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BBBCA13"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E44287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7D08CAF"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36B1E560"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1B9588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1E855BC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D1DBD7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8FBAEC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A6D6CB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2F1D4D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27F4D2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8C0374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4115624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C69170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6A69AA8"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1087CA6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446D24DE"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2A2C22C1"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A3E123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A4E9CFB"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4E91588"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CEC0622"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5B4066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1666F5F7"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06F6B61D"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41B51E8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5C61BA8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2C3E76F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736676A2" w14:textId="77777777" w:rsidR="00BF0919" w:rsidRPr="00A21754"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78.2%FA+2.1%NaOH+19.7%SS&gt;&gt;60%</w:t>
            </w:r>
          </w:p>
        </w:tc>
        <w:tc>
          <w:tcPr>
            <w:tcW w:w="201" w:type="dxa"/>
            <w:vAlign w:val="center"/>
          </w:tcPr>
          <w:p w14:paraId="3CE218B1"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8DA113F"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0D47AA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22720733"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0B8B01BA" w14:textId="77777777" w:rsidR="00BF0919" w:rsidRPr="00962D42" w:rsidRDefault="00BF0919" w:rsidP="0064280E">
            <w:pPr>
              <w:jc w:val="center"/>
              <w:rPr>
                <w:rFonts w:ascii="Times New Roman" w:hAnsi="Times New Roman" w:cs="Times New Roman"/>
                <w:sz w:val="18"/>
                <w:szCs w:val="18"/>
              </w:rPr>
            </w:pPr>
          </w:p>
        </w:tc>
      </w:tr>
      <w:tr w:rsidR="00BF0919" w:rsidRPr="0064723F" w14:paraId="3AC0F5A6" w14:textId="77777777" w:rsidTr="00A8541E">
        <w:trPr>
          <w:cantSplit/>
          <w:trHeight w:val="20"/>
          <w:jc w:val="center"/>
        </w:trPr>
        <w:tc>
          <w:tcPr>
            <w:tcW w:w="1057" w:type="dxa"/>
            <w:vAlign w:val="center"/>
            <w:hideMark/>
          </w:tcPr>
          <w:p w14:paraId="6EFD1CD4"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Gomes et al. (2019)</w:t>
            </w:r>
          </w:p>
        </w:tc>
        <w:tc>
          <w:tcPr>
            <w:tcW w:w="244" w:type="dxa"/>
            <w:vAlign w:val="center"/>
            <w:hideMark/>
          </w:tcPr>
          <w:p w14:paraId="7F47E5D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0448D6C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9634A6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12A5CA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1309F9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1669375"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1733CD2B"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3952AB8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338A7F9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34E2DE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944EE6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47A072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871766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3D8246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5F9A5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255161D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E23A82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8F7F18E"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5AFAD6A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6409F7D2"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6D7518B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043089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66AE55E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4922B48B"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3751DB9"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4F022B42"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1424FC8"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07FB661B"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5288C0F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6360D06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1427CA2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5581E4C5" w14:textId="77777777" w:rsidR="00BF0919" w:rsidRPr="00E974BC" w:rsidRDefault="00BF0919" w:rsidP="0064280E">
            <w:pPr>
              <w:jc w:val="center"/>
              <w:rPr>
                <w:rFonts w:ascii="Times New Roman" w:hAnsi="Times New Roman" w:cs="Times New Roman"/>
                <w:sz w:val="16"/>
                <w:szCs w:val="16"/>
              </w:rPr>
            </w:pPr>
            <w:proofErr w:type="spellStart"/>
            <w:r w:rsidRPr="00A21754">
              <w:rPr>
                <w:rFonts w:ascii="Times New Roman" w:hAnsi="Times New Roman" w:cs="Times New Roman"/>
                <w:sz w:val="16"/>
                <w:szCs w:val="16"/>
              </w:rPr>
              <w:t>69%MK+31</w:t>
            </w:r>
            <w:proofErr w:type="spellEnd"/>
            <w:r w:rsidRPr="00A21754">
              <w:rPr>
                <w:rFonts w:ascii="Times New Roman" w:hAnsi="Times New Roman" w:cs="Times New Roman"/>
                <w:sz w:val="16"/>
                <w:szCs w:val="16"/>
              </w:rPr>
              <w:t>%(</w:t>
            </w:r>
            <w:proofErr w:type="spellStart"/>
            <w:r w:rsidRPr="00A21754">
              <w:rPr>
                <w:rFonts w:ascii="Times New Roman" w:hAnsi="Times New Roman" w:cs="Times New Roman"/>
                <w:sz w:val="16"/>
                <w:szCs w:val="16"/>
              </w:rPr>
              <w:t>NaOH+SS</w:t>
            </w:r>
            <w:proofErr w:type="spellEnd"/>
            <w:r w:rsidRPr="00A21754">
              <w:rPr>
                <w:rFonts w:ascii="Times New Roman" w:hAnsi="Times New Roman" w:cs="Times New Roman"/>
                <w:sz w:val="16"/>
                <w:szCs w:val="16"/>
              </w:rPr>
              <w:t>)&gt;&gt;43%</w:t>
            </w:r>
          </w:p>
        </w:tc>
        <w:tc>
          <w:tcPr>
            <w:tcW w:w="201" w:type="dxa"/>
            <w:vAlign w:val="center"/>
          </w:tcPr>
          <w:p w14:paraId="73324DC7"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BDEC0E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B9C4B3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15FD83D3"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39B6F425" w14:textId="77777777" w:rsidR="00BF0919" w:rsidRPr="00962D42" w:rsidRDefault="00BF0919" w:rsidP="0064280E">
            <w:pPr>
              <w:jc w:val="center"/>
              <w:rPr>
                <w:rFonts w:ascii="Times New Roman" w:hAnsi="Times New Roman" w:cs="Times New Roman"/>
                <w:sz w:val="18"/>
                <w:szCs w:val="18"/>
              </w:rPr>
            </w:pPr>
          </w:p>
        </w:tc>
      </w:tr>
      <w:tr w:rsidR="00BF0919" w:rsidRPr="0064723F" w14:paraId="5EEFB12E" w14:textId="77777777" w:rsidTr="00A8541E">
        <w:trPr>
          <w:cantSplit/>
          <w:trHeight w:val="20"/>
          <w:jc w:val="center"/>
        </w:trPr>
        <w:tc>
          <w:tcPr>
            <w:tcW w:w="1057" w:type="dxa"/>
            <w:vMerge w:val="restart"/>
            <w:vAlign w:val="center"/>
            <w:hideMark/>
          </w:tcPr>
          <w:p w14:paraId="179CC2B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Robayo-Salazar et al. (2017)</w:t>
            </w:r>
          </w:p>
        </w:tc>
        <w:tc>
          <w:tcPr>
            <w:tcW w:w="244" w:type="dxa"/>
            <w:vMerge w:val="restart"/>
            <w:vAlign w:val="center"/>
            <w:hideMark/>
          </w:tcPr>
          <w:p w14:paraId="73E69F0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17094E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70C6FF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32FB2F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7F27B7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C7738C3"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54C9419E"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47E72DC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0AD3196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F8291E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F23628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B88475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6267E9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DD375E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45EA2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D8D710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634FF0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A290E01"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740B215D"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6A0BE74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5B5017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C06D8B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DB41F0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216F47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5AE019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1F7F5E0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tcPr>
          <w:p w14:paraId="74466B5C"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C91933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07C8B8D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3A68A5A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BA756A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DB30DFE"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192CA94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166169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47DF2A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ED3C3C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D0B20A1" w14:textId="77777777" w:rsidR="00BF0919" w:rsidRPr="00962D42" w:rsidRDefault="00BF0919" w:rsidP="0064280E">
            <w:pPr>
              <w:jc w:val="center"/>
              <w:rPr>
                <w:rFonts w:ascii="Times New Roman" w:hAnsi="Times New Roman" w:cs="Times New Roman"/>
                <w:sz w:val="18"/>
                <w:szCs w:val="18"/>
              </w:rPr>
            </w:pPr>
          </w:p>
        </w:tc>
      </w:tr>
      <w:tr w:rsidR="00BF0919" w:rsidRPr="0064723F" w14:paraId="593076BA" w14:textId="77777777" w:rsidTr="00A8541E">
        <w:trPr>
          <w:cantSplit/>
          <w:trHeight w:val="20"/>
          <w:jc w:val="center"/>
        </w:trPr>
        <w:tc>
          <w:tcPr>
            <w:tcW w:w="1057" w:type="dxa"/>
            <w:vMerge/>
            <w:vAlign w:val="center"/>
          </w:tcPr>
          <w:p w14:paraId="2C6D12BF"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F74E57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2946D1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329B0E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1741B2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E43935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17781F1"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30C0A32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94046F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1EF613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71AC5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EED36E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D60500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2EBE08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E11AB2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6DEF62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95A55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F3A68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49942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0C4FAE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FDA30E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092141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F195C7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AFE391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5E0459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7D9F0A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EF2A8E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E46D5D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E86D28E"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5485A9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3C7435E"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E704D0E"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548FF1C"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C6F93B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F8386D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3D89D0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80CF4E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341D0AB4" w14:textId="77777777" w:rsidR="00BF0919" w:rsidRPr="00962D42" w:rsidRDefault="00BF0919" w:rsidP="0064280E">
            <w:pPr>
              <w:jc w:val="center"/>
              <w:rPr>
                <w:rFonts w:ascii="Times New Roman" w:hAnsi="Times New Roman" w:cs="Times New Roman"/>
                <w:sz w:val="18"/>
                <w:szCs w:val="18"/>
              </w:rPr>
            </w:pPr>
          </w:p>
        </w:tc>
      </w:tr>
      <w:tr w:rsidR="00BF0919" w:rsidRPr="0064723F" w14:paraId="5DB3F1D7" w14:textId="77777777" w:rsidTr="00A8541E">
        <w:trPr>
          <w:cantSplit/>
          <w:trHeight w:val="20"/>
          <w:jc w:val="center"/>
        </w:trPr>
        <w:tc>
          <w:tcPr>
            <w:tcW w:w="1057" w:type="dxa"/>
            <w:vAlign w:val="center"/>
            <w:hideMark/>
          </w:tcPr>
          <w:p w14:paraId="3347A785"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Yao et al. (2019)</w:t>
            </w:r>
          </w:p>
        </w:tc>
        <w:tc>
          <w:tcPr>
            <w:tcW w:w="244" w:type="dxa"/>
            <w:vAlign w:val="center"/>
            <w:hideMark/>
          </w:tcPr>
          <w:p w14:paraId="5EF26D0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154CE1D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17F943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6670AC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A146E1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CD082B6"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36333A7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65793F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48D5552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B30D03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AB0FBB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2B6641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A2BA04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6B175C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1010C6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304641A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250B8C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DCC4982"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612CDD1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11298AAE"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01B9DCDA"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25A4E0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6D70D45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C8EDE02"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FE7A275"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64503107"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375C12A"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0780707B"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6567DAD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5C43B19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2BFFCF62"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0FC3B5ED"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6226F7F9"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C03F21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0E6BF02B"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DE96CD9"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5F01A8C2" w14:textId="77777777" w:rsidR="00BF0919" w:rsidRPr="00962D42" w:rsidRDefault="00BF0919" w:rsidP="0064280E">
            <w:pPr>
              <w:jc w:val="center"/>
              <w:rPr>
                <w:rFonts w:ascii="Times New Roman" w:hAnsi="Times New Roman" w:cs="Times New Roman"/>
                <w:sz w:val="18"/>
                <w:szCs w:val="18"/>
              </w:rPr>
            </w:pPr>
          </w:p>
        </w:tc>
      </w:tr>
      <w:tr w:rsidR="00BF0919" w:rsidRPr="0064723F" w14:paraId="66F25DD3" w14:textId="77777777" w:rsidTr="00A8541E">
        <w:trPr>
          <w:cantSplit/>
          <w:trHeight w:val="20"/>
          <w:jc w:val="center"/>
        </w:trPr>
        <w:tc>
          <w:tcPr>
            <w:tcW w:w="1057" w:type="dxa"/>
            <w:vMerge w:val="restart"/>
            <w:vAlign w:val="center"/>
            <w:hideMark/>
          </w:tcPr>
          <w:p w14:paraId="5B51BD5D"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Yang et al. (2013)</w:t>
            </w:r>
          </w:p>
        </w:tc>
        <w:tc>
          <w:tcPr>
            <w:tcW w:w="244" w:type="dxa"/>
            <w:vMerge w:val="restart"/>
            <w:vAlign w:val="center"/>
            <w:hideMark/>
          </w:tcPr>
          <w:p w14:paraId="69DA871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F7CF27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76F98A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F40003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555AEE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322A03D"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426A2E55"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7E805B7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1D42470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2AC1DE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003130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0FD1E8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987E83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DE39BE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FDFFF2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F4C2AB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810C85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6E27B43"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099F82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474BDB00"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441D5907"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4ED4D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EB251C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9F72503"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953E45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26CC2CA"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117994A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00489946"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7C2CB44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5A0DA55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588D122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6FF808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80%OPC+5%FA+15%GGBS&gt;&gt;21.4%</w:t>
            </w:r>
            <w:r w:rsidRPr="00A21754">
              <w:rPr>
                <w:rFonts w:ascii="Times New Roman" w:hAnsi="Times New Roman" w:cs="Times New Roman"/>
                <w:sz w:val="16"/>
                <w:szCs w:val="16"/>
              </w:rPr>
              <w:br/>
              <w:t>91%GGBS+9%(</w:t>
            </w:r>
            <w:proofErr w:type="gramStart"/>
            <w:r w:rsidRPr="00A21754">
              <w:rPr>
                <w:rFonts w:ascii="Times New Roman" w:hAnsi="Times New Roman" w:cs="Times New Roman"/>
                <w:sz w:val="16"/>
                <w:szCs w:val="16"/>
              </w:rPr>
              <w:t>Ca(</w:t>
            </w:r>
            <w:proofErr w:type="gramEnd"/>
            <w:r w:rsidRPr="00A21754">
              <w:rPr>
                <w:rFonts w:ascii="Times New Roman" w:hAnsi="Times New Roman" w:cs="Times New Roman"/>
                <w:sz w:val="16"/>
                <w:szCs w:val="16"/>
              </w:rPr>
              <w:t>OH)2+SS)&gt;&gt;76%</w:t>
            </w:r>
            <w:r w:rsidRPr="00A21754">
              <w:rPr>
                <w:rFonts w:ascii="Times New Roman" w:hAnsi="Times New Roman" w:cs="Times New Roman"/>
                <w:sz w:val="16"/>
                <w:szCs w:val="16"/>
              </w:rPr>
              <w:br/>
              <w:t>87.3%FA+12.7%NAOH&gt;&gt;50.4%</w:t>
            </w:r>
            <w:r w:rsidRPr="00A21754">
              <w:rPr>
                <w:rFonts w:ascii="Times New Roman" w:hAnsi="Times New Roman" w:cs="Times New Roman"/>
                <w:sz w:val="16"/>
                <w:szCs w:val="16"/>
              </w:rPr>
              <w:br/>
            </w:r>
            <w:r w:rsidRPr="00A21754">
              <w:rPr>
                <w:rFonts w:ascii="Times New Roman" w:hAnsi="Times New Roman" w:cs="Times New Roman"/>
                <w:sz w:val="16"/>
                <w:szCs w:val="16"/>
              </w:rPr>
              <w:lastRenderedPageBreak/>
              <w:t>86.9%+13.1%NaOH&gt;&gt;42.1%</w:t>
            </w:r>
          </w:p>
        </w:tc>
        <w:tc>
          <w:tcPr>
            <w:tcW w:w="201" w:type="dxa"/>
            <w:vAlign w:val="center"/>
          </w:tcPr>
          <w:p w14:paraId="02F25A4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67E98E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1BCD5D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463CC75"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3A75EF3" w14:textId="77777777" w:rsidR="00BF0919" w:rsidRPr="00962D42" w:rsidRDefault="00BF0919" w:rsidP="0064280E">
            <w:pPr>
              <w:jc w:val="center"/>
              <w:rPr>
                <w:rFonts w:ascii="Times New Roman" w:hAnsi="Times New Roman" w:cs="Times New Roman"/>
                <w:sz w:val="18"/>
                <w:szCs w:val="18"/>
              </w:rPr>
            </w:pPr>
          </w:p>
        </w:tc>
      </w:tr>
      <w:tr w:rsidR="00BF0919" w:rsidRPr="0064723F" w14:paraId="7EADAE2A" w14:textId="77777777" w:rsidTr="00A8541E">
        <w:trPr>
          <w:cantSplit/>
          <w:trHeight w:val="20"/>
          <w:jc w:val="center"/>
        </w:trPr>
        <w:tc>
          <w:tcPr>
            <w:tcW w:w="1057" w:type="dxa"/>
            <w:vMerge/>
            <w:vAlign w:val="center"/>
          </w:tcPr>
          <w:p w14:paraId="7B0667C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FC82E5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A75D0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8A7EA8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CDDC80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34EFC0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82833FF"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95F9D1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41A8B4C"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95E937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C4C003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AB027F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2FA62E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AB23EB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31DE9A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D994AF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DEA2E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1C4D6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D298A5"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636FA8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63638B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92A308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2955F1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76D2B2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21E3DE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D3AC97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350041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FB9DE1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889FC3D"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09E688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81C0D7A"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173E01C0"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0D5E2F7"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870EAC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EEAE3D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432FD3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3288EC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55FA4ECB" w14:textId="77777777" w:rsidR="00BF0919" w:rsidRPr="00962D42" w:rsidRDefault="00BF0919" w:rsidP="0064280E">
            <w:pPr>
              <w:jc w:val="center"/>
              <w:rPr>
                <w:rFonts w:ascii="Times New Roman" w:hAnsi="Times New Roman" w:cs="Times New Roman"/>
                <w:sz w:val="18"/>
                <w:szCs w:val="18"/>
              </w:rPr>
            </w:pPr>
          </w:p>
        </w:tc>
      </w:tr>
      <w:tr w:rsidR="00BF0919" w:rsidRPr="0064723F" w14:paraId="7090A314" w14:textId="77777777" w:rsidTr="00A8541E">
        <w:trPr>
          <w:cantSplit/>
          <w:trHeight w:val="20"/>
          <w:jc w:val="center"/>
        </w:trPr>
        <w:tc>
          <w:tcPr>
            <w:tcW w:w="1057" w:type="dxa"/>
            <w:vMerge/>
            <w:vAlign w:val="center"/>
          </w:tcPr>
          <w:p w14:paraId="67FF7B17"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4F2208A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7B3E78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BC7257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1F4981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F7AEEF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A2D4573"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5CE4BE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643CCA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20F827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80D71A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6CE5D7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E3E4B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2C8FA9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3427E1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8EB651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92DB9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1FEB8F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40BEE9E"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8CE177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566F19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194E308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7A77CC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F6A0BA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24DABB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8C20943"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6EA318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179AD0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3EFC1DC"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FECC00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88ED13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49FCDF5B"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05117EA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B338E6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3EBBE5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5F117A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D24F632"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E05D386" w14:textId="77777777" w:rsidR="00BF0919" w:rsidRPr="00962D42" w:rsidRDefault="00BF0919" w:rsidP="0064280E">
            <w:pPr>
              <w:jc w:val="center"/>
              <w:rPr>
                <w:rFonts w:ascii="Times New Roman" w:hAnsi="Times New Roman" w:cs="Times New Roman"/>
                <w:sz w:val="18"/>
                <w:szCs w:val="18"/>
              </w:rPr>
            </w:pPr>
          </w:p>
        </w:tc>
      </w:tr>
      <w:tr w:rsidR="00BF0919" w:rsidRPr="0064723F" w14:paraId="5BE331FC" w14:textId="77777777" w:rsidTr="00A8541E">
        <w:trPr>
          <w:cantSplit/>
          <w:trHeight w:val="20"/>
          <w:jc w:val="center"/>
        </w:trPr>
        <w:tc>
          <w:tcPr>
            <w:tcW w:w="1057" w:type="dxa"/>
            <w:vMerge/>
            <w:vAlign w:val="center"/>
          </w:tcPr>
          <w:p w14:paraId="77CD2994"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4C1019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B66A3D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A872D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84A154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D1FB5C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48CD9A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A87818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B814DB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A905E3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F7B6F4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D689D9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173209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B6468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3BC84A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3AE6B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8B2F79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4D048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58A580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75F0923"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3EE575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9994CF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92B827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537FE8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02CFE01"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919283B"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5293E4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A47A9D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A4AD0AD"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23347290"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2E1BBF9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9914C41"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627625B"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3FF529EE"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B56666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CA265A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7D23F19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6F83A58" w14:textId="77777777" w:rsidR="00BF0919" w:rsidRPr="00962D42" w:rsidRDefault="00BF0919" w:rsidP="0064280E">
            <w:pPr>
              <w:jc w:val="center"/>
              <w:rPr>
                <w:rFonts w:ascii="Times New Roman" w:hAnsi="Times New Roman" w:cs="Times New Roman"/>
                <w:sz w:val="18"/>
                <w:szCs w:val="18"/>
              </w:rPr>
            </w:pPr>
          </w:p>
        </w:tc>
      </w:tr>
      <w:tr w:rsidR="00BF0919" w:rsidRPr="0064723F" w14:paraId="00A66C09" w14:textId="77777777" w:rsidTr="00A8541E">
        <w:trPr>
          <w:cantSplit/>
          <w:trHeight w:val="20"/>
          <w:jc w:val="center"/>
        </w:trPr>
        <w:tc>
          <w:tcPr>
            <w:tcW w:w="1057" w:type="dxa"/>
            <w:vMerge w:val="restart"/>
            <w:vAlign w:val="center"/>
            <w:hideMark/>
          </w:tcPr>
          <w:p w14:paraId="36017F9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Abbas et al. (2020)</w:t>
            </w:r>
          </w:p>
        </w:tc>
        <w:tc>
          <w:tcPr>
            <w:tcW w:w="244" w:type="dxa"/>
            <w:vMerge w:val="restart"/>
            <w:vAlign w:val="center"/>
            <w:hideMark/>
          </w:tcPr>
          <w:p w14:paraId="7288A50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F303AA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84750E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2F8140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224FD20"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00F9163"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304957DC"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08BC650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E7D33D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43A4E3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BD86E8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14E7E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210EE2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E8DC76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026B35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7BA3DF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EE7D2C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E8E9A13"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FB9AD0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4130F07D"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0D86D5B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8C25D7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2388AC12"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D3E027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EF12D2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55D10A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E556D7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Merge w:val="restart"/>
            <w:vAlign w:val="center"/>
            <w:hideMark/>
          </w:tcPr>
          <w:p w14:paraId="6E55B6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69504D3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48AE5D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64494F4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6B74614A" w14:textId="77777777" w:rsidR="00BF0919" w:rsidRPr="00E974BC" w:rsidRDefault="00BF0919" w:rsidP="0064280E">
            <w:pPr>
              <w:jc w:val="center"/>
              <w:rPr>
                <w:rFonts w:ascii="Times New Roman" w:hAnsi="Times New Roman" w:cs="Times New Roman"/>
                <w:sz w:val="16"/>
                <w:szCs w:val="16"/>
              </w:rPr>
            </w:pPr>
            <w:proofErr w:type="spellStart"/>
            <w:r w:rsidRPr="00A21754">
              <w:rPr>
                <w:rFonts w:ascii="Times New Roman" w:hAnsi="Times New Roman" w:cs="Times New Roman"/>
                <w:sz w:val="16"/>
                <w:szCs w:val="16"/>
              </w:rPr>
              <w:t>70.1%MK+29.9</w:t>
            </w:r>
            <w:proofErr w:type="spellEnd"/>
            <w:r w:rsidRPr="00A21754">
              <w:rPr>
                <w:rFonts w:ascii="Times New Roman" w:hAnsi="Times New Roman" w:cs="Times New Roman"/>
                <w:sz w:val="16"/>
                <w:szCs w:val="16"/>
              </w:rPr>
              <w:t>%(</w:t>
            </w:r>
            <w:proofErr w:type="spellStart"/>
            <w:r w:rsidRPr="00A21754">
              <w:rPr>
                <w:rFonts w:ascii="Times New Roman" w:hAnsi="Times New Roman" w:cs="Times New Roman"/>
                <w:sz w:val="16"/>
                <w:szCs w:val="16"/>
              </w:rPr>
              <w:t>NaOH+SS</w:t>
            </w:r>
            <w:proofErr w:type="spellEnd"/>
            <w:r w:rsidRPr="00A21754">
              <w:rPr>
                <w:rFonts w:ascii="Times New Roman" w:hAnsi="Times New Roman" w:cs="Times New Roman"/>
                <w:sz w:val="16"/>
                <w:szCs w:val="16"/>
              </w:rPr>
              <w:t>)&gt;&gt;58.2%</w:t>
            </w:r>
            <w:r w:rsidRPr="00A21754">
              <w:rPr>
                <w:rFonts w:ascii="Times New Roman" w:hAnsi="Times New Roman" w:cs="Times New Roman"/>
                <w:sz w:val="16"/>
                <w:szCs w:val="16"/>
              </w:rPr>
              <w:br/>
            </w:r>
            <w:proofErr w:type="spellStart"/>
            <w:r w:rsidRPr="00A21754">
              <w:rPr>
                <w:rFonts w:ascii="Times New Roman" w:hAnsi="Times New Roman" w:cs="Times New Roman"/>
                <w:sz w:val="16"/>
                <w:szCs w:val="16"/>
              </w:rPr>
              <w:t>65.9%MK+34.1</w:t>
            </w:r>
            <w:proofErr w:type="spellEnd"/>
            <w:r w:rsidRPr="00A21754">
              <w:rPr>
                <w:rFonts w:ascii="Times New Roman" w:hAnsi="Times New Roman" w:cs="Times New Roman"/>
                <w:sz w:val="16"/>
                <w:szCs w:val="16"/>
              </w:rPr>
              <w:t>%(</w:t>
            </w:r>
            <w:proofErr w:type="spellStart"/>
            <w:r w:rsidRPr="00A21754">
              <w:rPr>
                <w:rFonts w:ascii="Times New Roman" w:hAnsi="Times New Roman" w:cs="Times New Roman"/>
                <w:sz w:val="16"/>
                <w:szCs w:val="16"/>
              </w:rPr>
              <w:t>NaOH+SS</w:t>
            </w:r>
            <w:proofErr w:type="spellEnd"/>
            <w:r w:rsidRPr="00A21754">
              <w:rPr>
                <w:rFonts w:ascii="Times New Roman" w:hAnsi="Times New Roman" w:cs="Times New Roman"/>
                <w:sz w:val="16"/>
                <w:szCs w:val="16"/>
              </w:rPr>
              <w:t>)&gt;&gt;60.9%</w:t>
            </w:r>
          </w:p>
        </w:tc>
        <w:tc>
          <w:tcPr>
            <w:tcW w:w="201" w:type="dxa"/>
            <w:vAlign w:val="center"/>
          </w:tcPr>
          <w:p w14:paraId="6AC53AAF"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B692D82"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7D03974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DCFBB2B"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54C069B" w14:textId="77777777" w:rsidR="00BF0919" w:rsidRPr="00962D42" w:rsidRDefault="00BF0919" w:rsidP="0064280E">
            <w:pPr>
              <w:jc w:val="center"/>
              <w:rPr>
                <w:rFonts w:ascii="Times New Roman" w:hAnsi="Times New Roman" w:cs="Times New Roman"/>
                <w:sz w:val="18"/>
                <w:szCs w:val="18"/>
              </w:rPr>
            </w:pPr>
          </w:p>
        </w:tc>
      </w:tr>
      <w:tr w:rsidR="00BF0919" w:rsidRPr="0064723F" w14:paraId="6AEC5B42" w14:textId="77777777" w:rsidTr="00A8541E">
        <w:trPr>
          <w:cantSplit/>
          <w:trHeight w:val="20"/>
          <w:jc w:val="center"/>
        </w:trPr>
        <w:tc>
          <w:tcPr>
            <w:tcW w:w="1057" w:type="dxa"/>
            <w:vMerge/>
            <w:vAlign w:val="center"/>
          </w:tcPr>
          <w:p w14:paraId="0B8B5556"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B55835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A9C36F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5F5BDA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F79AFA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A54301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AC5085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73DED23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63380B1"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0DCD1C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67AF9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C7B22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E09957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0B7211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7E223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DF25E6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61BB25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F966EA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20DB55"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C8B28B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1A5D057"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1368DF8"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4F1404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63CC8A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4EB749B"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7E53D6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071126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CDCA50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7B4F29C"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3CC336B"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7BDD8DAC"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7D90FEC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E8B563D"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2782753"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689415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A9D7F0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72006A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tcPr>
          <w:p w14:paraId="62AB9126" w14:textId="77777777" w:rsidR="00BF0919" w:rsidRPr="00962D42" w:rsidRDefault="00BF0919" w:rsidP="0064280E">
            <w:pPr>
              <w:jc w:val="center"/>
              <w:rPr>
                <w:rFonts w:ascii="Times New Roman" w:hAnsi="Times New Roman" w:cs="Times New Roman"/>
                <w:sz w:val="18"/>
                <w:szCs w:val="18"/>
              </w:rPr>
            </w:pPr>
          </w:p>
        </w:tc>
      </w:tr>
      <w:tr w:rsidR="00BF0919" w:rsidRPr="0064723F" w14:paraId="7137BF31" w14:textId="77777777" w:rsidTr="00A8541E">
        <w:trPr>
          <w:cantSplit/>
          <w:trHeight w:val="20"/>
          <w:jc w:val="center"/>
        </w:trPr>
        <w:tc>
          <w:tcPr>
            <w:tcW w:w="1057" w:type="dxa"/>
            <w:vAlign w:val="center"/>
            <w:hideMark/>
          </w:tcPr>
          <w:p w14:paraId="0875E7DE"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Batuecas et al. (2021)</w:t>
            </w:r>
          </w:p>
        </w:tc>
        <w:tc>
          <w:tcPr>
            <w:tcW w:w="244" w:type="dxa"/>
            <w:vAlign w:val="center"/>
            <w:hideMark/>
          </w:tcPr>
          <w:p w14:paraId="2E4CF0E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58C2FC8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B5D9CE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158508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41667B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A95D06A"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206952CB"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0399F8E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44EDC65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0DF32C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DABCC1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2C1796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35C3A1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42D68F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D217A3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785A74A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13B3C3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881A6FB"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40EFA9F9"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4558978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72BA5A0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21DAB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7749DE7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7E84A4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57677E8"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3CE2F19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tcPr>
          <w:p w14:paraId="695C41A4"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134F2B7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Align w:val="center"/>
            <w:hideMark/>
          </w:tcPr>
          <w:p w14:paraId="5F43238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2DB623A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3F83311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26FFDEC8"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83.5%GGBS+4.1%NaOH+12.4%SS&gt;&gt;79%</w:t>
            </w:r>
          </w:p>
        </w:tc>
        <w:tc>
          <w:tcPr>
            <w:tcW w:w="201" w:type="dxa"/>
            <w:vAlign w:val="center"/>
          </w:tcPr>
          <w:p w14:paraId="41126FC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B5800CF"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A23F045"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FC576A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hideMark/>
          </w:tcPr>
          <w:p w14:paraId="65651086" w14:textId="77777777" w:rsidR="00BF0919" w:rsidRPr="00962D42" w:rsidRDefault="00BF0919" w:rsidP="0064280E">
            <w:pPr>
              <w:jc w:val="center"/>
              <w:rPr>
                <w:rFonts w:ascii="Times New Roman" w:hAnsi="Times New Roman" w:cs="Times New Roman"/>
                <w:sz w:val="18"/>
                <w:szCs w:val="18"/>
              </w:rPr>
            </w:pPr>
          </w:p>
        </w:tc>
      </w:tr>
      <w:tr w:rsidR="00BF0919" w:rsidRPr="0064723F" w14:paraId="62265651" w14:textId="77777777" w:rsidTr="00A8541E">
        <w:trPr>
          <w:cantSplit/>
          <w:trHeight w:val="20"/>
          <w:jc w:val="center"/>
        </w:trPr>
        <w:tc>
          <w:tcPr>
            <w:tcW w:w="1057" w:type="dxa"/>
            <w:vMerge w:val="restart"/>
            <w:vAlign w:val="center"/>
            <w:hideMark/>
          </w:tcPr>
          <w:p w14:paraId="02AEA4D4"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Rintala et al. (2021)</w:t>
            </w:r>
          </w:p>
        </w:tc>
        <w:tc>
          <w:tcPr>
            <w:tcW w:w="244" w:type="dxa"/>
            <w:vMerge w:val="restart"/>
            <w:vAlign w:val="center"/>
            <w:hideMark/>
          </w:tcPr>
          <w:p w14:paraId="00F60D6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A6C8DE4"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18C6F7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39DEB6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C5C6B7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094868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4" w:type="dxa"/>
            <w:vMerge w:val="restart"/>
            <w:vAlign w:val="center"/>
            <w:hideMark/>
          </w:tcPr>
          <w:p w14:paraId="6CF9ED5D"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4B1400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5961F26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D9D1CD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F68C35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119D86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78F1F4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8AF2A4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2F4BC1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1E03B8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257C7D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994B63"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FEDB9C1"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0DFC021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7E8482E"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525C5C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5225969"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1CCE85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CFAFBB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3989E8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2107BB6D"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40AE188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71EF6A9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8D8757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731E93EB" w14:textId="77777777" w:rsidR="00BF0919" w:rsidRPr="00962D42" w:rsidRDefault="00BF0919" w:rsidP="0064280E">
            <w:pPr>
              <w:jc w:val="center"/>
              <w:rPr>
                <w:rFonts w:ascii="Times New Roman" w:hAnsi="Times New Roman" w:cs="Times New Roman"/>
                <w:sz w:val="18"/>
                <w:szCs w:val="18"/>
              </w:rPr>
            </w:pPr>
          </w:p>
        </w:tc>
        <w:tc>
          <w:tcPr>
            <w:tcW w:w="4031" w:type="dxa"/>
            <w:vMerge w:val="restart"/>
            <w:vAlign w:val="center"/>
            <w:hideMark/>
          </w:tcPr>
          <w:p w14:paraId="771D81B9"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28.6%Activator+71.4%(FA+GGBS)&gt;&gt;52%</w:t>
            </w:r>
            <w:r w:rsidRPr="00A21754">
              <w:rPr>
                <w:rFonts w:ascii="Times New Roman" w:hAnsi="Times New Roman" w:cs="Times New Roman"/>
                <w:sz w:val="16"/>
                <w:szCs w:val="16"/>
              </w:rPr>
              <w:br/>
            </w:r>
            <w:r w:rsidRPr="00E974BC">
              <w:rPr>
                <w:rFonts w:ascii="Times New Roman" w:hAnsi="Times New Roman" w:cs="Times New Roman"/>
                <w:sz w:val="16"/>
                <w:szCs w:val="16"/>
              </w:rPr>
              <w:t>53.6%Activator+14.3%(FA+</w:t>
            </w:r>
            <w:proofErr w:type="gramStart"/>
            <w:r w:rsidRPr="00E974BC">
              <w:rPr>
                <w:rFonts w:ascii="Times New Roman" w:hAnsi="Times New Roman" w:cs="Times New Roman"/>
                <w:sz w:val="16"/>
                <w:szCs w:val="16"/>
              </w:rPr>
              <w:t>GGBS)+</w:t>
            </w:r>
            <w:proofErr w:type="gramEnd"/>
            <w:r w:rsidRPr="00E974BC">
              <w:rPr>
                <w:rFonts w:ascii="Times New Roman" w:hAnsi="Times New Roman" w:cs="Times New Roman"/>
                <w:sz w:val="16"/>
                <w:szCs w:val="16"/>
              </w:rPr>
              <w:t>32.1%MK&gt;&gt;11%</w:t>
            </w:r>
          </w:p>
        </w:tc>
        <w:tc>
          <w:tcPr>
            <w:tcW w:w="201" w:type="dxa"/>
            <w:vAlign w:val="center"/>
          </w:tcPr>
          <w:p w14:paraId="4206910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0F6153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B98420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B2B0EF2"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DE9170F" w14:textId="77777777" w:rsidR="00BF0919" w:rsidRPr="00962D42" w:rsidRDefault="00BF0919" w:rsidP="0064280E">
            <w:pPr>
              <w:jc w:val="center"/>
              <w:rPr>
                <w:rFonts w:ascii="Times New Roman" w:hAnsi="Times New Roman" w:cs="Times New Roman"/>
                <w:sz w:val="18"/>
                <w:szCs w:val="18"/>
              </w:rPr>
            </w:pPr>
          </w:p>
        </w:tc>
      </w:tr>
      <w:tr w:rsidR="00BF0919" w:rsidRPr="0064723F" w14:paraId="4C56E894" w14:textId="77777777" w:rsidTr="00A8541E">
        <w:trPr>
          <w:cantSplit/>
          <w:trHeight w:val="20"/>
          <w:jc w:val="center"/>
        </w:trPr>
        <w:tc>
          <w:tcPr>
            <w:tcW w:w="1057" w:type="dxa"/>
            <w:vMerge/>
            <w:vAlign w:val="center"/>
          </w:tcPr>
          <w:p w14:paraId="73CA4048"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311108B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588000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756162"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B25D4D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56295F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220137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397F4A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17909F02"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230C40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3DD122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30DC18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1C51DD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216D93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197BC1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5189A0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BD9AAD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7B47E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824E4C"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6E028A3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27DE45B"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2AE58B0"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58D4BD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8A3C3F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DA17F1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794B30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EA5C79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08E621A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FA6CA6D"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3CB0BCF8"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34E5C38"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034C049"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2C1989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2807E48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1D6B25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48455E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3E11FEA"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E924466" w14:textId="77777777" w:rsidR="00BF0919" w:rsidRPr="00962D42" w:rsidRDefault="00BF0919" w:rsidP="0064280E">
            <w:pPr>
              <w:jc w:val="center"/>
              <w:rPr>
                <w:rFonts w:ascii="Times New Roman" w:hAnsi="Times New Roman" w:cs="Times New Roman"/>
                <w:sz w:val="18"/>
                <w:szCs w:val="18"/>
              </w:rPr>
            </w:pPr>
          </w:p>
        </w:tc>
      </w:tr>
      <w:tr w:rsidR="00BF0919" w:rsidRPr="0064723F" w14:paraId="0227D67F" w14:textId="77777777" w:rsidTr="00A8541E">
        <w:trPr>
          <w:cantSplit/>
          <w:trHeight w:val="20"/>
          <w:jc w:val="center"/>
        </w:trPr>
        <w:tc>
          <w:tcPr>
            <w:tcW w:w="1057" w:type="dxa"/>
            <w:vAlign w:val="center"/>
            <w:hideMark/>
          </w:tcPr>
          <w:p w14:paraId="3D25426B" w14:textId="77777777" w:rsidR="00BF0919" w:rsidRPr="00E974B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6"/>
                <w:szCs w:val="16"/>
              </w:rPr>
              <w:t>Weil et al. (2009)</w:t>
            </w:r>
          </w:p>
        </w:tc>
        <w:tc>
          <w:tcPr>
            <w:tcW w:w="244" w:type="dxa"/>
            <w:vAlign w:val="center"/>
            <w:hideMark/>
          </w:tcPr>
          <w:p w14:paraId="5971D5B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F21AFD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A62BDF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91D984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0F687BF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668A333"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6749A7A7"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0FB1A07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2C66A7B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93BE15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9403DE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094112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B62C22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6BF733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9B2EB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7FEE54C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537918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FD731F9"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2DA50B6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2FB24DB3"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665B8E1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167D051"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6AF8ED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780798A8"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6785AF8"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6246B256"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4D3469B4"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6EC7FDC6"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095F778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2E799E1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0AB35BC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1DD3F52D"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66.8%GGBS+15.7%FA+9.6%SS+6.9%NaOH&gt;&gt;70%</w:t>
            </w:r>
          </w:p>
        </w:tc>
        <w:tc>
          <w:tcPr>
            <w:tcW w:w="201" w:type="dxa"/>
            <w:vAlign w:val="center"/>
          </w:tcPr>
          <w:p w14:paraId="67716EB3"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5B0C171"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8F9BB8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F9D169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167" w:type="dxa"/>
            <w:vAlign w:val="center"/>
            <w:hideMark/>
          </w:tcPr>
          <w:p w14:paraId="5877ACAA" w14:textId="77777777" w:rsidR="00BF0919" w:rsidRPr="00962D42" w:rsidRDefault="00BF0919" w:rsidP="0064280E">
            <w:pPr>
              <w:jc w:val="center"/>
              <w:rPr>
                <w:rFonts w:ascii="Times New Roman" w:hAnsi="Times New Roman" w:cs="Times New Roman"/>
                <w:sz w:val="18"/>
                <w:szCs w:val="18"/>
              </w:rPr>
            </w:pPr>
          </w:p>
        </w:tc>
      </w:tr>
      <w:tr w:rsidR="00BF0919" w:rsidRPr="0064723F" w14:paraId="2C5C09D5" w14:textId="77777777" w:rsidTr="00A8541E">
        <w:trPr>
          <w:cantSplit/>
          <w:trHeight w:val="20"/>
          <w:jc w:val="center"/>
        </w:trPr>
        <w:tc>
          <w:tcPr>
            <w:tcW w:w="1057" w:type="dxa"/>
            <w:vAlign w:val="center"/>
            <w:hideMark/>
          </w:tcPr>
          <w:p w14:paraId="4D5C665B"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Islam et al. (2015)</w:t>
            </w:r>
          </w:p>
        </w:tc>
        <w:tc>
          <w:tcPr>
            <w:tcW w:w="244" w:type="dxa"/>
            <w:vAlign w:val="center"/>
            <w:hideMark/>
          </w:tcPr>
          <w:p w14:paraId="6CCF8EF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1ABBB3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43B37E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EDD696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F2224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7BDB9141"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316064E6"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5A0B8FD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08990A9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238D9A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A03242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58FAEE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434FA7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F7912A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2CC5FD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35857B2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CD3061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69CDE7F"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6B106E93" w14:textId="77777777" w:rsidR="00BF0919" w:rsidRPr="00962D42" w:rsidRDefault="00BF0919" w:rsidP="0064280E">
            <w:pPr>
              <w:jc w:val="center"/>
              <w:rPr>
                <w:rFonts w:ascii="Times New Roman" w:hAnsi="Times New Roman" w:cs="Times New Roman"/>
                <w:sz w:val="18"/>
                <w:szCs w:val="18"/>
              </w:rPr>
            </w:pPr>
          </w:p>
        </w:tc>
        <w:tc>
          <w:tcPr>
            <w:tcW w:w="246" w:type="dxa"/>
            <w:vAlign w:val="center"/>
          </w:tcPr>
          <w:p w14:paraId="706EDF5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tcPr>
          <w:p w14:paraId="687AA94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4BDDEB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4314FF7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799904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94022DE"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C869842"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428BEE53"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0D42B189"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52A17DE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1867FC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684AF46D"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1E8FE0DA"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51.5%GGBS+34.4%FA+3.5%NaOH+10.6%&gt;&gt;56%</w:t>
            </w:r>
          </w:p>
        </w:tc>
        <w:tc>
          <w:tcPr>
            <w:tcW w:w="201" w:type="dxa"/>
            <w:vAlign w:val="center"/>
          </w:tcPr>
          <w:p w14:paraId="10B1CA37"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FA74A3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1FD7F1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3A489430"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0D69BBF3" w14:textId="77777777" w:rsidR="00BF0919" w:rsidRPr="00962D42" w:rsidRDefault="00BF0919" w:rsidP="0064280E">
            <w:pPr>
              <w:jc w:val="center"/>
              <w:rPr>
                <w:rFonts w:ascii="Times New Roman" w:hAnsi="Times New Roman" w:cs="Times New Roman"/>
                <w:sz w:val="18"/>
                <w:szCs w:val="18"/>
              </w:rPr>
            </w:pPr>
          </w:p>
        </w:tc>
      </w:tr>
      <w:tr w:rsidR="00BF0919" w:rsidRPr="0064723F" w14:paraId="51E5BC3A" w14:textId="77777777" w:rsidTr="00A8541E">
        <w:trPr>
          <w:cantSplit/>
          <w:trHeight w:val="20"/>
          <w:jc w:val="center"/>
        </w:trPr>
        <w:tc>
          <w:tcPr>
            <w:tcW w:w="1057" w:type="dxa"/>
            <w:vAlign w:val="center"/>
            <w:hideMark/>
          </w:tcPr>
          <w:p w14:paraId="61F1FED4"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Hanein et al. (2018)</w:t>
            </w:r>
          </w:p>
        </w:tc>
        <w:tc>
          <w:tcPr>
            <w:tcW w:w="244" w:type="dxa"/>
            <w:vAlign w:val="center"/>
            <w:hideMark/>
          </w:tcPr>
          <w:p w14:paraId="1BC9EBA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2C630B7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EBB8FD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C8B4E5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748D12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F8C501C"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04EA09B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21841052"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272D4E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A5EAE2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D4D1C1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23C529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F3A0ED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158956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E68E3A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8F1E63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319AB8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AD5B123"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42F9387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6DF76F1A"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486E397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79FA8B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5317E1B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63C4CDA"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25D39AF"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D7ADD65"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D8C37F8"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674BFB7C"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68FBAE7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1A60228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751A84F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156AE5D9"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410076A5"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9D4765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76CD2F70"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8A1C63C"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313ED107" w14:textId="77777777" w:rsidR="00BF0919" w:rsidRPr="00962D42" w:rsidRDefault="00BF0919" w:rsidP="0064280E">
            <w:pPr>
              <w:jc w:val="center"/>
              <w:rPr>
                <w:rFonts w:ascii="Times New Roman" w:hAnsi="Times New Roman" w:cs="Times New Roman"/>
                <w:sz w:val="18"/>
                <w:szCs w:val="18"/>
              </w:rPr>
            </w:pPr>
          </w:p>
        </w:tc>
      </w:tr>
      <w:tr w:rsidR="00BF0919" w:rsidRPr="0064723F" w14:paraId="0DD55795" w14:textId="77777777" w:rsidTr="00A8541E">
        <w:trPr>
          <w:cantSplit/>
          <w:trHeight w:val="20"/>
          <w:jc w:val="center"/>
        </w:trPr>
        <w:tc>
          <w:tcPr>
            <w:tcW w:w="1057" w:type="dxa"/>
            <w:vAlign w:val="center"/>
            <w:hideMark/>
          </w:tcPr>
          <w:p w14:paraId="7572F03B"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Hanein et al. (2016)</w:t>
            </w:r>
          </w:p>
        </w:tc>
        <w:tc>
          <w:tcPr>
            <w:tcW w:w="244" w:type="dxa"/>
            <w:vAlign w:val="center"/>
            <w:hideMark/>
          </w:tcPr>
          <w:p w14:paraId="55770E9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3781DD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21E5AB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189DCA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0E25D1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471A0935"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4CE005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4940ECA0"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5AC2952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5E01F7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2247B4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C99A19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CD8048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6337D0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04F328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9515FF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31DB968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02A3598"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7E56FAC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69DFC071"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47E69D92"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537C0C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76EC85B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AD2801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888DEA1"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5D18C19"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2F86B1A"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3F31C459"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734666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6ED9B9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31AEEC13"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1EA356C4"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7B446A1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AA6690B"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D18948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2305D39C"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3193CABC" w14:textId="77777777" w:rsidR="00BF0919" w:rsidRPr="00962D42" w:rsidRDefault="00BF0919" w:rsidP="0064280E">
            <w:pPr>
              <w:jc w:val="center"/>
              <w:rPr>
                <w:rFonts w:ascii="Times New Roman" w:hAnsi="Times New Roman" w:cs="Times New Roman"/>
                <w:sz w:val="18"/>
                <w:szCs w:val="18"/>
              </w:rPr>
            </w:pPr>
          </w:p>
        </w:tc>
      </w:tr>
      <w:tr w:rsidR="00BF0919" w:rsidRPr="0064723F" w14:paraId="7F662235" w14:textId="77777777" w:rsidTr="00A8541E">
        <w:trPr>
          <w:cantSplit/>
          <w:trHeight w:val="20"/>
          <w:jc w:val="center"/>
        </w:trPr>
        <w:tc>
          <w:tcPr>
            <w:tcW w:w="1057" w:type="dxa"/>
            <w:vAlign w:val="center"/>
            <w:hideMark/>
          </w:tcPr>
          <w:p w14:paraId="4C8D94F8"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hint="eastAsia"/>
                <w:noProof/>
                <w:sz w:val="16"/>
                <w:szCs w:val="16"/>
              </w:rPr>
              <w:t>Galvez</w:t>
            </w:r>
            <w:r>
              <w:rPr>
                <w:rFonts w:ascii="Times New Roman" w:hAnsi="Times New Roman" w:cs="Times New Roman" w:hint="eastAsia"/>
                <w:noProof/>
                <w:sz w:val="16"/>
                <w:szCs w:val="16"/>
              </w:rPr>
              <w:t>‐</w:t>
            </w:r>
            <w:r>
              <w:rPr>
                <w:rFonts w:ascii="Times New Roman" w:hAnsi="Times New Roman" w:cs="Times New Roman" w:hint="eastAsia"/>
                <w:noProof/>
                <w:sz w:val="16"/>
                <w:szCs w:val="16"/>
              </w:rPr>
              <w:t>Martos et al. (2020)</w:t>
            </w:r>
          </w:p>
        </w:tc>
        <w:tc>
          <w:tcPr>
            <w:tcW w:w="244" w:type="dxa"/>
            <w:vAlign w:val="center"/>
            <w:hideMark/>
          </w:tcPr>
          <w:p w14:paraId="6E98BD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74AB5F7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D7A7BC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EEC2F0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5D50B5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921D73D"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124AFA9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617BDB2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7943E4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D25864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39D27E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F0FFDF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38FBA8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BF3FB9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A090B8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80B40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52BF433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E82636F"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3B2D539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54EDBA60"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3F13D6E2"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727660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D830BA4"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762636C"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48D2610"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5FA0901"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1438595C"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50C8EAC6"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46E38B4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22637C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5D9F08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391283F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165DF3E0"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D619AF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1483A1BF"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18E0DAF4"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053C8FD2" w14:textId="77777777" w:rsidR="00BF0919" w:rsidRPr="00962D42" w:rsidRDefault="00BF0919" w:rsidP="0064280E">
            <w:pPr>
              <w:jc w:val="center"/>
              <w:rPr>
                <w:rFonts w:ascii="Times New Roman" w:hAnsi="Times New Roman" w:cs="Times New Roman"/>
                <w:sz w:val="18"/>
                <w:szCs w:val="18"/>
              </w:rPr>
            </w:pPr>
          </w:p>
        </w:tc>
      </w:tr>
      <w:tr w:rsidR="00BF0919" w:rsidRPr="0064723F" w14:paraId="37E092EF" w14:textId="77777777" w:rsidTr="00A8541E">
        <w:trPr>
          <w:cantSplit/>
          <w:trHeight w:val="20"/>
          <w:jc w:val="center"/>
        </w:trPr>
        <w:tc>
          <w:tcPr>
            <w:tcW w:w="1057" w:type="dxa"/>
            <w:vAlign w:val="center"/>
            <w:hideMark/>
          </w:tcPr>
          <w:p w14:paraId="0C3B50EE"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Galvez-Martos et al. (2021)</w:t>
            </w:r>
          </w:p>
        </w:tc>
        <w:tc>
          <w:tcPr>
            <w:tcW w:w="244" w:type="dxa"/>
            <w:vAlign w:val="center"/>
            <w:hideMark/>
          </w:tcPr>
          <w:p w14:paraId="5A9C6FB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3E775EC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47AFBB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D16662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F59D07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3A04206"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0611A84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6E70E223"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7BA043B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E5285A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EDDCD67"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E1DC6A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75BC80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715343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38212D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01A175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63FEAFB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CA8A98C"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2D7D29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359D3669"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6B3D2DB0"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50EA71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E2CAB11"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2AB8E3B"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A7C4C38"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D84D191"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B687D9E"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52A7FD59"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11AF2F3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08B298A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4696684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132B3513"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7B9FE61A"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04B693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2810EAF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C126969"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5962A1A8" w14:textId="77777777" w:rsidR="00BF0919" w:rsidRPr="00962D42" w:rsidRDefault="00BF0919" w:rsidP="0064280E">
            <w:pPr>
              <w:jc w:val="center"/>
              <w:rPr>
                <w:rFonts w:ascii="Times New Roman" w:hAnsi="Times New Roman" w:cs="Times New Roman"/>
                <w:sz w:val="18"/>
                <w:szCs w:val="18"/>
              </w:rPr>
            </w:pPr>
          </w:p>
        </w:tc>
      </w:tr>
      <w:tr w:rsidR="00BF0919" w:rsidRPr="0064723F" w14:paraId="4A535B24" w14:textId="77777777" w:rsidTr="00A8541E">
        <w:trPr>
          <w:cantSplit/>
          <w:trHeight w:val="20"/>
          <w:jc w:val="center"/>
        </w:trPr>
        <w:tc>
          <w:tcPr>
            <w:tcW w:w="1057" w:type="dxa"/>
            <w:vAlign w:val="center"/>
            <w:hideMark/>
          </w:tcPr>
          <w:p w14:paraId="3D7199B1" w14:textId="77777777" w:rsidR="00BF0919" w:rsidRPr="00E974B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5"/>
                <w:szCs w:val="15"/>
              </w:rPr>
              <w:t>Nie et al. (2022)</w:t>
            </w:r>
          </w:p>
        </w:tc>
        <w:tc>
          <w:tcPr>
            <w:tcW w:w="244" w:type="dxa"/>
            <w:vAlign w:val="center"/>
            <w:hideMark/>
          </w:tcPr>
          <w:p w14:paraId="4A21DDF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104DFFB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B57C9E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1EA56A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60AF81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DDB953E"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7BF9490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2573AC1F"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19EF09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981783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6EDFD9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32696B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A70FD4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BB0ED2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D87982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5E53B4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1620F41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9408DD1"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0C8D49A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234EF3B1"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26E7A25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F4BEA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E5DE32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2DF9254"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5FD6779"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5776753"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0C390E0"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1999C448"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3B0BCF0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4F1132D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61D7C435"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2D8F1340"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64E24A9A"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854D34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93B3D9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00B7878E"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1BD80C0F" w14:textId="77777777" w:rsidR="00BF0919" w:rsidRPr="00962D42" w:rsidRDefault="00BF0919" w:rsidP="0064280E">
            <w:pPr>
              <w:jc w:val="center"/>
              <w:rPr>
                <w:rFonts w:ascii="Times New Roman" w:hAnsi="Times New Roman" w:cs="Times New Roman"/>
                <w:sz w:val="18"/>
                <w:szCs w:val="18"/>
              </w:rPr>
            </w:pPr>
          </w:p>
        </w:tc>
      </w:tr>
      <w:tr w:rsidR="00BF0919" w:rsidRPr="0064723F" w14:paraId="6DCB8F3D" w14:textId="77777777" w:rsidTr="00A8541E">
        <w:trPr>
          <w:cantSplit/>
          <w:trHeight w:val="20"/>
          <w:jc w:val="center"/>
        </w:trPr>
        <w:tc>
          <w:tcPr>
            <w:tcW w:w="1057" w:type="dxa"/>
            <w:vMerge w:val="restart"/>
            <w:vAlign w:val="center"/>
            <w:hideMark/>
          </w:tcPr>
          <w:p w14:paraId="7ADC4230"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Mostert et al. (2021)</w:t>
            </w:r>
          </w:p>
        </w:tc>
        <w:tc>
          <w:tcPr>
            <w:tcW w:w="244" w:type="dxa"/>
            <w:vMerge w:val="restart"/>
            <w:vAlign w:val="center"/>
            <w:hideMark/>
          </w:tcPr>
          <w:p w14:paraId="6EE4265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419EED6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907867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0BED74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4559A4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30C8DAE"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23A4232B"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AE5E76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10EB893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6FC471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73F3E9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05080B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B66DB3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3F5056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DC34C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FE093C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591ED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2A54B1F8"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0E3C3117"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63409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055BC00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BE1621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07CFF0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64F5307"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3C311DF1" w14:textId="77777777" w:rsidR="00BF0919" w:rsidRPr="00962D42" w:rsidRDefault="00BF0919" w:rsidP="0064280E">
            <w:pPr>
              <w:jc w:val="center"/>
              <w:rPr>
                <w:rFonts w:ascii="Times New Roman" w:hAnsi="Times New Roman" w:cs="Times New Roman"/>
                <w:sz w:val="18"/>
                <w:szCs w:val="18"/>
                <w:highlight w:val="yellow"/>
              </w:rPr>
            </w:pPr>
            <w:r w:rsidRPr="00962D42">
              <w:rPr>
                <w:rFonts w:ascii="Times New Roman" w:hAnsi="Times New Roman" w:cs="Times New Roman"/>
                <w:sz w:val="18"/>
                <w:szCs w:val="18"/>
              </w:rPr>
              <w:t>x</w:t>
            </w:r>
          </w:p>
        </w:tc>
        <w:tc>
          <w:tcPr>
            <w:tcW w:w="213" w:type="dxa"/>
            <w:vMerge w:val="restart"/>
            <w:vAlign w:val="center"/>
          </w:tcPr>
          <w:p w14:paraId="43568928"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9D89ED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6539499"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3F78854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D9DCA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796ED5A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2C06A41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15D199C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504A96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EE3ACE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F6D2DFA"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5A89A6A9" w14:textId="77777777" w:rsidR="00BF0919" w:rsidRPr="00962D42" w:rsidRDefault="00BF0919" w:rsidP="0064280E">
            <w:pPr>
              <w:jc w:val="center"/>
              <w:rPr>
                <w:rFonts w:ascii="Times New Roman" w:hAnsi="Times New Roman" w:cs="Times New Roman"/>
                <w:sz w:val="18"/>
                <w:szCs w:val="18"/>
              </w:rPr>
            </w:pPr>
          </w:p>
        </w:tc>
      </w:tr>
      <w:tr w:rsidR="00BF0919" w:rsidRPr="0064723F" w14:paraId="704E5F0F" w14:textId="77777777" w:rsidTr="00A8541E">
        <w:trPr>
          <w:cantSplit/>
          <w:trHeight w:val="20"/>
          <w:jc w:val="center"/>
        </w:trPr>
        <w:tc>
          <w:tcPr>
            <w:tcW w:w="1057" w:type="dxa"/>
            <w:vMerge/>
            <w:vAlign w:val="center"/>
          </w:tcPr>
          <w:p w14:paraId="3542FBF1"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5C80BD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67C09C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F90181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5F933C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44411B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2686AC6"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2AD5314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FD05AA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7331ED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F3344A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DE4C2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71C73E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97F30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553731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D72220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E8F372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430B1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20D2EE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ECBFFB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031E267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6B66DE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FA4475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C51931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084EC4A"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1669B44B"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703659D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020861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AC4C7D8"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5A3378D1"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03AED17B"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4A71035"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7825A7C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57A1838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6A3FF25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23FD53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5E32C8B"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0730A59E" w14:textId="77777777" w:rsidR="00BF0919" w:rsidRPr="00962D42" w:rsidRDefault="00BF0919" w:rsidP="0064280E">
            <w:pPr>
              <w:jc w:val="center"/>
              <w:rPr>
                <w:rFonts w:ascii="Times New Roman" w:hAnsi="Times New Roman" w:cs="Times New Roman"/>
                <w:sz w:val="18"/>
                <w:szCs w:val="18"/>
              </w:rPr>
            </w:pPr>
          </w:p>
        </w:tc>
      </w:tr>
      <w:tr w:rsidR="00BF0919" w:rsidRPr="0064723F" w14:paraId="6F299A77" w14:textId="77777777" w:rsidTr="00A8541E">
        <w:trPr>
          <w:cantSplit/>
          <w:trHeight w:val="20"/>
          <w:jc w:val="center"/>
        </w:trPr>
        <w:tc>
          <w:tcPr>
            <w:tcW w:w="1057" w:type="dxa"/>
            <w:vAlign w:val="center"/>
            <w:hideMark/>
          </w:tcPr>
          <w:p w14:paraId="09A1B94A"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Lahiba et al. (2021)</w:t>
            </w:r>
          </w:p>
        </w:tc>
        <w:tc>
          <w:tcPr>
            <w:tcW w:w="244" w:type="dxa"/>
            <w:vAlign w:val="center"/>
            <w:hideMark/>
          </w:tcPr>
          <w:p w14:paraId="1C4E02A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77C8B86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A572B4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D24E16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AE7B0E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57AD6F4"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74950F4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1578F3D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5C2E295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1F4999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FB5FFE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42792C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D3746F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CAA6E0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14C363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3C8F23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F00E2B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2006BCA2"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3D7F5C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59FE508D"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0C65270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F96664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67DD55A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12BCE8C" w14:textId="77777777" w:rsidR="00BF0919" w:rsidRPr="00962D42" w:rsidRDefault="00BF0919" w:rsidP="0064280E">
            <w:pPr>
              <w:jc w:val="center"/>
              <w:rPr>
                <w:rFonts w:ascii="Times New Roman" w:hAnsi="Times New Roman" w:cs="Times New Roman"/>
                <w:sz w:val="18"/>
                <w:szCs w:val="18"/>
                <w:highlight w:val="yellow"/>
              </w:rPr>
            </w:pPr>
          </w:p>
        </w:tc>
        <w:tc>
          <w:tcPr>
            <w:tcW w:w="223" w:type="dxa"/>
            <w:vAlign w:val="center"/>
            <w:hideMark/>
          </w:tcPr>
          <w:p w14:paraId="789F9364" w14:textId="77777777" w:rsidR="00BF0919" w:rsidRPr="00962D42" w:rsidRDefault="00BF0919" w:rsidP="0064280E">
            <w:pPr>
              <w:jc w:val="center"/>
              <w:rPr>
                <w:rFonts w:ascii="Times New Roman" w:hAnsi="Times New Roman" w:cs="Times New Roman"/>
                <w:sz w:val="18"/>
                <w:szCs w:val="18"/>
                <w:highlight w:val="yellow"/>
              </w:rPr>
            </w:pPr>
          </w:p>
        </w:tc>
        <w:tc>
          <w:tcPr>
            <w:tcW w:w="213" w:type="dxa"/>
            <w:vAlign w:val="center"/>
          </w:tcPr>
          <w:p w14:paraId="1CE66EEC"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4F3A167F"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027DD9E9"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311D75F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5243790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0186A2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25041336"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861B87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47EE74E6"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2077E93"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148F957D"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636685D8" w14:textId="77777777" w:rsidR="00BF0919" w:rsidRPr="00962D42" w:rsidRDefault="00BF0919" w:rsidP="0064280E">
            <w:pPr>
              <w:jc w:val="center"/>
              <w:rPr>
                <w:rFonts w:ascii="Times New Roman" w:hAnsi="Times New Roman" w:cs="Times New Roman"/>
                <w:sz w:val="18"/>
                <w:szCs w:val="18"/>
              </w:rPr>
            </w:pPr>
          </w:p>
        </w:tc>
      </w:tr>
      <w:tr w:rsidR="00BF0919" w:rsidRPr="0064723F" w14:paraId="5C13C7DD" w14:textId="77777777" w:rsidTr="00A8541E">
        <w:trPr>
          <w:cantSplit/>
          <w:trHeight w:val="20"/>
          <w:jc w:val="center"/>
        </w:trPr>
        <w:tc>
          <w:tcPr>
            <w:tcW w:w="1057" w:type="dxa"/>
            <w:vAlign w:val="center"/>
            <w:hideMark/>
          </w:tcPr>
          <w:p w14:paraId="2A17AFC2"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Marinkovic et al. (2010)</w:t>
            </w:r>
          </w:p>
        </w:tc>
        <w:tc>
          <w:tcPr>
            <w:tcW w:w="244" w:type="dxa"/>
            <w:vAlign w:val="center"/>
            <w:hideMark/>
          </w:tcPr>
          <w:p w14:paraId="69BE67F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8A6407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D03429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11E40E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30AD5BB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5A3C443"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76ACF6D5"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48647E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0E826DB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CB81A2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DCF98F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02B226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1D4978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3C5C70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571E94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E0E50E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642BC8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1946941B"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43AC9139"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4E4C012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54D475DA"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75BA19B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7F7A56E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365B843" w14:textId="77777777" w:rsidR="00BF0919" w:rsidRPr="00962D42" w:rsidRDefault="00BF0919" w:rsidP="0064280E">
            <w:pPr>
              <w:jc w:val="center"/>
              <w:rPr>
                <w:rFonts w:ascii="Times New Roman" w:hAnsi="Times New Roman" w:cs="Times New Roman"/>
                <w:sz w:val="18"/>
                <w:szCs w:val="18"/>
                <w:highlight w:val="yellow"/>
              </w:rPr>
            </w:pPr>
          </w:p>
        </w:tc>
        <w:tc>
          <w:tcPr>
            <w:tcW w:w="223" w:type="dxa"/>
            <w:vAlign w:val="center"/>
            <w:hideMark/>
          </w:tcPr>
          <w:p w14:paraId="405AA70D" w14:textId="77777777" w:rsidR="00BF0919" w:rsidRPr="00962D42" w:rsidRDefault="00BF0919" w:rsidP="0064280E">
            <w:pPr>
              <w:jc w:val="center"/>
              <w:rPr>
                <w:rFonts w:ascii="Times New Roman" w:hAnsi="Times New Roman" w:cs="Times New Roman"/>
                <w:sz w:val="18"/>
                <w:szCs w:val="18"/>
                <w:highlight w:val="yellow"/>
              </w:rPr>
            </w:pPr>
          </w:p>
        </w:tc>
        <w:tc>
          <w:tcPr>
            <w:tcW w:w="213" w:type="dxa"/>
            <w:vAlign w:val="center"/>
          </w:tcPr>
          <w:p w14:paraId="70C766D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CC19DD3"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1AD07F6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Align w:val="center"/>
            <w:hideMark/>
          </w:tcPr>
          <w:p w14:paraId="4BB4141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5672A9D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07EB6D6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6DD02A3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65F10D4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6B97095F"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1C4F84A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1A03642"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6A4E6208" w14:textId="77777777" w:rsidR="00BF0919" w:rsidRPr="00962D42" w:rsidRDefault="00BF0919" w:rsidP="0064280E">
            <w:pPr>
              <w:jc w:val="center"/>
              <w:rPr>
                <w:rFonts w:ascii="Times New Roman" w:hAnsi="Times New Roman" w:cs="Times New Roman"/>
                <w:sz w:val="18"/>
                <w:szCs w:val="18"/>
              </w:rPr>
            </w:pPr>
          </w:p>
        </w:tc>
      </w:tr>
      <w:tr w:rsidR="00BF0919" w:rsidRPr="0064723F" w14:paraId="20B2860A" w14:textId="77777777" w:rsidTr="00A8541E">
        <w:trPr>
          <w:cantSplit/>
          <w:trHeight w:val="20"/>
          <w:jc w:val="center"/>
        </w:trPr>
        <w:tc>
          <w:tcPr>
            <w:tcW w:w="1057" w:type="dxa"/>
            <w:vMerge w:val="restart"/>
            <w:vAlign w:val="center"/>
            <w:hideMark/>
          </w:tcPr>
          <w:p w14:paraId="7DE745E5" w14:textId="77777777" w:rsidR="00BF0919" w:rsidRPr="00E974B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6"/>
                <w:szCs w:val="16"/>
              </w:rPr>
              <w:lastRenderedPageBreak/>
              <w:t>Turk et al. (2015)</w:t>
            </w:r>
          </w:p>
        </w:tc>
        <w:tc>
          <w:tcPr>
            <w:tcW w:w="244" w:type="dxa"/>
            <w:vMerge w:val="restart"/>
            <w:vAlign w:val="center"/>
            <w:hideMark/>
          </w:tcPr>
          <w:p w14:paraId="2C714F8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12042F08"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58D029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DA9865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B94955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E333375"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5D49D02A"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73C3D21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A5FBFB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64A464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A766B6D"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C0434C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86A6E2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6105AD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C796B9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21E51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45D62C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5DA3C043"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E13C53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0781F15B"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1F14D4DA"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D3669C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2B8545D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2D64D9C"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626C2C17"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restart"/>
            <w:vAlign w:val="center"/>
          </w:tcPr>
          <w:p w14:paraId="6AE4671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752C28D"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1CFE913D"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D1687D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1466CD5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6DFD13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136A8360"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783EC38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1AE0011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E968A5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0456A1F"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5204E42D" w14:textId="77777777" w:rsidR="00BF0919" w:rsidRPr="00962D42" w:rsidRDefault="00BF0919" w:rsidP="0064280E">
            <w:pPr>
              <w:jc w:val="center"/>
              <w:rPr>
                <w:rFonts w:ascii="Times New Roman" w:hAnsi="Times New Roman" w:cs="Times New Roman"/>
                <w:sz w:val="18"/>
                <w:szCs w:val="18"/>
              </w:rPr>
            </w:pPr>
          </w:p>
        </w:tc>
      </w:tr>
      <w:tr w:rsidR="00BF0919" w:rsidRPr="0064723F" w14:paraId="024893C0" w14:textId="77777777" w:rsidTr="00A8541E">
        <w:trPr>
          <w:cantSplit/>
          <w:trHeight w:val="20"/>
          <w:jc w:val="center"/>
        </w:trPr>
        <w:tc>
          <w:tcPr>
            <w:tcW w:w="1057" w:type="dxa"/>
            <w:vMerge/>
            <w:vAlign w:val="center"/>
          </w:tcPr>
          <w:p w14:paraId="7BCCF27D"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007FA2D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96EEA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84DEFE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0FA676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15DFAD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D6CDFD2"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54D373B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F0A6FF8"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E76640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EE8E9D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60A46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E8F79C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13EAA6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C1BB0E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D5E109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CB0458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1692F5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B4A769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32B3A7F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313E92E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895A2C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F92420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18FBAD95"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A3EF8F6"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2CE1A1F3"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670EC40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C83888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D19752B"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4B0A917"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853D995"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3CEF748"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35F149F1"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04AE72A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3712AD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784459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86F0F32"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7A6BA5E" w14:textId="77777777" w:rsidR="00BF0919" w:rsidRPr="00962D42" w:rsidRDefault="00BF0919" w:rsidP="0064280E">
            <w:pPr>
              <w:jc w:val="center"/>
              <w:rPr>
                <w:rFonts w:ascii="Times New Roman" w:hAnsi="Times New Roman" w:cs="Times New Roman"/>
                <w:sz w:val="18"/>
                <w:szCs w:val="18"/>
              </w:rPr>
            </w:pPr>
          </w:p>
        </w:tc>
      </w:tr>
      <w:tr w:rsidR="00BF0919" w:rsidRPr="0064723F" w14:paraId="25AB9F3D" w14:textId="77777777" w:rsidTr="00A8541E">
        <w:trPr>
          <w:cantSplit/>
          <w:trHeight w:val="20"/>
          <w:jc w:val="center"/>
        </w:trPr>
        <w:tc>
          <w:tcPr>
            <w:tcW w:w="1057" w:type="dxa"/>
            <w:vMerge w:val="restart"/>
            <w:vAlign w:val="center"/>
            <w:hideMark/>
          </w:tcPr>
          <w:p w14:paraId="3558D9EF"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Serres et al. (2016)</w:t>
            </w:r>
          </w:p>
        </w:tc>
        <w:tc>
          <w:tcPr>
            <w:tcW w:w="244" w:type="dxa"/>
            <w:vMerge w:val="restart"/>
            <w:vAlign w:val="center"/>
            <w:hideMark/>
          </w:tcPr>
          <w:p w14:paraId="2CAD6D9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1452C49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64D13F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1605057D"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9B05CC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DE54737"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3FE9F6E7"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0DB1C14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7751887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DECB00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C2A710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33F3459"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AC7F82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4879E0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1C62C5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A9ED49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A4FD69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13E932BC"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744C06C6"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23ACC7C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3678DBDC"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597541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2982205F"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0209576"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7D128523"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restart"/>
            <w:vAlign w:val="center"/>
          </w:tcPr>
          <w:p w14:paraId="4A8A958A"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197A0B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0FDF85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5A2D8D6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20969A3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CA7C64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5B6DE9B4"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2AB97C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BEA6AA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B0AA62A"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295921E"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F136236" w14:textId="77777777" w:rsidR="00BF0919" w:rsidRPr="00962D42" w:rsidRDefault="00BF0919" w:rsidP="0064280E">
            <w:pPr>
              <w:jc w:val="center"/>
              <w:rPr>
                <w:rFonts w:ascii="Times New Roman" w:hAnsi="Times New Roman" w:cs="Times New Roman"/>
                <w:sz w:val="18"/>
                <w:szCs w:val="18"/>
              </w:rPr>
            </w:pPr>
          </w:p>
        </w:tc>
      </w:tr>
      <w:tr w:rsidR="00BF0919" w:rsidRPr="0064723F" w14:paraId="45CD1A40" w14:textId="77777777" w:rsidTr="00A8541E">
        <w:trPr>
          <w:cantSplit/>
          <w:trHeight w:val="20"/>
          <w:jc w:val="center"/>
        </w:trPr>
        <w:tc>
          <w:tcPr>
            <w:tcW w:w="1057" w:type="dxa"/>
            <w:vMerge/>
            <w:vAlign w:val="center"/>
          </w:tcPr>
          <w:p w14:paraId="4408B71C"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D657FB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9E27C4E"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0C7A5D5"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631D2F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078225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BCACCDC"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E21D88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37DA81D"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26A7230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4F66EE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D09345D"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52AA049"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53FBD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3F05EF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777DBA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31AEA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905ACC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C2616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11E8F3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C692E09"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A17EF2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33F7E5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5DFC11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3FEE971"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454E8857"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70D147D8"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27BE2C4C"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5B618C8"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5E17AD5"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63236D6"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2F6E9A84"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12A8D93"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18860F28"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A00215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20BB5B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647D0CD"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7C222AB3" w14:textId="77777777" w:rsidR="00BF0919" w:rsidRPr="00962D42" w:rsidRDefault="00BF0919" w:rsidP="0064280E">
            <w:pPr>
              <w:jc w:val="center"/>
              <w:rPr>
                <w:rFonts w:ascii="Times New Roman" w:hAnsi="Times New Roman" w:cs="Times New Roman"/>
                <w:sz w:val="18"/>
                <w:szCs w:val="18"/>
              </w:rPr>
            </w:pPr>
          </w:p>
        </w:tc>
      </w:tr>
      <w:tr w:rsidR="00BF0919" w:rsidRPr="0064723F" w14:paraId="277DD8B2" w14:textId="77777777" w:rsidTr="00A8541E">
        <w:trPr>
          <w:cantSplit/>
          <w:trHeight w:val="20"/>
          <w:jc w:val="center"/>
        </w:trPr>
        <w:tc>
          <w:tcPr>
            <w:tcW w:w="1057" w:type="dxa"/>
            <w:vMerge w:val="restart"/>
            <w:vAlign w:val="center"/>
            <w:hideMark/>
          </w:tcPr>
          <w:p w14:paraId="6874E19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Tošić et al. (2015)</w:t>
            </w:r>
          </w:p>
        </w:tc>
        <w:tc>
          <w:tcPr>
            <w:tcW w:w="244" w:type="dxa"/>
            <w:vMerge w:val="restart"/>
            <w:vAlign w:val="center"/>
            <w:hideMark/>
          </w:tcPr>
          <w:p w14:paraId="66FF3D9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68EB8F1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FDE5EF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0EF2219"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0FBDB2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913E268"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5AE17071"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15A395E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3FBA027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DFCDF9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919F686"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41350A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40974D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D5924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159DD5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F8D8F9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4C9D7F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E6FE557"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55BE320A"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7C92982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1EE3E6F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281F45D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52C78CA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C6C591B"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73A34A9B"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restart"/>
            <w:vAlign w:val="center"/>
          </w:tcPr>
          <w:p w14:paraId="5A72086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3BA41F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B82ABE6"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5F0995B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DC124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5903A9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4924C47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290FA1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ED82D4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64E21F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E78B48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7B36030" w14:textId="77777777" w:rsidR="00BF0919" w:rsidRPr="00962D42" w:rsidRDefault="00BF0919" w:rsidP="0064280E">
            <w:pPr>
              <w:jc w:val="center"/>
              <w:rPr>
                <w:rFonts w:ascii="Times New Roman" w:hAnsi="Times New Roman" w:cs="Times New Roman"/>
                <w:sz w:val="18"/>
                <w:szCs w:val="18"/>
              </w:rPr>
            </w:pPr>
          </w:p>
        </w:tc>
      </w:tr>
      <w:tr w:rsidR="00BF0919" w:rsidRPr="0064723F" w14:paraId="7DF4D55D" w14:textId="77777777" w:rsidTr="00A8541E">
        <w:trPr>
          <w:cantSplit/>
          <w:trHeight w:val="20"/>
          <w:jc w:val="center"/>
        </w:trPr>
        <w:tc>
          <w:tcPr>
            <w:tcW w:w="1057" w:type="dxa"/>
            <w:vMerge/>
            <w:vAlign w:val="center"/>
          </w:tcPr>
          <w:p w14:paraId="21EEF48A"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67281DB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90999B4"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05A512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3E818F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A118BD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E2FDE4D"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4D700637"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5DAB4871"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F06F67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928E2E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969FC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D7D3F0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8E8F62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C37BF2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1AD59F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260487E"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2C9F0B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824D913"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78A88F02"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75832926"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43CE8686"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50B95E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0883775F"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6873BEC"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7D12A05A"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4E9E91CF"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344C8871"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71B3382"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699407F9"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6F02BE23"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7452705"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2F6D0A6"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21AF1E0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61F2B4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4CC735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2710EE5"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6553591" w14:textId="77777777" w:rsidR="00BF0919" w:rsidRPr="00962D42" w:rsidRDefault="00BF0919" w:rsidP="0064280E">
            <w:pPr>
              <w:jc w:val="center"/>
              <w:rPr>
                <w:rFonts w:ascii="Times New Roman" w:hAnsi="Times New Roman" w:cs="Times New Roman"/>
                <w:sz w:val="18"/>
                <w:szCs w:val="18"/>
              </w:rPr>
            </w:pPr>
          </w:p>
        </w:tc>
      </w:tr>
      <w:tr w:rsidR="00BF0919" w:rsidRPr="0064723F" w14:paraId="22C6492D" w14:textId="77777777" w:rsidTr="00A8541E">
        <w:trPr>
          <w:cantSplit/>
          <w:trHeight w:val="20"/>
          <w:jc w:val="center"/>
        </w:trPr>
        <w:tc>
          <w:tcPr>
            <w:tcW w:w="1057" w:type="dxa"/>
            <w:vMerge w:val="restart"/>
            <w:vAlign w:val="center"/>
            <w:hideMark/>
          </w:tcPr>
          <w:p w14:paraId="34AA3AE2"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Braga et al. (2017)</w:t>
            </w:r>
          </w:p>
        </w:tc>
        <w:tc>
          <w:tcPr>
            <w:tcW w:w="244" w:type="dxa"/>
            <w:vMerge w:val="restart"/>
            <w:vAlign w:val="center"/>
            <w:hideMark/>
          </w:tcPr>
          <w:p w14:paraId="01A1D1B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37F7E6C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C5D0CB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8BE15D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F596E0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4DF5CA8"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37F28FDE"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6F8614C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05D8346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25EC45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89FC3B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423B8C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974120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4E402FC"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A536E1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DB33B74"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FFC957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07FF35FA"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64C66453"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2A03C04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CF56FB6"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ECB913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028F3E82"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4C5DABEF"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4099DE32"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restart"/>
            <w:vAlign w:val="center"/>
          </w:tcPr>
          <w:p w14:paraId="69EE03FF"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6B1C33B0"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3F7CFEA"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44F009E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47B941E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29222A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1EBF02E8"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0DF33B5"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DCF6DC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09B3995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A0EE9A9"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3926DBAD" w14:textId="77777777" w:rsidR="00BF0919" w:rsidRPr="00962D42" w:rsidRDefault="00BF0919" w:rsidP="0064280E">
            <w:pPr>
              <w:jc w:val="center"/>
              <w:rPr>
                <w:rFonts w:ascii="Times New Roman" w:hAnsi="Times New Roman" w:cs="Times New Roman"/>
                <w:sz w:val="18"/>
                <w:szCs w:val="18"/>
              </w:rPr>
            </w:pPr>
          </w:p>
        </w:tc>
      </w:tr>
      <w:tr w:rsidR="00BF0919" w:rsidRPr="0064723F" w14:paraId="0D3E773E" w14:textId="77777777" w:rsidTr="00A8541E">
        <w:trPr>
          <w:cantSplit/>
          <w:trHeight w:val="20"/>
          <w:jc w:val="center"/>
        </w:trPr>
        <w:tc>
          <w:tcPr>
            <w:tcW w:w="1057" w:type="dxa"/>
            <w:vMerge/>
            <w:vAlign w:val="center"/>
          </w:tcPr>
          <w:p w14:paraId="2BF20835"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F31B05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3046162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BCD94D7"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8D3C36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1EFD768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CB906E2"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14A173E"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26A8B33"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7C6B100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252909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482E08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EC80C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B15DF36"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120F0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7C7E44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A8C6CE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839B05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82F6ADF"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4E23E8B8"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2A3B07C"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CB6767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2EEC736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013EFB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7E0FDC6"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6D748625"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2A4B24E4"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FD30497"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D63CC73"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8A74F6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59F58AC"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0D19A85D"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2C5C9E26"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782BF1A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8E2189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4D7189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6AD69B90"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61ACD30" w14:textId="77777777" w:rsidR="00BF0919" w:rsidRPr="00962D42" w:rsidRDefault="00BF0919" w:rsidP="0064280E">
            <w:pPr>
              <w:jc w:val="center"/>
              <w:rPr>
                <w:rFonts w:ascii="Times New Roman" w:hAnsi="Times New Roman" w:cs="Times New Roman"/>
                <w:sz w:val="18"/>
                <w:szCs w:val="18"/>
              </w:rPr>
            </w:pPr>
          </w:p>
        </w:tc>
      </w:tr>
      <w:tr w:rsidR="00BF0919" w:rsidRPr="0064723F" w14:paraId="45D14123" w14:textId="77777777" w:rsidTr="00A8541E">
        <w:trPr>
          <w:cantSplit/>
          <w:trHeight w:val="20"/>
          <w:jc w:val="center"/>
        </w:trPr>
        <w:tc>
          <w:tcPr>
            <w:tcW w:w="1057" w:type="dxa"/>
            <w:vAlign w:val="center"/>
            <w:hideMark/>
          </w:tcPr>
          <w:p w14:paraId="30713FF8"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Kleijer et al. (2017)</w:t>
            </w:r>
          </w:p>
        </w:tc>
        <w:tc>
          <w:tcPr>
            <w:tcW w:w="244" w:type="dxa"/>
            <w:vAlign w:val="center"/>
            <w:hideMark/>
          </w:tcPr>
          <w:p w14:paraId="03AFDAA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0C63C5B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AA47B7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321150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730084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8BB679C"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0882AC42"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181718A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491871E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9D6016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200DAD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5D8E8D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D6A2FF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DBDF93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C0F2D9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D55D08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02CB11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1D91A8AD"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7800C3F8"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506AFA1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33099EC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31CD7E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5493F882"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BB17E86" w14:textId="77777777" w:rsidR="00BF0919" w:rsidRPr="00962D42" w:rsidRDefault="00BF0919" w:rsidP="0064280E">
            <w:pPr>
              <w:jc w:val="center"/>
              <w:rPr>
                <w:rFonts w:ascii="Times New Roman" w:hAnsi="Times New Roman" w:cs="Times New Roman"/>
                <w:sz w:val="18"/>
                <w:szCs w:val="18"/>
                <w:highlight w:val="yellow"/>
              </w:rPr>
            </w:pPr>
          </w:p>
        </w:tc>
        <w:tc>
          <w:tcPr>
            <w:tcW w:w="223" w:type="dxa"/>
            <w:vAlign w:val="center"/>
            <w:hideMark/>
          </w:tcPr>
          <w:p w14:paraId="734FB8B6" w14:textId="77777777" w:rsidR="00BF0919" w:rsidRPr="00962D42" w:rsidRDefault="00BF0919" w:rsidP="0064280E">
            <w:pPr>
              <w:jc w:val="center"/>
              <w:rPr>
                <w:rFonts w:ascii="Times New Roman" w:hAnsi="Times New Roman" w:cs="Times New Roman"/>
                <w:sz w:val="18"/>
                <w:szCs w:val="18"/>
                <w:highlight w:val="yellow"/>
              </w:rPr>
            </w:pPr>
          </w:p>
        </w:tc>
        <w:tc>
          <w:tcPr>
            <w:tcW w:w="213" w:type="dxa"/>
            <w:vAlign w:val="center"/>
          </w:tcPr>
          <w:p w14:paraId="546E1CBF"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1F51A454"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1A19F54C"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70E422B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7B15034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702C709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73E960E5"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5B37290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6E2CCFEC"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831724A"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2BFA6DE8"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1571BC6" w14:textId="77777777" w:rsidR="00BF0919" w:rsidRPr="00962D42" w:rsidRDefault="00BF0919" w:rsidP="0064280E">
            <w:pPr>
              <w:jc w:val="center"/>
              <w:rPr>
                <w:rFonts w:ascii="Times New Roman" w:hAnsi="Times New Roman" w:cs="Times New Roman"/>
                <w:sz w:val="18"/>
                <w:szCs w:val="18"/>
              </w:rPr>
            </w:pPr>
          </w:p>
        </w:tc>
      </w:tr>
      <w:tr w:rsidR="00BF0919" w:rsidRPr="0064723F" w14:paraId="503E91AB" w14:textId="77777777" w:rsidTr="00A8541E">
        <w:trPr>
          <w:cantSplit/>
          <w:trHeight w:val="20"/>
          <w:jc w:val="center"/>
        </w:trPr>
        <w:tc>
          <w:tcPr>
            <w:tcW w:w="1057" w:type="dxa"/>
            <w:vMerge w:val="restart"/>
            <w:noWrap/>
            <w:vAlign w:val="center"/>
            <w:hideMark/>
          </w:tcPr>
          <w:p w14:paraId="07BCBD20"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Fraj and Idir (2017)</w:t>
            </w:r>
          </w:p>
        </w:tc>
        <w:tc>
          <w:tcPr>
            <w:tcW w:w="244" w:type="dxa"/>
            <w:vMerge w:val="restart"/>
            <w:vAlign w:val="center"/>
            <w:hideMark/>
          </w:tcPr>
          <w:p w14:paraId="6EB02D3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7C2B65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03D95C02"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4AB61B6"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DD06AAA"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F98FD02"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6B2F1C4D"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095DA95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Merge w:val="restart"/>
            <w:vAlign w:val="center"/>
            <w:hideMark/>
          </w:tcPr>
          <w:p w14:paraId="6937242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37213E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A725FCE"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20D24857"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E2DF7A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483083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1DF803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647CF4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BE86B5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4E6B463E" w14:textId="77777777" w:rsidR="00BF0919" w:rsidRPr="00962D42" w:rsidRDefault="00BF0919" w:rsidP="0064280E">
            <w:pPr>
              <w:jc w:val="center"/>
              <w:rPr>
                <w:rFonts w:ascii="Times New Roman" w:hAnsi="Times New Roman" w:cs="Times New Roman"/>
                <w:sz w:val="18"/>
                <w:szCs w:val="18"/>
              </w:rPr>
            </w:pPr>
          </w:p>
        </w:tc>
        <w:tc>
          <w:tcPr>
            <w:tcW w:w="264" w:type="dxa"/>
            <w:vMerge w:val="restart"/>
            <w:vAlign w:val="center"/>
            <w:hideMark/>
          </w:tcPr>
          <w:p w14:paraId="04729DC1"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C1AB7C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680A0046"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62B95E3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7C6117B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3D77AE2"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restart"/>
            <w:vAlign w:val="center"/>
            <w:hideMark/>
          </w:tcPr>
          <w:p w14:paraId="6C91FAF4"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restart"/>
            <w:vAlign w:val="center"/>
          </w:tcPr>
          <w:p w14:paraId="37554E1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EA18E1D"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76D5CC7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Merge w:val="restart"/>
            <w:vAlign w:val="center"/>
            <w:hideMark/>
          </w:tcPr>
          <w:p w14:paraId="0312F57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095E805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096D408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3F504B4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0663C2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C1FE8B1"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F2EA72B"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2BCFE06F"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0E1C48F" w14:textId="77777777" w:rsidR="00BF0919" w:rsidRPr="00962D42" w:rsidRDefault="00BF0919" w:rsidP="0064280E">
            <w:pPr>
              <w:jc w:val="center"/>
              <w:rPr>
                <w:rFonts w:ascii="Times New Roman" w:hAnsi="Times New Roman" w:cs="Times New Roman"/>
                <w:sz w:val="18"/>
                <w:szCs w:val="18"/>
              </w:rPr>
            </w:pPr>
          </w:p>
        </w:tc>
      </w:tr>
      <w:tr w:rsidR="00BF0919" w:rsidRPr="0064723F" w14:paraId="7FFD50D4" w14:textId="77777777" w:rsidTr="00A8541E">
        <w:trPr>
          <w:cantSplit/>
          <w:trHeight w:val="20"/>
          <w:jc w:val="center"/>
        </w:trPr>
        <w:tc>
          <w:tcPr>
            <w:tcW w:w="1057" w:type="dxa"/>
            <w:vMerge/>
            <w:noWrap/>
            <w:vAlign w:val="center"/>
          </w:tcPr>
          <w:p w14:paraId="0B67204C"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0E4EA88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AA4F1C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4DB4C5C"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C0D37C6"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2214BF1"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26B526B"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6A457BB4"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06A7A860"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8F3184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F75ED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FE5265"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3ABC2F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F62274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389FAE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F6B529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34C99E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CB87F4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CF83452"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28FBD9A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0D88C9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E956E6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5B9CD3E"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403C3B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F788851" w14:textId="77777777" w:rsidR="00BF0919" w:rsidRPr="00962D42" w:rsidRDefault="00BF0919" w:rsidP="0064280E">
            <w:pPr>
              <w:jc w:val="center"/>
              <w:rPr>
                <w:rFonts w:ascii="Times New Roman" w:hAnsi="Times New Roman" w:cs="Times New Roman"/>
                <w:sz w:val="18"/>
                <w:szCs w:val="18"/>
                <w:highlight w:val="yellow"/>
              </w:rPr>
            </w:pPr>
          </w:p>
        </w:tc>
        <w:tc>
          <w:tcPr>
            <w:tcW w:w="223" w:type="dxa"/>
            <w:vMerge/>
            <w:vAlign w:val="center"/>
          </w:tcPr>
          <w:p w14:paraId="5E126BDB" w14:textId="77777777" w:rsidR="00BF0919" w:rsidRPr="00962D42" w:rsidRDefault="00BF0919" w:rsidP="0064280E">
            <w:pPr>
              <w:jc w:val="center"/>
              <w:rPr>
                <w:rFonts w:ascii="Times New Roman" w:hAnsi="Times New Roman" w:cs="Times New Roman"/>
                <w:sz w:val="18"/>
                <w:szCs w:val="18"/>
                <w:highlight w:val="yellow"/>
              </w:rPr>
            </w:pPr>
          </w:p>
        </w:tc>
        <w:tc>
          <w:tcPr>
            <w:tcW w:w="213" w:type="dxa"/>
            <w:vMerge/>
            <w:vAlign w:val="center"/>
          </w:tcPr>
          <w:p w14:paraId="03C0A800"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10F9A9A5"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4EDE7C5"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45E15FAF"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7220A4B9"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695C397A"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1215E94C"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DA3B244"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BFADA9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1A1488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368ED57"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B65EB36" w14:textId="77777777" w:rsidR="00BF0919" w:rsidRPr="00962D42" w:rsidRDefault="00BF0919" w:rsidP="0064280E">
            <w:pPr>
              <w:jc w:val="center"/>
              <w:rPr>
                <w:rFonts w:ascii="Times New Roman" w:hAnsi="Times New Roman" w:cs="Times New Roman"/>
                <w:sz w:val="18"/>
                <w:szCs w:val="18"/>
              </w:rPr>
            </w:pPr>
          </w:p>
        </w:tc>
      </w:tr>
      <w:tr w:rsidR="00BF0919" w:rsidRPr="0064723F" w14:paraId="2EC33770" w14:textId="77777777" w:rsidTr="00A8541E">
        <w:trPr>
          <w:cantSplit/>
          <w:trHeight w:val="20"/>
          <w:jc w:val="center"/>
        </w:trPr>
        <w:tc>
          <w:tcPr>
            <w:tcW w:w="1057" w:type="dxa"/>
            <w:vAlign w:val="center"/>
            <w:hideMark/>
          </w:tcPr>
          <w:p w14:paraId="3412C988" w14:textId="77777777" w:rsidR="00BF0919" w:rsidRPr="00E974B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5"/>
                <w:szCs w:val="15"/>
              </w:rPr>
              <w:t>Guo et al. (2018)</w:t>
            </w:r>
          </w:p>
        </w:tc>
        <w:tc>
          <w:tcPr>
            <w:tcW w:w="244" w:type="dxa"/>
            <w:vAlign w:val="center"/>
            <w:hideMark/>
          </w:tcPr>
          <w:p w14:paraId="4FCA2B4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19EAA6C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A0CAFF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3C6FC0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3C08BC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CC08587"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40CF534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CBB80D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704AD06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12B16C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D16A6A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903B83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EBE3AA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2DC95A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366B72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68C706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4C15CE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29163EA6"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556E1E46"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7C8C57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2F08445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B32C8B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164C2CFE"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0366CB71" w14:textId="77777777" w:rsidR="00BF0919" w:rsidRPr="00962D42" w:rsidRDefault="00BF0919" w:rsidP="0064280E">
            <w:pPr>
              <w:jc w:val="center"/>
              <w:rPr>
                <w:rFonts w:ascii="Times New Roman" w:hAnsi="Times New Roman" w:cs="Times New Roman"/>
                <w:sz w:val="18"/>
                <w:szCs w:val="18"/>
                <w:highlight w:val="yellow"/>
              </w:rPr>
            </w:pPr>
          </w:p>
        </w:tc>
        <w:tc>
          <w:tcPr>
            <w:tcW w:w="223" w:type="dxa"/>
            <w:vAlign w:val="center"/>
            <w:hideMark/>
          </w:tcPr>
          <w:p w14:paraId="19976640" w14:textId="77777777" w:rsidR="00BF0919" w:rsidRPr="00962D42" w:rsidRDefault="00BF0919" w:rsidP="0064280E">
            <w:pPr>
              <w:jc w:val="center"/>
              <w:rPr>
                <w:rFonts w:ascii="Times New Roman" w:hAnsi="Times New Roman" w:cs="Times New Roman"/>
                <w:sz w:val="18"/>
                <w:szCs w:val="18"/>
                <w:highlight w:val="yellow"/>
              </w:rPr>
            </w:pPr>
          </w:p>
        </w:tc>
        <w:tc>
          <w:tcPr>
            <w:tcW w:w="213" w:type="dxa"/>
            <w:vAlign w:val="center"/>
          </w:tcPr>
          <w:p w14:paraId="603A619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tcPr>
          <w:p w14:paraId="3ABDD9F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13" w:type="dxa"/>
            <w:vAlign w:val="center"/>
            <w:hideMark/>
          </w:tcPr>
          <w:p w14:paraId="2060580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1" w:type="dxa"/>
            <w:vAlign w:val="center"/>
            <w:hideMark/>
          </w:tcPr>
          <w:p w14:paraId="2B1D3F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1C0CDA1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341788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05CF64A4"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00548F9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47156D8B"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1C185799"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CE5523C"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3490B6D7" w14:textId="77777777" w:rsidR="00BF0919" w:rsidRPr="00962D42" w:rsidRDefault="00BF0919" w:rsidP="0064280E">
            <w:pPr>
              <w:jc w:val="center"/>
              <w:rPr>
                <w:rFonts w:ascii="Times New Roman" w:hAnsi="Times New Roman" w:cs="Times New Roman"/>
                <w:sz w:val="18"/>
                <w:szCs w:val="18"/>
              </w:rPr>
            </w:pPr>
          </w:p>
        </w:tc>
      </w:tr>
      <w:tr w:rsidR="00BF0919" w:rsidRPr="0064723F" w14:paraId="47825DDE" w14:textId="77777777" w:rsidTr="00A8541E">
        <w:trPr>
          <w:cantSplit/>
          <w:trHeight w:val="20"/>
          <w:jc w:val="center"/>
        </w:trPr>
        <w:tc>
          <w:tcPr>
            <w:tcW w:w="1057" w:type="dxa"/>
            <w:vAlign w:val="center"/>
            <w:hideMark/>
          </w:tcPr>
          <w:p w14:paraId="12329BA8"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Yazdanbakhsh et al. (2017)</w:t>
            </w:r>
          </w:p>
        </w:tc>
        <w:tc>
          <w:tcPr>
            <w:tcW w:w="244" w:type="dxa"/>
            <w:vAlign w:val="center"/>
            <w:hideMark/>
          </w:tcPr>
          <w:p w14:paraId="3A8A38F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63B78F9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40CF22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FB332B0"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8AC6653"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8DE5691"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04ABDF68"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50A64D7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16F64F9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257C4F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C2B4C2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414947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4914B9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50E957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B88980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23CF4F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78DCEF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0648C41A"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3097D70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4C2159F2"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3684856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4FEE79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12072230"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36B743DC" w14:textId="77777777" w:rsidR="00BF0919" w:rsidRPr="00962D42" w:rsidRDefault="00BF0919" w:rsidP="0064280E">
            <w:pPr>
              <w:jc w:val="center"/>
              <w:rPr>
                <w:rFonts w:ascii="Times New Roman" w:hAnsi="Times New Roman" w:cs="Times New Roman"/>
                <w:sz w:val="18"/>
                <w:szCs w:val="18"/>
                <w:highlight w:val="yellow"/>
              </w:rPr>
            </w:pPr>
          </w:p>
        </w:tc>
        <w:tc>
          <w:tcPr>
            <w:tcW w:w="223" w:type="dxa"/>
            <w:vAlign w:val="center"/>
            <w:hideMark/>
          </w:tcPr>
          <w:p w14:paraId="2FB32025" w14:textId="77777777" w:rsidR="00BF0919" w:rsidRPr="00962D42" w:rsidRDefault="00BF0919" w:rsidP="0064280E">
            <w:pPr>
              <w:jc w:val="center"/>
              <w:rPr>
                <w:rFonts w:ascii="Times New Roman" w:hAnsi="Times New Roman" w:cs="Times New Roman"/>
                <w:sz w:val="18"/>
                <w:szCs w:val="18"/>
                <w:highlight w:val="yellow"/>
              </w:rPr>
            </w:pPr>
          </w:p>
        </w:tc>
        <w:tc>
          <w:tcPr>
            <w:tcW w:w="213" w:type="dxa"/>
            <w:vAlign w:val="center"/>
          </w:tcPr>
          <w:p w14:paraId="05E50163"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3D72F38E"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7DF65816"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6E9E4B7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49C1D74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2C6D219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71AEE41D"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5D721E3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7DFD797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02AD75B"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069465D9"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0613FA9F" w14:textId="77777777" w:rsidR="00BF0919" w:rsidRPr="00962D42" w:rsidRDefault="00BF0919" w:rsidP="0064280E">
            <w:pPr>
              <w:jc w:val="center"/>
              <w:rPr>
                <w:rFonts w:ascii="Times New Roman" w:hAnsi="Times New Roman" w:cs="Times New Roman"/>
                <w:sz w:val="18"/>
                <w:szCs w:val="18"/>
              </w:rPr>
            </w:pPr>
          </w:p>
        </w:tc>
      </w:tr>
      <w:tr w:rsidR="00BF0919" w:rsidRPr="0064723F" w14:paraId="3B17FF06" w14:textId="77777777" w:rsidTr="00A8541E">
        <w:trPr>
          <w:cantSplit/>
          <w:trHeight w:val="20"/>
          <w:jc w:val="center"/>
        </w:trPr>
        <w:tc>
          <w:tcPr>
            <w:tcW w:w="1057" w:type="dxa"/>
            <w:vAlign w:val="center"/>
            <w:hideMark/>
          </w:tcPr>
          <w:p w14:paraId="6F57F8D6"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Knoeri et al. (2013)</w:t>
            </w:r>
          </w:p>
        </w:tc>
        <w:tc>
          <w:tcPr>
            <w:tcW w:w="244" w:type="dxa"/>
            <w:vAlign w:val="center"/>
            <w:hideMark/>
          </w:tcPr>
          <w:p w14:paraId="1CF2181D"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E93D97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90993C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F76F6F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71ED01A6"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C6525AE"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3F635F19"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244289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5" w:type="dxa"/>
            <w:vAlign w:val="center"/>
            <w:hideMark/>
          </w:tcPr>
          <w:p w14:paraId="6BD5C88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37B9CB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83719A1"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4DEFB79"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9621D75"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410FCCC"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ABF228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19BAD9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C5E736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7E7F4868"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7409AAF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31F01F25"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63E7937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61087C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0335D7CE"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3A4ACA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F7FC8E7"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044B0EAD"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4E7EC4A2"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704A671F"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7162FC2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7D7079F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5F033D0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1A487EEC"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6A39ED9D"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4B5D7D9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5CA9119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D144C48"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6EBF471C" w14:textId="77777777" w:rsidR="00BF0919" w:rsidRPr="00962D42" w:rsidRDefault="00BF0919" w:rsidP="0064280E">
            <w:pPr>
              <w:jc w:val="center"/>
              <w:rPr>
                <w:rFonts w:ascii="Times New Roman" w:hAnsi="Times New Roman" w:cs="Times New Roman"/>
                <w:sz w:val="18"/>
                <w:szCs w:val="18"/>
              </w:rPr>
            </w:pPr>
          </w:p>
        </w:tc>
      </w:tr>
      <w:tr w:rsidR="00BF0919" w:rsidRPr="0064723F" w14:paraId="29EF1E5D" w14:textId="77777777" w:rsidTr="00A8541E">
        <w:trPr>
          <w:cantSplit/>
          <w:trHeight w:val="20"/>
          <w:jc w:val="center"/>
        </w:trPr>
        <w:tc>
          <w:tcPr>
            <w:tcW w:w="1057" w:type="dxa"/>
            <w:vAlign w:val="center"/>
            <w:hideMark/>
          </w:tcPr>
          <w:p w14:paraId="229F5AC7"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Xiao et al. (2018)</w:t>
            </w:r>
          </w:p>
        </w:tc>
        <w:tc>
          <w:tcPr>
            <w:tcW w:w="244" w:type="dxa"/>
            <w:vAlign w:val="center"/>
            <w:hideMark/>
          </w:tcPr>
          <w:p w14:paraId="566A56B7"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88D7CD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6FA9C64"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74E9E3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6E178CFF"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889129E"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5D9BF42A"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42F2D503"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78E2A13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94EAB1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4A07815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CF94EC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3500B4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0CD543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025CA3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4CC0F0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3685D9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65DC88E2" w14:textId="77777777" w:rsidR="00BF0919" w:rsidRPr="00962D42" w:rsidRDefault="00BF0919" w:rsidP="0064280E">
            <w:pPr>
              <w:jc w:val="center"/>
              <w:rPr>
                <w:rFonts w:ascii="Times New Roman" w:hAnsi="Times New Roman" w:cs="Times New Roman"/>
                <w:sz w:val="18"/>
                <w:szCs w:val="18"/>
              </w:rPr>
            </w:pPr>
          </w:p>
        </w:tc>
        <w:tc>
          <w:tcPr>
            <w:tcW w:w="264" w:type="dxa"/>
            <w:vAlign w:val="center"/>
            <w:hideMark/>
          </w:tcPr>
          <w:p w14:paraId="587C240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hideMark/>
          </w:tcPr>
          <w:p w14:paraId="2D804B1C" w14:textId="77777777" w:rsidR="00BF0919" w:rsidRPr="00962D42" w:rsidRDefault="00BF0919" w:rsidP="0064280E">
            <w:pPr>
              <w:jc w:val="center"/>
              <w:rPr>
                <w:rFonts w:ascii="Times New Roman" w:hAnsi="Times New Roman" w:cs="Times New Roman"/>
                <w:sz w:val="18"/>
                <w:szCs w:val="18"/>
              </w:rPr>
            </w:pPr>
          </w:p>
        </w:tc>
        <w:tc>
          <w:tcPr>
            <w:tcW w:w="246" w:type="dxa"/>
            <w:vAlign w:val="center"/>
            <w:hideMark/>
          </w:tcPr>
          <w:p w14:paraId="2DCE4E1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E965E75"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9B29EBF"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6480E2F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F903F47"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1BD851F3"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4CC91DF"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4704F380"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23FE470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6CF77CA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6D75295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Align w:val="center"/>
            <w:hideMark/>
          </w:tcPr>
          <w:p w14:paraId="42BEF9F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3387739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6E69FD95"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33230E4"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678A8D17"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953ABB5" w14:textId="77777777" w:rsidR="00BF0919" w:rsidRPr="00962D42" w:rsidRDefault="00BF0919" w:rsidP="0064280E">
            <w:pPr>
              <w:jc w:val="center"/>
              <w:rPr>
                <w:rFonts w:ascii="Times New Roman" w:hAnsi="Times New Roman" w:cs="Times New Roman"/>
                <w:sz w:val="18"/>
                <w:szCs w:val="18"/>
              </w:rPr>
            </w:pPr>
          </w:p>
        </w:tc>
      </w:tr>
      <w:tr w:rsidR="00BF0919" w:rsidRPr="0064723F" w14:paraId="41C0DBD2" w14:textId="77777777" w:rsidTr="00A8541E">
        <w:trPr>
          <w:cantSplit/>
          <w:trHeight w:val="20"/>
          <w:jc w:val="center"/>
        </w:trPr>
        <w:tc>
          <w:tcPr>
            <w:tcW w:w="1057" w:type="dxa"/>
            <w:vMerge w:val="restart"/>
            <w:vAlign w:val="center"/>
            <w:hideMark/>
          </w:tcPr>
          <w:p w14:paraId="556CA6EE"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Tae et al. (2011)</w:t>
            </w:r>
          </w:p>
        </w:tc>
        <w:tc>
          <w:tcPr>
            <w:tcW w:w="244" w:type="dxa"/>
            <w:vMerge w:val="restart"/>
            <w:vAlign w:val="center"/>
            <w:hideMark/>
          </w:tcPr>
          <w:p w14:paraId="444CEDCC"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64B962E"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2CCD5235"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5BD7798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745DBAF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ADB1CF4"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52F29A86"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401EF75F"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7F04D88A"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7F42EF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6DBA143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6A575A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49EE65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EF6DE8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FC311B2"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98AA5CB"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77072533"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682B082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Merge w:val="restart"/>
            <w:vAlign w:val="center"/>
            <w:hideMark/>
          </w:tcPr>
          <w:p w14:paraId="55E5302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54758D3A"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3CB7DF55"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74FFA3FB"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E42C7CD"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32F7C17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65C4C7D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933815C"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57F682BB"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270237BF"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1B215EE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6A416B9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6AC9BD9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587A86F2"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6F97C3F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2C458A3D"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02D4FFEF"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06B2906"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6A11A3AC" w14:textId="77777777" w:rsidR="00BF0919" w:rsidRPr="00962D42" w:rsidRDefault="00BF0919" w:rsidP="0064280E">
            <w:pPr>
              <w:jc w:val="center"/>
              <w:rPr>
                <w:rFonts w:ascii="Times New Roman" w:hAnsi="Times New Roman" w:cs="Times New Roman"/>
                <w:sz w:val="18"/>
                <w:szCs w:val="18"/>
              </w:rPr>
            </w:pPr>
          </w:p>
        </w:tc>
      </w:tr>
      <w:tr w:rsidR="00BF0919" w:rsidRPr="0064723F" w14:paraId="5E9D05DA" w14:textId="77777777" w:rsidTr="00A8541E">
        <w:trPr>
          <w:cantSplit/>
          <w:trHeight w:val="20"/>
          <w:jc w:val="center"/>
        </w:trPr>
        <w:tc>
          <w:tcPr>
            <w:tcW w:w="1057" w:type="dxa"/>
            <w:vMerge/>
            <w:vAlign w:val="center"/>
          </w:tcPr>
          <w:p w14:paraId="1EBDD511"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73A3B57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A76146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EF8F899"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065EF3B"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2197889F"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4D60FB9A"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1CA1137F"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A75ACBA"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3F70414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083FA6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2295C0A"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7BCCEB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15214D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4F78E2C"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815FBAF"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0E65504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5FC57641"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55679E0"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518E4D2E"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5B33D080"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DD2A2D4"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4BD812C"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5114D07"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73C4C96D"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5F704A2A"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1DA18ED"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6FB3CF9"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7F5F067A"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7B887758"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3D576314"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C80D6B2"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55B96219"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43F5477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3C2F5F9"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9631A3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49F171C4"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4EA65879" w14:textId="77777777" w:rsidR="00BF0919" w:rsidRPr="00962D42" w:rsidRDefault="00BF0919" w:rsidP="0064280E">
            <w:pPr>
              <w:jc w:val="center"/>
              <w:rPr>
                <w:rFonts w:ascii="Times New Roman" w:hAnsi="Times New Roman" w:cs="Times New Roman"/>
                <w:sz w:val="18"/>
                <w:szCs w:val="18"/>
              </w:rPr>
            </w:pPr>
          </w:p>
        </w:tc>
      </w:tr>
      <w:tr w:rsidR="00BF0919" w:rsidRPr="0064723F" w14:paraId="6577E746" w14:textId="77777777" w:rsidTr="00A8541E">
        <w:trPr>
          <w:cantSplit/>
          <w:trHeight w:val="20"/>
          <w:jc w:val="center"/>
        </w:trPr>
        <w:tc>
          <w:tcPr>
            <w:tcW w:w="1057" w:type="dxa"/>
            <w:vAlign w:val="center"/>
            <w:hideMark/>
          </w:tcPr>
          <w:p w14:paraId="48F66B9D" w14:textId="77777777" w:rsidR="00BF0919" w:rsidRPr="003B102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6"/>
                <w:szCs w:val="16"/>
              </w:rPr>
              <w:t>Choi et al. (2016)</w:t>
            </w:r>
          </w:p>
        </w:tc>
        <w:tc>
          <w:tcPr>
            <w:tcW w:w="244" w:type="dxa"/>
            <w:vAlign w:val="center"/>
            <w:hideMark/>
          </w:tcPr>
          <w:p w14:paraId="308B43B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9B0DF73"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1792C2C"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60A07551"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6C17C65"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7CDEB9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4" w:type="dxa"/>
            <w:vAlign w:val="center"/>
            <w:hideMark/>
          </w:tcPr>
          <w:p w14:paraId="41D48D00"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1231FDDD"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22E4B7F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B73414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4F9CD90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F3EA1E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0D61C3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10663F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D36EF94"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F91AE4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2D68A8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B8DC04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Align w:val="center"/>
            <w:hideMark/>
          </w:tcPr>
          <w:p w14:paraId="6817209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tcPr>
          <w:p w14:paraId="5A4A19CB" w14:textId="77777777" w:rsidR="00BF0919" w:rsidRPr="00962D42" w:rsidRDefault="00BF0919" w:rsidP="0064280E">
            <w:pPr>
              <w:jc w:val="center"/>
              <w:rPr>
                <w:rFonts w:ascii="Times New Roman" w:hAnsi="Times New Roman" w:cs="Times New Roman"/>
                <w:sz w:val="18"/>
                <w:szCs w:val="18"/>
              </w:rPr>
            </w:pPr>
          </w:p>
        </w:tc>
        <w:tc>
          <w:tcPr>
            <w:tcW w:w="246" w:type="dxa"/>
            <w:vAlign w:val="center"/>
          </w:tcPr>
          <w:p w14:paraId="67CC71E3"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939F5F2"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2F9D0EA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37479F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51C240E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44141C7"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768530ED"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6EB2F8CB"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62FF77F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7DA9E7B6"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7A2B3F07"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681DF0F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5FB1421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2E404AF6"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3888F76"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8F4A8BD"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3CFA32B4" w14:textId="77777777" w:rsidR="00BF0919" w:rsidRPr="00962D42" w:rsidRDefault="00BF0919" w:rsidP="0064280E">
            <w:pPr>
              <w:jc w:val="center"/>
              <w:rPr>
                <w:rFonts w:ascii="Times New Roman" w:hAnsi="Times New Roman" w:cs="Times New Roman"/>
                <w:sz w:val="18"/>
                <w:szCs w:val="18"/>
              </w:rPr>
            </w:pPr>
          </w:p>
        </w:tc>
      </w:tr>
      <w:tr w:rsidR="00BF0919" w:rsidRPr="0064723F" w14:paraId="553D8F4E" w14:textId="77777777" w:rsidTr="00A8541E">
        <w:trPr>
          <w:cantSplit/>
          <w:trHeight w:val="20"/>
          <w:jc w:val="center"/>
        </w:trPr>
        <w:tc>
          <w:tcPr>
            <w:tcW w:w="1057" w:type="dxa"/>
            <w:vAlign w:val="center"/>
            <w:hideMark/>
          </w:tcPr>
          <w:p w14:paraId="43F057FF"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Ji et al. (2014)</w:t>
            </w:r>
          </w:p>
        </w:tc>
        <w:tc>
          <w:tcPr>
            <w:tcW w:w="244" w:type="dxa"/>
            <w:vAlign w:val="center"/>
            <w:hideMark/>
          </w:tcPr>
          <w:p w14:paraId="766CBD3B"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4A47A58"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74F649D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277B04E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35782FCB"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5ECE4DB8"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2B8876EB"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2D46DE81"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12D2B92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3914FEA8"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57A3A6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D20B87F"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B52C9D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216E226"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2EEB4D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2A9D025D"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6470643A"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46C1F8F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Align w:val="center"/>
            <w:hideMark/>
          </w:tcPr>
          <w:p w14:paraId="1A79B55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tcPr>
          <w:p w14:paraId="4A2D88C4" w14:textId="77777777" w:rsidR="00BF0919" w:rsidRPr="00962D42" w:rsidRDefault="00BF0919" w:rsidP="0064280E">
            <w:pPr>
              <w:jc w:val="center"/>
              <w:rPr>
                <w:rFonts w:ascii="Times New Roman" w:hAnsi="Times New Roman" w:cs="Times New Roman"/>
                <w:sz w:val="18"/>
                <w:szCs w:val="18"/>
              </w:rPr>
            </w:pPr>
          </w:p>
        </w:tc>
        <w:tc>
          <w:tcPr>
            <w:tcW w:w="246" w:type="dxa"/>
            <w:vAlign w:val="center"/>
          </w:tcPr>
          <w:p w14:paraId="4FE4A4B7"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118FCE5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4EB622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652152C0"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4A706EC2"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5655EE9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39AF79E4"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1BE3E18B"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1050507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742AA25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22A2D2A7"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5B780BA3"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763442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263B7BFE"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53108C99"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CEEB4CE"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2C9B19E7" w14:textId="77777777" w:rsidR="00BF0919" w:rsidRPr="00962D42" w:rsidRDefault="00BF0919" w:rsidP="0064280E">
            <w:pPr>
              <w:jc w:val="center"/>
              <w:rPr>
                <w:rFonts w:ascii="Times New Roman" w:hAnsi="Times New Roman" w:cs="Times New Roman"/>
                <w:sz w:val="18"/>
                <w:szCs w:val="18"/>
              </w:rPr>
            </w:pPr>
          </w:p>
        </w:tc>
      </w:tr>
      <w:tr w:rsidR="00BF0919" w:rsidRPr="0064723F" w14:paraId="4CD99944" w14:textId="77777777" w:rsidTr="00A8541E">
        <w:trPr>
          <w:cantSplit/>
          <w:trHeight w:val="20"/>
          <w:jc w:val="center"/>
        </w:trPr>
        <w:tc>
          <w:tcPr>
            <w:tcW w:w="1057" w:type="dxa"/>
            <w:vAlign w:val="center"/>
            <w:hideMark/>
          </w:tcPr>
          <w:p w14:paraId="35AF7BC1" w14:textId="77777777" w:rsidR="00BF0919" w:rsidRPr="00E974BC" w:rsidRDefault="00BF0919" w:rsidP="0064280E">
            <w:pPr>
              <w:jc w:val="center"/>
              <w:rPr>
                <w:rFonts w:ascii="Times New Roman" w:hAnsi="Times New Roman" w:cs="Times New Roman"/>
                <w:sz w:val="16"/>
                <w:szCs w:val="16"/>
              </w:rPr>
            </w:pPr>
            <w:r w:rsidRPr="003B102C">
              <w:rPr>
                <w:rFonts w:ascii="Times New Roman" w:hAnsi="Times New Roman" w:cs="Times New Roman"/>
                <w:noProof/>
                <w:sz w:val="16"/>
                <w:szCs w:val="16"/>
              </w:rPr>
              <w:t>Choi et al. (2017)</w:t>
            </w:r>
          </w:p>
        </w:tc>
        <w:tc>
          <w:tcPr>
            <w:tcW w:w="244" w:type="dxa"/>
            <w:vAlign w:val="center"/>
            <w:hideMark/>
          </w:tcPr>
          <w:p w14:paraId="282B5B7A"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22613249"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05D2E1A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Align w:val="center"/>
            <w:hideMark/>
          </w:tcPr>
          <w:p w14:paraId="06269F6E"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12BEEC72" w14:textId="77777777" w:rsidR="00BF0919" w:rsidRPr="00962D42" w:rsidRDefault="00BF0919" w:rsidP="0064280E">
            <w:pPr>
              <w:jc w:val="center"/>
              <w:rPr>
                <w:rFonts w:ascii="Times New Roman" w:hAnsi="Times New Roman" w:cs="Times New Roman"/>
                <w:sz w:val="18"/>
                <w:szCs w:val="18"/>
              </w:rPr>
            </w:pPr>
          </w:p>
        </w:tc>
        <w:tc>
          <w:tcPr>
            <w:tcW w:w="244" w:type="dxa"/>
            <w:vAlign w:val="center"/>
            <w:hideMark/>
          </w:tcPr>
          <w:p w14:paraId="41818EB5" w14:textId="77777777" w:rsidR="00BF0919" w:rsidRPr="00962D42" w:rsidRDefault="00BF0919" w:rsidP="0064280E">
            <w:pPr>
              <w:jc w:val="center"/>
              <w:rPr>
                <w:rFonts w:ascii="Times New Roman" w:hAnsi="Times New Roman" w:cs="Times New Roman"/>
                <w:sz w:val="18"/>
                <w:szCs w:val="18"/>
              </w:rPr>
            </w:pPr>
          </w:p>
        </w:tc>
        <w:tc>
          <w:tcPr>
            <w:tcW w:w="234" w:type="dxa"/>
            <w:vAlign w:val="center"/>
            <w:hideMark/>
          </w:tcPr>
          <w:p w14:paraId="224C7F8F"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6BC66790" w14:textId="77777777" w:rsidR="00BF0919" w:rsidRPr="00962D42" w:rsidRDefault="00BF0919" w:rsidP="0064280E">
            <w:pPr>
              <w:jc w:val="center"/>
              <w:rPr>
                <w:rFonts w:ascii="Times New Roman" w:hAnsi="Times New Roman" w:cs="Times New Roman"/>
                <w:sz w:val="18"/>
                <w:szCs w:val="18"/>
              </w:rPr>
            </w:pPr>
          </w:p>
        </w:tc>
        <w:tc>
          <w:tcPr>
            <w:tcW w:w="235" w:type="dxa"/>
            <w:vAlign w:val="center"/>
            <w:hideMark/>
          </w:tcPr>
          <w:p w14:paraId="357FFE9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A57BE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Align w:val="center"/>
            <w:hideMark/>
          </w:tcPr>
          <w:p w14:paraId="632A88B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71CB00A2"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3E43D3E"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60E26B3"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57EF7D3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19A28450"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0ABABDCB" w14:textId="77777777" w:rsidR="00BF0919" w:rsidRPr="00962D42" w:rsidRDefault="00BF0919" w:rsidP="0064280E">
            <w:pPr>
              <w:jc w:val="center"/>
              <w:rPr>
                <w:rFonts w:ascii="Times New Roman" w:hAnsi="Times New Roman" w:cs="Times New Roman"/>
                <w:sz w:val="18"/>
                <w:szCs w:val="18"/>
              </w:rPr>
            </w:pPr>
          </w:p>
        </w:tc>
        <w:tc>
          <w:tcPr>
            <w:tcW w:w="236" w:type="dxa"/>
            <w:vAlign w:val="center"/>
            <w:hideMark/>
          </w:tcPr>
          <w:p w14:paraId="390FC83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Align w:val="center"/>
            <w:hideMark/>
          </w:tcPr>
          <w:p w14:paraId="2D81046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Align w:val="center"/>
          </w:tcPr>
          <w:p w14:paraId="4991D6A1" w14:textId="77777777" w:rsidR="00BF0919" w:rsidRPr="00962D42" w:rsidRDefault="00BF0919" w:rsidP="0064280E">
            <w:pPr>
              <w:jc w:val="center"/>
              <w:rPr>
                <w:rFonts w:ascii="Times New Roman" w:hAnsi="Times New Roman" w:cs="Times New Roman"/>
                <w:sz w:val="18"/>
                <w:szCs w:val="18"/>
              </w:rPr>
            </w:pPr>
          </w:p>
        </w:tc>
        <w:tc>
          <w:tcPr>
            <w:tcW w:w="246" w:type="dxa"/>
            <w:vAlign w:val="center"/>
          </w:tcPr>
          <w:p w14:paraId="7AE3ACB6"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0B65B43D"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57C02DD9" w14:textId="77777777" w:rsidR="00BF0919" w:rsidRPr="00962D42" w:rsidRDefault="00BF0919" w:rsidP="0064280E">
            <w:pPr>
              <w:jc w:val="center"/>
              <w:rPr>
                <w:rFonts w:ascii="Times New Roman" w:hAnsi="Times New Roman" w:cs="Times New Roman"/>
                <w:sz w:val="18"/>
                <w:szCs w:val="18"/>
              </w:rPr>
            </w:pPr>
          </w:p>
        </w:tc>
        <w:tc>
          <w:tcPr>
            <w:tcW w:w="223" w:type="dxa"/>
            <w:vAlign w:val="center"/>
            <w:hideMark/>
          </w:tcPr>
          <w:p w14:paraId="02ABC5B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Align w:val="center"/>
            <w:hideMark/>
          </w:tcPr>
          <w:p w14:paraId="12CB9AFA"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2805187B" w14:textId="77777777" w:rsidR="00BF0919" w:rsidRPr="00962D42" w:rsidRDefault="00BF0919" w:rsidP="0064280E">
            <w:pPr>
              <w:jc w:val="center"/>
              <w:rPr>
                <w:rFonts w:ascii="Times New Roman" w:hAnsi="Times New Roman" w:cs="Times New Roman"/>
                <w:sz w:val="18"/>
                <w:szCs w:val="18"/>
              </w:rPr>
            </w:pPr>
          </w:p>
        </w:tc>
        <w:tc>
          <w:tcPr>
            <w:tcW w:w="213" w:type="dxa"/>
            <w:vAlign w:val="center"/>
          </w:tcPr>
          <w:p w14:paraId="6688DEE1" w14:textId="77777777" w:rsidR="00BF0919" w:rsidRPr="00962D42" w:rsidRDefault="00BF0919" w:rsidP="0064280E">
            <w:pPr>
              <w:jc w:val="center"/>
              <w:rPr>
                <w:rFonts w:ascii="Times New Roman" w:hAnsi="Times New Roman" w:cs="Times New Roman"/>
                <w:sz w:val="18"/>
                <w:szCs w:val="18"/>
              </w:rPr>
            </w:pPr>
          </w:p>
        </w:tc>
        <w:tc>
          <w:tcPr>
            <w:tcW w:w="213" w:type="dxa"/>
            <w:vAlign w:val="center"/>
            <w:hideMark/>
          </w:tcPr>
          <w:p w14:paraId="2BDB406C" w14:textId="77777777" w:rsidR="00BF0919" w:rsidRPr="00962D42" w:rsidRDefault="00BF0919" w:rsidP="0064280E">
            <w:pPr>
              <w:jc w:val="center"/>
              <w:rPr>
                <w:rFonts w:ascii="Times New Roman" w:hAnsi="Times New Roman" w:cs="Times New Roman"/>
                <w:sz w:val="18"/>
                <w:szCs w:val="18"/>
              </w:rPr>
            </w:pPr>
          </w:p>
        </w:tc>
        <w:tc>
          <w:tcPr>
            <w:tcW w:w="231" w:type="dxa"/>
            <w:vAlign w:val="center"/>
            <w:hideMark/>
          </w:tcPr>
          <w:p w14:paraId="15432B2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Align w:val="center"/>
            <w:hideMark/>
          </w:tcPr>
          <w:p w14:paraId="4CDC432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Align w:val="center"/>
            <w:hideMark/>
          </w:tcPr>
          <w:p w14:paraId="3909E96B" w14:textId="77777777" w:rsidR="00BF0919" w:rsidRPr="00962D42" w:rsidRDefault="00BF0919" w:rsidP="0064280E">
            <w:pPr>
              <w:jc w:val="center"/>
              <w:rPr>
                <w:rFonts w:ascii="Times New Roman" w:hAnsi="Times New Roman" w:cs="Times New Roman"/>
                <w:sz w:val="18"/>
                <w:szCs w:val="18"/>
              </w:rPr>
            </w:pPr>
          </w:p>
        </w:tc>
        <w:tc>
          <w:tcPr>
            <w:tcW w:w="4031" w:type="dxa"/>
            <w:vAlign w:val="center"/>
            <w:hideMark/>
          </w:tcPr>
          <w:p w14:paraId="4C4C8011"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2DD9EFF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hideMark/>
          </w:tcPr>
          <w:p w14:paraId="1CD847ED"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304C1D79" w14:textId="77777777" w:rsidR="00BF0919" w:rsidRPr="00962D42" w:rsidRDefault="00BF0919" w:rsidP="0064280E">
            <w:pPr>
              <w:jc w:val="center"/>
              <w:rPr>
                <w:rFonts w:ascii="Times New Roman" w:hAnsi="Times New Roman" w:cs="Times New Roman"/>
                <w:sz w:val="18"/>
                <w:szCs w:val="18"/>
              </w:rPr>
            </w:pPr>
          </w:p>
        </w:tc>
        <w:tc>
          <w:tcPr>
            <w:tcW w:w="201" w:type="dxa"/>
            <w:vAlign w:val="center"/>
            <w:hideMark/>
          </w:tcPr>
          <w:p w14:paraId="731384A5" w14:textId="77777777" w:rsidR="00BF0919" w:rsidRPr="00962D42" w:rsidRDefault="00BF0919" w:rsidP="0064280E">
            <w:pPr>
              <w:jc w:val="center"/>
              <w:rPr>
                <w:rFonts w:ascii="Times New Roman" w:hAnsi="Times New Roman" w:cs="Times New Roman"/>
                <w:sz w:val="18"/>
                <w:szCs w:val="18"/>
              </w:rPr>
            </w:pPr>
          </w:p>
        </w:tc>
        <w:tc>
          <w:tcPr>
            <w:tcW w:w="167" w:type="dxa"/>
            <w:vAlign w:val="center"/>
            <w:hideMark/>
          </w:tcPr>
          <w:p w14:paraId="4ED4980A" w14:textId="77777777" w:rsidR="00BF0919" w:rsidRPr="00962D42" w:rsidRDefault="00BF0919" w:rsidP="0064280E">
            <w:pPr>
              <w:jc w:val="center"/>
              <w:rPr>
                <w:rFonts w:ascii="Times New Roman" w:hAnsi="Times New Roman" w:cs="Times New Roman"/>
                <w:sz w:val="18"/>
                <w:szCs w:val="18"/>
              </w:rPr>
            </w:pPr>
          </w:p>
        </w:tc>
      </w:tr>
      <w:tr w:rsidR="00BF0919" w:rsidRPr="0064723F" w14:paraId="291BB8D2" w14:textId="77777777" w:rsidTr="00A8541E">
        <w:trPr>
          <w:cantSplit/>
          <w:trHeight w:val="20"/>
          <w:jc w:val="center"/>
        </w:trPr>
        <w:tc>
          <w:tcPr>
            <w:tcW w:w="1057" w:type="dxa"/>
            <w:vMerge w:val="restart"/>
            <w:vAlign w:val="center"/>
            <w:hideMark/>
          </w:tcPr>
          <w:p w14:paraId="52D9932E"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lastRenderedPageBreak/>
              <w:t>Shafiq et al. (2015)</w:t>
            </w:r>
          </w:p>
        </w:tc>
        <w:tc>
          <w:tcPr>
            <w:tcW w:w="244" w:type="dxa"/>
            <w:vMerge w:val="restart"/>
            <w:vAlign w:val="center"/>
            <w:hideMark/>
          </w:tcPr>
          <w:p w14:paraId="7FF01E81"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39CF300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vMerge w:val="restart"/>
            <w:vAlign w:val="center"/>
            <w:hideMark/>
          </w:tcPr>
          <w:p w14:paraId="5C733FD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4C65AC4B"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738F9D1F" w14:textId="77777777" w:rsidR="00BF0919" w:rsidRPr="00962D42" w:rsidRDefault="00BF0919" w:rsidP="0064280E">
            <w:pPr>
              <w:jc w:val="center"/>
              <w:rPr>
                <w:rFonts w:ascii="Times New Roman" w:hAnsi="Times New Roman" w:cs="Times New Roman"/>
                <w:sz w:val="18"/>
                <w:szCs w:val="18"/>
              </w:rPr>
            </w:pPr>
          </w:p>
        </w:tc>
        <w:tc>
          <w:tcPr>
            <w:tcW w:w="244" w:type="dxa"/>
            <w:vMerge w:val="restart"/>
            <w:vAlign w:val="center"/>
            <w:hideMark/>
          </w:tcPr>
          <w:p w14:paraId="678BB355" w14:textId="77777777" w:rsidR="00BF0919" w:rsidRPr="00962D42" w:rsidRDefault="00BF0919" w:rsidP="0064280E">
            <w:pPr>
              <w:jc w:val="center"/>
              <w:rPr>
                <w:rFonts w:ascii="Times New Roman" w:hAnsi="Times New Roman" w:cs="Times New Roman"/>
                <w:sz w:val="18"/>
                <w:szCs w:val="18"/>
              </w:rPr>
            </w:pPr>
          </w:p>
        </w:tc>
        <w:tc>
          <w:tcPr>
            <w:tcW w:w="234" w:type="dxa"/>
            <w:vMerge w:val="restart"/>
            <w:vAlign w:val="center"/>
            <w:hideMark/>
          </w:tcPr>
          <w:p w14:paraId="756BB47E"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FF84633" w14:textId="77777777" w:rsidR="00BF0919" w:rsidRPr="00962D42" w:rsidRDefault="00BF0919" w:rsidP="0064280E">
            <w:pPr>
              <w:jc w:val="center"/>
              <w:rPr>
                <w:rFonts w:ascii="Times New Roman" w:hAnsi="Times New Roman" w:cs="Times New Roman"/>
                <w:sz w:val="18"/>
                <w:szCs w:val="18"/>
              </w:rPr>
            </w:pPr>
          </w:p>
        </w:tc>
        <w:tc>
          <w:tcPr>
            <w:tcW w:w="235" w:type="dxa"/>
            <w:vMerge w:val="restart"/>
            <w:vAlign w:val="center"/>
            <w:hideMark/>
          </w:tcPr>
          <w:p w14:paraId="32A9F94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DCC0D9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vMerge w:val="restart"/>
            <w:vAlign w:val="center"/>
            <w:hideMark/>
          </w:tcPr>
          <w:p w14:paraId="5831ADD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04E82C51"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59F8CCE8"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38D9C3F0"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53E97FF"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D59C1E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177020C5" w14:textId="77777777" w:rsidR="00BF0919" w:rsidRPr="00962D42" w:rsidRDefault="00BF0919" w:rsidP="0064280E">
            <w:pPr>
              <w:jc w:val="center"/>
              <w:rPr>
                <w:rFonts w:ascii="Times New Roman" w:hAnsi="Times New Roman" w:cs="Times New Roman"/>
                <w:sz w:val="18"/>
                <w:szCs w:val="18"/>
              </w:rPr>
            </w:pPr>
          </w:p>
        </w:tc>
        <w:tc>
          <w:tcPr>
            <w:tcW w:w="236" w:type="dxa"/>
            <w:vMerge w:val="restart"/>
            <w:vAlign w:val="center"/>
            <w:hideMark/>
          </w:tcPr>
          <w:p w14:paraId="43A5F05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vMerge w:val="restart"/>
            <w:vAlign w:val="center"/>
            <w:hideMark/>
          </w:tcPr>
          <w:p w14:paraId="500244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vMerge w:val="restart"/>
            <w:vAlign w:val="center"/>
            <w:hideMark/>
          </w:tcPr>
          <w:p w14:paraId="0208B983" w14:textId="77777777" w:rsidR="00BF0919" w:rsidRPr="00962D42" w:rsidRDefault="00BF0919" w:rsidP="0064280E">
            <w:pPr>
              <w:jc w:val="center"/>
              <w:rPr>
                <w:rFonts w:ascii="Times New Roman" w:hAnsi="Times New Roman" w:cs="Times New Roman"/>
                <w:sz w:val="18"/>
                <w:szCs w:val="18"/>
              </w:rPr>
            </w:pPr>
          </w:p>
        </w:tc>
        <w:tc>
          <w:tcPr>
            <w:tcW w:w="246" w:type="dxa"/>
            <w:vMerge w:val="restart"/>
            <w:vAlign w:val="center"/>
            <w:hideMark/>
          </w:tcPr>
          <w:p w14:paraId="23C17FE1"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51539170"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0DFF5719" w14:textId="77777777" w:rsidR="00BF0919" w:rsidRPr="00962D42" w:rsidRDefault="00BF0919" w:rsidP="0064280E">
            <w:pPr>
              <w:jc w:val="center"/>
              <w:rPr>
                <w:rFonts w:ascii="Times New Roman" w:hAnsi="Times New Roman" w:cs="Times New Roman"/>
                <w:sz w:val="18"/>
                <w:szCs w:val="18"/>
              </w:rPr>
            </w:pPr>
          </w:p>
        </w:tc>
        <w:tc>
          <w:tcPr>
            <w:tcW w:w="223" w:type="dxa"/>
            <w:vMerge w:val="restart"/>
            <w:vAlign w:val="center"/>
            <w:hideMark/>
          </w:tcPr>
          <w:p w14:paraId="17BD12A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vMerge w:val="restart"/>
            <w:vAlign w:val="center"/>
            <w:hideMark/>
          </w:tcPr>
          <w:p w14:paraId="4B816FD4"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3FABE5B7"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tcPr>
          <w:p w14:paraId="4098852E" w14:textId="77777777" w:rsidR="00BF0919" w:rsidRPr="00962D42" w:rsidRDefault="00BF0919" w:rsidP="0064280E">
            <w:pPr>
              <w:jc w:val="center"/>
              <w:rPr>
                <w:rFonts w:ascii="Times New Roman" w:hAnsi="Times New Roman" w:cs="Times New Roman"/>
                <w:sz w:val="18"/>
                <w:szCs w:val="18"/>
              </w:rPr>
            </w:pPr>
          </w:p>
        </w:tc>
        <w:tc>
          <w:tcPr>
            <w:tcW w:w="213" w:type="dxa"/>
            <w:vMerge w:val="restart"/>
            <w:vAlign w:val="center"/>
            <w:hideMark/>
          </w:tcPr>
          <w:p w14:paraId="363A1E89" w14:textId="77777777" w:rsidR="00BF0919" w:rsidRPr="00962D42" w:rsidRDefault="00BF0919" w:rsidP="0064280E">
            <w:pPr>
              <w:jc w:val="center"/>
              <w:rPr>
                <w:rFonts w:ascii="Times New Roman" w:hAnsi="Times New Roman" w:cs="Times New Roman"/>
                <w:sz w:val="18"/>
                <w:szCs w:val="18"/>
              </w:rPr>
            </w:pPr>
          </w:p>
        </w:tc>
        <w:tc>
          <w:tcPr>
            <w:tcW w:w="231" w:type="dxa"/>
            <w:vMerge w:val="restart"/>
            <w:vAlign w:val="center"/>
            <w:hideMark/>
          </w:tcPr>
          <w:p w14:paraId="6EB24C0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vMerge w:val="restart"/>
            <w:vAlign w:val="center"/>
            <w:hideMark/>
          </w:tcPr>
          <w:p w14:paraId="491B95B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vMerge w:val="restart"/>
            <w:vAlign w:val="center"/>
            <w:hideMark/>
          </w:tcPr>
          <w:p w14:paraId="424B59F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vMerge w:val="restart"/>
            <w:vAlign w:val="center"/>
            <w:hideMark/>
          </w:tcPr>
          <w:p w14:paraId="5FC7DD7B"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vAlign w:val="center"/>
          </w:tcPr>
          <w:p w14:paraId="118895B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3FE48C1C"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3DDFE6F6"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1AC4E92"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5A4F23C2" w14:textId="77777777" w:rsidR="00BF0919" w:rsidRPr="00962D42" w:rsidRDefault="00BF0919" w:rsidP="0064280E">
            <w:pPr>
              <w:jc w:val="center"/>
              <w:rPr>
                <w:rFonts w:ascii="Times New Roman" w:hAnsi="Times New Roman" w:cs="Times New Roman"/>
                <w:sz w:val="18"/>
                <w:szCs w:val="18"/>
              </w:rPr>
            </w:pPr>
          </w:p>
        </w:tc>
      </w:tr>
      <w:tr w:rsidR="00BF0919" w:rsidRPr="0064723F" w14:paraId="2D309019" w14:textId="77777777" w:rsidTr="00A8541E">
        <w:trPr>
          <w:cantSplit/>
          <w:trHeight w:val="20"/>
          <w:jc w:val="center"/>
        </w:trPr>
        <w:tc>
          <w:tcPr>
            <w:tcW w:w="1057" w:type="dxa"/>
            <w:vMerge/>
            <w:vAlign w:val="center"/>
          </w:tcPr>
          <w:p w14:paraId="278E26FC" w14:textId="77777777" w:rsidR="00BF0919" w:rsidRPr="00E974BC" w:rsidRDefault="00BF0919" w:rsidP="0064280E">
            <w:pPr>
              <w:jc w:val="center"/>
              <w:rPr>
                <w:rFonts w:ascii="Times New Roman" w:hAnsi="Times New Roman" w:cs="Times New Roman"/>
                <w:sz w:val="16"/>
                <w:szCs w:val="16"/>
              </w:rPr>
            </w:pPr>
          </w:p>
        </w:tc>
        <w:tc>
          <w:tcPr>
            <w:tcW w:w="244" w:type="dxa"/>
            <w:vMerge/>
            <w:vAlign w:val="center"/>
          </w:tcPr>
          <w:p w14:paraId="137A4B18"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559F9E60"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678BADBA"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7494A523"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590377D" w14:textId="77777777" w:rsidR="00BF0919" w:rsidRPr="00962D42" w:rsidRDefault="00BF0919" w:rsidP="0064280E">
            <w:pPr>
              <w:jc w:val="center"/>
              <w:rPr>
                <w:rFonts w:ascii="Times New Roman" w:hAnsi="Times New Roman" w:cs="Times New Roman"/>
                <w:sz w:val="18"/>
                <w:szCs w:val="18"/>
              </w:rPr>
            </w:pPr>
          </w:p>
        </w:tc>
        <w:tc>
          <w:tcPr>
            <w:tcW w:w="244" w:type="dxa"/>
            <w:vMerge/>
            <w:vAlign w:val="center"/>
          </w:tcPr>
          <w:p w14:paraId="08AD6EFC" w14:textId="77777777" w:rsidR="00BF0919" w:rsidRPr="00962D42" w:rsidRDefault="00BF0919" w:rsidP="0064280E">
            <w:pPr>
              <w:jc w:val="center"/>
              <w:rPr>
                <w:rFonts w:ascii="Times New Roman" w:hAnsi="Times New Roman" w:cs="Times New Roman"/>
                <w:sz w:val="18"/>
                <w:szCs w:val="18"/>
              </w:rPr>
            </w:pPr>
          </w:p>
        </w:tc>
        <w:tc>
          <w:tcPr>
            <w:tcW w:w="234" w:type="dxa"/>
            <w:vMerge/>
            <w:vAlign w:val="center"/>
          </w:tcPr>
          <w:p w14:paraId="00877259"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673A67AB" w14:textId="77777777" w:rsidR="00BF0919" w:rsidRPr="00962D42" w:rsidRDefault="00BF0919" w:rsidP="0064280E">
            <w:pPr>
              <w:jc w:val="center"/>
              <w:rPr>
                <w:rFonts w:ascii="Times New Roman" w:hAnsi="Times New Roman" w:cs="Times New Roman"/>
                <w:sz w:val="18"/>
                <w:szCs w:val="18"/>
              </w:rPr>
            </w:pPr>
          </w:p>
        </w:tc>
        <w:tc>
          <w:tcPr>
            <w:tcW w:w="235" w:type="dxa"/>
            <w:vMerge/>
            <w:vAlign w:val="center"/>
          </w:tcPr>
          <w:p w14:paraId="46A7F2D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41B5694"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7D5420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B522330"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491CC7D2"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702AA5F8"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2F2DFD67"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125F17E3"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65240D2B" w14:textId="77777777" w:rsidR="00BF0919" w:rsidRPr="00962D42" w:rsidRDefault="00BF0919" w:rsidP="0064280E">
            <w:pPr>
              <w:jc w:val="center"/>
              <w:rPr>
                <w:rFonts w:ascii="Times New Roman" w:hAnsi="Times New Roman" w:cs="Times New Roman"/>
                <w:sz w:val="18"/>
                <w:szCs w:val="18"/>
              </w:rPr>
            </w:pPr>
          </w:p>
        </w:tc>
        <w:tc>
          <w:tcPr>
            <w:tcW w:w="236" w:type="dxa"/>
            <w:vMerge/>
            <w:vAlign w:val="center"/>
          </w:tcPr>
          <w:p w14:paraId="331A232F" w14:textId="77777777" w:rsidR="00BF0919" w:rsidRPr="00962D42" w:rsidRDefault="00BF0919" w:rsidP="0064280E">
            <w:pPr>
              <w:jc w:val="center"/>
              <w:rPr>
                <w:rFonts w:ascii="Times New Roman" w:hAnsi="Times New Roman" w:cs="Times New Roman"/>
                <w:sz w:val="18"/>
                <w:szCs w:val="18"/>
              </w:rPr>
            </w:pPr>
          </w:p>
        </w:tc>
        <w:tc>
          <w:tcPr>
            <w:tcW w:w="264" w:type="dxa"/>
            <w:vMerge/>
            <w:vAlign w:val="center"/>
          </w:tcPr>
          <w:p w14:paraId="0CC47F85"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695CC2B1" w14:textId="77777777" w:rsidR="00BF0919" w:rsidRPr="00962D42" w:rsidRDefault="00BF0919" w:rsidP="0064280E">
            <w:pPr>
              <w:jc w:val="center"/>
              <w:rPr>
                <w:rFonts w:ascii="Times New Roman" w:hAnsi="Times New Roman" w:cs="Times New Roman"/>
                <w:sz w:val="18"/>
                <w:szCs w:val="18"/>
              </w:rPr>
            </w:pPr>
          </w:p>
        </w:tc>
        <w:tc>
          <w:tcPr>
            <w:tcW w:w="246" w:type="dxa"/>
            <w:vMerge/>
            <w:vAlign w:val="center"/>
          </w:tcPr>
          <w:p w14:paraId="26A5F50A"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7B65A52"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39B3E5E3"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45871719" w14:textId="77777777" w:rsidR="00BF0919" w:rsidRPr="00962D42" w:rsidRDefault="00BF0919" w:rsidP="0064280E">
            <w:pPr>
              <w:jc w:val="center"/>
              <w:rPr>
                <w:rFonts w:ascii="Times New Roman" w:hAnsi="Times New Roman" w:cs="Times New Roman"/>
                <w:sz w:val="18"/>
                <w:szCs w:val="18"/>
              </w:rPr>
            </w:pPr>
          </w:p>
        </w:tc>
        <w:tc>
          <w:tcPr>
            <w:tcW w:w="223" w:type="dxa"/>
            <w:vMerge/>
            <w:vAlign w:val="center"/>
          </w:tcPr>
          <w:p w14:paraId="6A8DE78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60F92BBE"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52100D36" w14:textId="77777777" w:rsidR="00BF0919" w:rsidRPr="00962D42" w:rsidRDefault="00BF0919" w:rsidP="0064280E">
            <w:pPr>
              <w:jc w:val="center"/>
              <w:rPr>
                <w:rFonts w:ascii="Times New Roman" w:hAnsi="Times New Roman" w:cs="Times New Roman"/>
                <w:sz w:val="18"/>
                <w:szCs w:val="18"/>
              </w:rPr>
            </w:pPr>
          </w:p>
        </w:tc>
        <w:tc>
          <w:tcPr>
            <w:tcW w:w="213" w:type="dxa"/>
            <w:vMerge/>
            <w:vAlign w:val="center"/>
          </w:tcPr>
          <w:p w14:paraId="4CD7ADC1" w14:textId="77777777" w:rsidR="00BF0919" w:rsidRPr="00962D42" w:rsidRDefault="00BF0919" w:rsidP="0064280E">
            <w:pPr>
              <w:jc w:val="center"/>
              <w:rPr>
                <w:rFonts w:ascii="Times New Roman" w:hAnsi="Times New Roman" w:cs="Times New Roman"/>
                <w:sz w:val="18"/>
                <w:szCs w:val="18"/>
              </w:rPr>
            </w:pPr>
          </w:p>
        </w:tc>
        <w:tc>
          <w:tcPr>
            <w:tcW w:w="231" w:type="dxa"/>
            <w:vMerge/>
            <w:vAlign w:val="center"/>
          </w:tcPr>
          <w:p w14:paraId="0931967D" w14:textId="77777777" w:rsidR="00BF0919" w:rsidRPr="00962D42" w:rsidRDefault="00BF0919" w:rsidP="0064280E">
            <w:pPr>
              <w:jc w:val="center"/>
              <w:rPr>
                <w:rFonts w:ascii="Times New Roman" w:hAnsi="Times New Roman" w:cs="Times New Roman"/>
                <w:sz w:val="18"/>
                <w:szCs w:val="18"/>
              </w:rPr>
            </w:pPr>
          </w:p>
        </w:tc>
        <w:tc>
          <w:tcPr>
            <w:tcW w:w="438" w:type="dxa"/>
            <w:vMerge/>
            <w:vAlign w:val="center"/>
          </w:tcPr>
          <w:p w14:paraId="4E66F6ED" w14:textId="77777777" w:rsidR="00BF0919" w:rsidRPr="00962D42" w:rsidRDefault="00BF0919" w:rsidP="0064280E">
            <w:pPr>
              <w:jc w:val="center"/>
              <w:rPr>
                <w:rFonts w:ascii="Times New Roman" w:hAnsi="Times New Roman" w:cs="Times New Roman"/>
                <w:sz w:val="18"/>
                <w:szCs w:val="18"/>
              </w:rPr>
            </w:pPr>
          </w:p>
        </w:tc>
        <w:tc>
          <w:tcPr>
            <w:tcW w:w="369" w:type="dxa"/>
            <w:vMerge/>
            <w:vAlign w:val="center"/>
          </w:tcPr>
          <w:p w14:paraId="5F1BC0CE" w14:textId="77777777" w:rsidR="00BF0919" w:rsidRPr="00962D42" w:rsidRDefault="00BF0919" w:rsidP="0064280E">
            <w:pPr>
              <w:jc w:val="center"/>
              <w:rPr>
                <w:rFonts w:ascii="Times New Roman" w:hAnsi="Times New Roman" w:cs="Times New Roman"/>
                <w:sz w:val="18"/>
                <w:szCs w:val="18"/>
              </w:rPr>
            </w:pPr>
          </w:p>
        </w:tc>
        <w:tc>
          <w:tcPr>
            <w:tcW w:w="4031" w:type="dxa"/>
            <w:vMerge/>
            <w:vAlign w:val="center"/>
          </w:tcPr>
          <w:p w14:paraId="46C08F74" w14:textId="77777777" w:rsidR="00BF0919" w:rsidRPr="00E974BC" w:rsidRDefault="00BF0919" w:rsidP="0064280E">
            <w:pPr>
              <w:jc w:val="center"/>
              <w:rPr>
                <w:rFonts w:ascii="Times New Roman" w:hAnsi="Times New Roman" w:cs="Times New Roman"/>
                <w:sz w:val="16"/>
                <w:szCs w:val="16"/>
              </w:rPr>
            </w:pPr>
          </w:p>
        </w:tc>
        <w:tc>
          <w:tcPr>
            <w:tcW w:w="201" w:type="dxa"/>
            <w:vAlign w:val="center"/>
          </w:tcPr>
          <w:p w14:paraId="644C2F3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vAlign w:val="center"/>
          </w:tcPr>
          <w:p w14:paraId="59BBC477"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136CFCA0" w14:textId="77777777" w:rsidR="00BF0919" w:rsidRPr="00962D42" w:rsidRDefault="00BF0919" w:rsidP="0064280E">
            <w:pPr>
              <w:jc w:val="center"/>
              <w:rPr>
                <w:rFonts w:ascii="Times New Roman" w:hAnsi="Times New Roman" w:cs="Times New Roman"/>
                <w:sz w:val="18"/>
                <w:szCs w:val="18"/>
              </w:rPr>
            </w:pPr>
          </w:p>
        </w:tc>
        <w:tc>
          <w:tcPr>
            <w:tcW w:w="201" w:type="dxa"/>
            <w:vAlign w:val="center"/>
          </w:tcPr>
          <w:p w14:paraId="57242F1C" w14:textId="77777777" w:rsidR="00BF0919" w:rsidRPr="00962D42" w:rsidRDefault="00BF0919" w:rsidP="0064280E">
            <w:pPr>
              <w:jc w:val="center"/>
              <w:rPr>
                <w:rFonts w:ascii="Times New Roman" w:hAnsi="Times New Roman" w:cs="Times New Roman"/>
                <w:sz w:val="18"/>
                <w:szCs w:val="18"/>
              </w:rPr>
            </w:pPr>
          </w:p>
        </w:tc>
        <w:tc>
          <w:tcPr>
            <w:tcW w:w="167" w:type="dxa"/>
            <w:vAlign w:val="center"/>
          </w:tcPr>
          <w:p w14:paraId="22302CBA" w14:textId="77777777" w:rsidR="00BF0919" w:rsidRPr="00962D42" w:rsidRDefault="00BF0919" w:rsidP="0064280E">
            <w:pPr>
              <w:jc w:val="center"/>
              <w:rPr>
                <w:rFonts w:ascii="Times New Roman" w:hAnsi="Times New Roman" w:cs="Times New Roman"/>
                <w:sz w:val="18"/>
                <w:szCs w:val="18"/>
              </w:rPr>
            </w:pPr>
          </w:p>
        </w:tc>
      </w:tr>
      <w:tr w:rsidR="00BF0919" w:rsidRPr="0064723F" w14:paraId="42CF5B55" w14:textId="77777777" w:rsidTr="00A8541E">
        <w:trPr>
          <w:cantSplit/>
          <w:trHeight w:val="20"/>
          <w:jc w:val="center"/>
        </w:trPr>
        <w:tc>
          <w:tcPr>
            <w:tcW w:w="1057" w:type="dxa"/>
            <w:tcBorders>
              <w:bottom w:val="single" w:sz="4" w:space="0" w:color="auto"/>
            </w:tcBorders>
            <w:vAlign w:val="center"/>
            <w:hideMark/>
          </w:tcPr>
          <w:p w14:paraId="3B14CF39" w14:textId="77777777" w:rsidR="00BF0919" w:rsidRPr="00E974BC" w:rsidRDefault="00BF0919" w:rsidP="0064280E">
            <w:pPr>
              <w:jc w:val="center"/>
              <w:rPr>
                <w:rFonts w:ascii="Times New Roman" w:hAnsi="Times New Roman" w:cs="Times New Roman"/>
                <w:sz w:val="16"/>
                <w:szCs w:val="16"/>
              </w:rPr>
            </w:pPr>
            <w:r>
              <w:rPr>
                <w:rFonts w:ascii="Times New Roman" w:hAnsi="Times New Roman" w:cs="Times New Roman"/>
                <w:noProof/>
                <w:sz w:val="16"/>
                <w:szCs w:val="16"/>
              </w:rPr>
              <w:t>Dong (2018)</w:t>
            </w:r>
          </w:p>
        </w:tc>
        <w:tc>
          <w:tcPr>
            <w:tcW w:w="244" w:type="dxa"/>
            <w:tcBorders>
              <w:bottom w:val="single" w:sz="4" w:space="0" w:color="auto"/>
            </w:tcBorders>
            <w:vAlign w:val="center"/>
            <w:hideMark/>
          </w:tcPr>
          <w:p w14:paraId="285E83C4" w14:textId="77777777" w:rsidR="00BF0919" w:rsidRPr="00962D42" w:rsidRDefault="00BF0919" w:rsidP="0064280E">
            <w:pPr>
              <w:jc w:val="center"/>
              <w:rPr>
                <w:rFonts w:ascii="Times New Roman" w:hAnsi="Times New Roman" w:cs="Times New Roman"/>
                <w:sz w:val="18"/>
                <w:szCs w:val="18"/>
              </w:rPr>
            </w:pPr>
          </w:p>
        </w:tc>
        <w:tc>
          <w:tcPr>
            <w:tcW w:w="244" w:type="dxa"/>
            <w:tcBorders>
              <w:bottom w:val="single" w:sz="4" w:space="0" w:color="auto"/>
            </w:tcBorders>
            <w:vAlign w:val="center"/>
            <w:hideMark/>
          </w:tcPr>
          <w:p w14:paraId="4CF1C9AC" w14:textId="77777777" w:rsidR="00BF0919" w:rsidRPr="00962D42" w:rsidRDefault="00BF0919" w:rsidP="0064280E">
            <w:pPr>
              <w:jc w:val="center"/>
              <w:rPr>
                <w:rFonts w:ascii="Times New Roman" w:hAnsi="Times New Roman" w:cs="Times New Roman"/>
                <w:sz w:val="18"/>
                <w:szCs w:val="18"/>
              </w:rPr>
            </w:pPr>
          </w:p>
        </w:tc>
        <w:tc>
          <w:tcPr>
            <w:tcW w:w="244" w:type="dxa"/>
            <w:tcBorders>
              <w:bottom w:val="single" w:sz="4" w:space="0" w:color="auto"/>
            </w:tcBorders>
            <w:vAlign w:val="center"/>
            <w:hideMark/>
          </w:tcPr>
          <w:p w14:paraId="72D2B2A8" w14:textId="77777777" w:rsidR="00BF0919" w:rsidRPr="00962D42" w:rsidRDefault="00BF0919" w:rsidP="0064280E">
            <w:pPr>
              <w:jc w:val="center"/>
              <w:rPr>
                <w:rFonts w:ascii="Times New Roman" w:hAnsi="Times New Roman" w:cs="Times New Roman"/>
                <w:sz w:val="18"/>
                <w:szCs w:val="18"/>
              </w:rPr>
            </w:pPr>
          </w:p>
        </w:tc>
        <w:tc>
          <w:tcPr>
            <w:tcW w:w="244" w:type="dxa"/>
            <w:tcBorders>
              <w:bottom w:val="single" w:sz="4" w:space="0" w:color="auto"/>
            </w:tcBorders>
            <w:vAlign w:val="center"/>
            <w:hideMark/>
          </w:tcPr>
          <w:p w14:paraId="181CDBC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4" w:type="dxa"/>
            <w:tcBorders>
              <w:bottom w:val="single" w:sz="4" w:space="0" w:color="auto"/>
            </w:tcBorders>
            <w:vAlign w:val="center"/>
            <w:hideMark/>
          </w:tcPr>
          <w:p w14:paraId="26294295" w14:textId="77777777" w:rsidR="00BF0919" w:rsidRPr="00962D42" w:rsidRDefault="00BF0919" w:rsidP="0064280E">
            <w:pPr>
              <w:jc w:val="center"/>
              <w:rPr>
                <w:rFonts w:ascii="Times New Roman" w:hAnsi="Times New Roman" w:cs="Times New Roman"/>
                <w:sz w:val="18"/>
                <w:szCs w:val="18"/>
              </w:rPr>
            </w:pPr>
          </w:p>
        </w:tc>
        <w:tc>
          <w:tcPr>
            <w:tcW w:w="244" w:type="dxa"/>
            <w:tcBorders>
              <w:bottom w:val="single" w:sz="4" w:space="0" w:color="auto"/>
            </w:tcBorders>
            <w:vAlign w:val="center"/>
            <w:hideMark/>
          </w:tcPr>
          <w:p w14:paraId="17EC1251" w14:textId="77777777" w:rsidR="00BF0919" w:rsidRPr="00962D42" w:rsidRDefault="00BF0919" w:rsidP="0064280E">
            <w:pPr>
              <w:jc w:val="center"/>
              <w:rPr>
                <w:rFonts w:ascii="Times New Roman" w:hAnsi="Times New Roman" w:cs="Times New Roman"/>
                <w:sz w:val="18"/>
                <w:szCs w:val="18"/>
              </w:rPr>
            </w:pPr>
          </w:p>
        </w:tc>
        <w:tc>
          <w:tcPr>
            <w:tcW w:w="234" w:type="dxa"/>
            <w:tcBorders>
              <w:bottom w:val="single" w:sz="4" w:space="0" w:color="auto"/>
            </w:tcBorders>
            <w:vAlign w:val="center"/>
            <w:hideMark/>
          </w:tcPr>
          <w:p w14:paraId="56876C24" w14:textId="77777777" w:rsidR="00BF0919" w:rsidRPr="00962D42" w:rsidRDefault="00BF0919" w:rsidP="0064280E">
            <w:pPr>
              <w:jc w:val="center"/>
              <w:rPr>
                <w:rFonts w:ascii="Times New Roman" w:hAnsi="Times New Roman" w:cs="Times New Roman"/>
                <w:sz w:val="18"/>
                <w:szCs w:val="18"/>
              </w:rPr>
            </w:pPr>
          </w:p>
        </w:tc>
        <w:tc>
          <w:tcPr>
            <w:tcW w:w="235" w:type="dxa"/>
            <w:tcBorders>
              <w:bottom w:val="single" w:sz="4" w:space="0" w:color="auto"/>
            </w:tcBorders>
            <w:vAlign w:val="center"/>
            <w:hideMark/>
          </w:tcPr>
          <w:p w14:paraId="244C7C31" w14:textId="77777777" w:rsidR="00BF0919" w:rsidRPr="00962D42" w:rsidRDefault="00BF0919" w:rsidP="0064280E">
            <w:pPr>
              <w:jc w:val="center"/>
              <w:rPr>
                <w:rFonts w:ascii="Times New Roman" w:hAnsi="Times New Roman" w:cs="Times New Roman"/>
                <w:sz w:val="18"/>
                <w:szCs w:val="18"/>
              </w:rPr>
            </w:pPr>
          </w:p>
        </w:tc>
        <w:tc>
          <w:tcPr>
            <w:tcW w:w="235" w:type="dxa"/>
            <w:tcBorders>
              <w:bottom w:val="single" w:sz="4" w:space="0" w:color="auto"/>
            </w:tcBorders>
            <w:vAlign w:val="center"/>
            <w:hideMark/>
          </w:tcPr>
          <w:p w14:paraId="254538D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36" w:type="dxa"/>
            <w:tcBorders>
              <w:bottom w:val="single" w:sz="4" w:space="0" w:color="auto"/>
            </w:tcBorders>
            <w:vAlign w:val="center"/>
            <w:hideMark/>
          </w:tcPr>
          <w:p w14:paraId="6BA29686"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57758DA3"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53C782E6"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27F5A5D8"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15E825B7"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05FB9395"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1F597427"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45C9B869" w14:textId="77777777" w:rsidR="00BF0919" w:rsidRPr="00962D42" w:rsidRDefault="00BF0919" w:rsidP="0064280E">
            <w:pPr>
              <w:jc w:val="center"/>
              <w:rPr>
                <w:rFonts w:ascii="Times New Roman" w:hAnsi="Times New Roman" w:cs="Times New Roman"/>
                <w:sz w:val="18"/>
                <w:szCs w:val="18"/>
              </w:rPr>
            </w:pPr>
          </w:p>
        </w:tc>
        <w:tc>
          <w:tcPr>
            <w:tcW w:w="236" w:type="dxa"/>
            <w:tcBorders>
              <w:bottom w:val="single" w:sz="4" w:space="0" w:color="auto"/>
            </w:tcBorders>
            <w:vAlign w:val="center"/>
            <w:hideMark/>
          </w:tcPr>
          <w:p w14:paraId="66B46F7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64" w:type="dxa"/>
            <w:tcBorders>
              <w:bottom w:val="single" w:sz="4" w:space="0" w:color="auto"/>
            </w:tcBorders>
            <w:vAlign w:val="center"/>
            <w:hideMark/>
          </w:tcPr>
          <w:p w14:paraId="3325ABA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46" w:type="dxa"/>
            <w:tcBorders>
              <w:bottom w:val="single" w:sz="4" w:space="0" w:color="auto"/>
            </w:tcBorders>
            <w:vAlign w:val="center"/>
            <w:hideMark/>
          </w:tcPr>
          <w:p w14:paraId="4736398C" w14:textId="77777777" w:rsidR="00BF0919" w:rsidRPr="00962D42" w:rsidRDefault="00BF0919" w:rsidP="0064280E">
            <w:pPr>
              <w:jc w:val="center"/>
              <w:rPr>
                <w:rFonts w:ascii="Times New Roman" w:hAnsi="Times New Roman" w:cs="Times New Roman"/>
                <w:sz w:val="18"/>
                <w:szCs w:val="18"/>
              </w:rPr>
            </w:pPr>
          </w:p>
        </w:tc>
        <w:tc>
          <w:tcPr>
            <w:tcW w:w="246" w:type="dxa"/>
            <w:tcBorders>
              <w:bottom w:val="single" w:sz="4" w:space="0" w:color="auto"/>
            </w:tcBorders>
            <w:vAlign w:val="center"/>
            <w:hideMark/>
          </w:tcPr>
          <w:p w14:paraId="064A8595" w14:textId="77777777" w:rsidR="00BF0919" w:rsidRPr="00962D42" w:rsidRDefault="00BF0919" w:rsidP="0064280E">
            <w:pPr>
              <w:jc w:val="center"/>
              <w:rPr>
                <w:rFonts w:ascii="Times New Roman" w:hAnsi="Times New Roman" w:cs="Times New Roman"/>
                <w:sz w:val="18"/>
                <w:szCs w:val="18"/>
              </w:rPr>
            </w:pPr>
          </w:p>
        </w:tc>
        <w:tc>
          <w:tcPr>
            <w:tcW w:w="223" w:type="dxa"/>
            <w:tcBorders>
              <w:bottom w:val="single" w:sz="4" w:space="0" w:color="auto"/>
            </w:tcBorders>
            <w:vAlign w:val="center"/>
            <w:hideMark/>
          </w:tcPr>
          <w:p w14:paraId="73F350CF" w14:textId="77777777" w:rsidR="00BF0919" w:rsidRPr="00962D42" w:rsidRDefault="00BF0919" w:rsidP="0064280E">
            <w:pPr>
              <w:jc w:val="center"/>
              <w:rPr>
                <w:rFonts w:ascii="Times New Roman" w:hAnsi="Times New Roman" w:cs="Times New Roman"/>
                <w:sz w:val="18"/>
                <w:szCs w:val="18"/>
              </w:rPr>
            </w:pPr>
          </w:p>
        </w:tc>
        <w:tc>
          <w:tcPr>
            <w:tcW w:w="223" w:type="dxa"/>
            <w:tcBorders>
              <w:bottom w:val="single" w:sz="4" w:space="0" w:color="auto"/>
            </w:tcBorders>
            <w:vAlign w:val="center"/>
            <w:hideMark/>
          </w:tcPr>
          <w:p w14:paraId="5870116E" w14:textId="77777777" w:rsidR="00BF0919" w:rsidRPr="00962D42" w:rsidRDefault="00BF0919" w:rsidP="0064280E">
            <w:pPr>
              <w:jc w:val="center"/>
              <w:rPr>
                <w:rFonts w:ascii="Times New Roman" w:hAnsi="Times New Roman" w:cs="Times New Roman"/>
                <w:sz w:val="18"/>
                <w:szCs w:val="18"/>
              </w:rPr>
            </w:pPr>
          </w:p>
        </w:tc>
        <w:tc>
          <w:tcPr>
            <w:tcW w:w="223" w:type="dxa"/>
            <w:tcBorders>
              <w:bottom w:val="single" w:sz="4" w:space="0" w:color="auto"/>
            </w:tcBorders>
            <w:vAlign w:val="center"/>
            <w:hideMark/>
          </w:tcPr>
          <w:p w14:paraId="5E59891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23" w:type="dxa"/>
            <w:tcBorders>
              <w:bottom w:val="single" w:sz="4" w:space="0" w:color="auto"/>
            </w:tcBorders>
            <w:vAlign w:val="center"/>
            <w:hideMark/>
          </w:tcPr>
          <w:p w14:paraId="2BED3948" w14:textId="77777777" w:rsidR="00BF0919" w:rsidRPr="00962D42" w:rsidRDefault="00BF0919" w:rsidP="0064280E">
            <w:pPr>
              <w:jc w:val="center"/>
              <w:rPr>
                <w:rFonts w:ascii="Times New Roman" w:hAnsi="Times New Roman" w:cs="Times New Roman"/>
                <w:sz w:val="18"/>
                <w:szCs w:val="18"/>
              </w:rPr>
            </w:pPr>
          </w:p>
        </w:tc>
        <w:tc>
          <w:tcPr>
            <w:tcW w:w="213" w:type="dxa"/>
            <w:tcBorders>
              <w:bottom w:val="single" w:sz="4" w:space="0" w:color="auto"/>
            </w:tcBorders>
            <w:vAlign w:val="center"/>
          </w:tcPr>
          <w:p w14:paraId="46BB57A5" w14:textId="77777777" w:rsidR="00BF0919" w:rsidRPr="00962D42" w:rsidRDefault="00BF0919" w:rsidP="0064280E">
            <w:pPr>
              <w:jc w:val="center"/>
              <w:rPr>
                <w:rFonts w:ascii="Times New Roman" w:hAnsi="Times New Roman" w:cs="Times New Roman"/>
                <w:sz w:val="18"/>
                <w:szCs w:val="18"/>
              </w:rPr>
            </w:pPr>
          </w:p>
        </w:tc>
        <w:tc>
          <w:tcPr>
            <w:tcW w:w="213" w:type="dxa"/>
            <w:tcBorders>
              <w:bottom w:val="single" w:sz="4" w:space="0" w:color="auto"/>
            </w:tcBorders>
            <w:vAlign w:val="center"/>
          </w:tcPr>
          <w:p w14:paraId="1C1E42A4" w14:textId="77777777" w:rsidR="00BF0919" w:rsidRPr="00962D42" w:rsidRDefault="00BF0919" w:rsidP="0064280E">
            <w:pPr>
              <w:jc w:val="center"/>
              <w:rPr>
                <w:rFonts w:ascii="Times New Roman" w:hAnsi="Times New Roman" w:cs="Times New Roman"/>
                <w:sz w:val="18"/>
                <w:szCs w:val="18"/>
              </w:rPr>
            </w:pPr>
          </w:p>
        </w:tc>
        <w:tc>
          <w:tcPr>
            <w:tcW w:w="213" w:type="dxa"/>
            <w:tcBorders>
              <w:bottom w:val="single" w:sz="4" w:space="0" w:color="auto"/>
            </w:tcBorders>
            <w:vAlign w:val="center"/>
            <w:hideMark/>
          </w:tcPr>
          <w:p w14:paraId="4FEF3E0E" w14:textId="77777777" w:rsidR="00BF0919" w:rsidRPr="00962D42" w:rsidRDefault="00BF0919" w:rsidP="0064280E">
            <w:pPr>
              <w:jc w:val="center"/>
              <w:rPr>
                <w:rFonts w:ascii="Times New Roman" w:hAnsi="Times New Roman" w:cs="Times New Roman"/>
                <w:sz w:val="18"/>
                <w:szCs w:val="18"/>
              </w:rPr>
            </w:pPr>
          </w:p>
        </w:tc>
        <w:tc>
          <w:tcPr>
            <w:tcW w:w="231" w:type="dxa"/>
            <w:tcBorders>
              <w:bottom w:val="single" w:sz="4" w:space="0" w:color="auto"/>
            </w:tcBorders>
            <w:vAlign w:val="center"/>
            <w:hideMark/>
          </w:tcPr>
          <w:p w14:paraId="282C8CE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38" w:type="dxa"/>
            <w:tcBorders>
              <w:bottom w:val="single" w:sz="4" w:space="0" w:color="auto"/>
            </w:tcBorders>
            <w:vAlign w:val="center"/>
            <w:hideMark/>
          </w:tcPr>
          <w:p w14:paraId="50276B3D"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369" w:type="dxa"/>
            <w:tcBorders>
              <w:bottom w:val="single" w:sz="4" w:space="0" w:color="auto"/>
            </w:tcBorders>
            <w:vAlign w:val="center"/>
            <w:hideMark/>
          </w:tcPr>
          <w:p w14:paraId="1349E8C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4031" w:type="dxa"/>
            <w:tcBorders>
              <w:bottom w:val="single" w:sz="4" w:space="0" w:color="auto"/>
            </w:tcBorders>
            <w:vAlign w:val="center"/>
            <w:hideMark/>
          </w:tcPr>
          <w:p w14:paraId="1573665F"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tcBorders>
              <w:bottom w:val="single" w:sz="4" w:space="0" w:color="auto"/>
            </w:tcBorders>
            <w:vAlign w:val="center"/>
          </w:tcPr>
          <w:p w14:paraId="072B02B6" w14:textId="77777777" w:rsidR="00BF0919" w:rsidRPr="00962D42" w:rsidRDefault="00BF0919" w:rsidP="0064280E">
            <w:pPr>
              <w:jc w:val="center"/>
              <w:rPr>
                <w:rFonts w:ascii="Times New Roman" w:hAnsi="Times New Roman" w:cs="Times New Roman"/>
                <w:sz w:val="18"/>
                <w:szCs w:val="18"/>
              </w:rPr>
            </w:pPr>
          </w:p>
        </w:tc>
        <w:tc>
          <w:tcPr>
            <w:tcW w:w="201" w:type="dxa"/>
            <w:tcBorders>
              <w:bottom w:val="single" w:sz="4" w:space="0" w:color="auto"/>
            </w:tcBorders>
            <w:vAlign w:val="center"/>
            <w:hideMark/>
          </w:tcPr>
          <w:p w14:paraId="1813BC7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x</w:t>
            </w:r>
          </w:p>
        </w:tc>
        <w:tc>
          <w:tcPr>
            <w:tcW w:w="201" w:type="dxa"/>
            <w:tcBorders>
              <w:bottom w:val="single" w:sz="4" w:space="0" w:color="auto"/>
            </w:tcBorders>
            <w:vAlign w:val="center"/>
            <w:hideMark/>
          </w:tcPr>
          <w:p w14:paraId="4830D0A1" w14:textId="77777777" w:rsidR="00BF0919" w:rsidRPr="00962D42" w:rsidRDefault="00BF0919" w:rsidP="0064280E">
            <w:pPr>
              <w:jc w:val="center"/>
              <w:rPr>
                <w:rFonts w:ascii="Times New Roman" w:hAnsi="Times New Roman" w:cs="Times New Roman"/>
                <w:sz w:val="18"/>
                <w:szCs w:val="18"/>
              </w:rPr>
            </w:pPr>
          </w:p>
        </w:tc>
        <w:tc>
          <w:tcPr>
            <w:tcW w:w="201" w:type="dxa"/>
            <w:tcBorders>
              <w:bottom w:val="single" w:sz="4" w:space="0" w:color="auto"/>
            </w:tcBorders>
            <w:vAlign w:val="center"/>
            <w:hideMark/>
          </w:tcPr>
          <w:p w14:paraId="13C09652" w14:textId="77777777" w:rsidR="00BF0919" w:rsidRPr="00962D42" w:rsidRDefault="00BF0919" w:rsidP="0064280E">
            <w:pPr>
              <w:jc w:val="center"/>
              <w:rPr>
                <w:rFonts w:ascii="Times New Roman" w:hAnsi="Times New Roman" w:cs="Times New Roman"/>
                <w:sz w:val="18"/>
                <w:szCs w:val="18"/>
              </w:rPr>
            </w:pPr>
          </w:p>
        </w:tc>
        <w:tc>
          <w:tcPr>
            <w:tcW w:w="167" w:type="dxa"/>
            <w:tcBorders>
              <w:bottom w:val="single" w:sz="4" w:space="0" w:color="auto"/>
            </w:tcBorders>
            <w:vAlign w:val="center"/>
            <w:hideMark/>
          </w:tcPr>
          <w:p w14:paraId="5E53757E" w14:textId="77777777" w:rsidR="00BF0919" w:rsidRPr="00962D42" w:rsidRDefault="00BF0919" w:rsidP="0064280E">
            <w:pPr>
              <w:jc w:val="center"/>
              <w:rPr>
                <w:rFonts w:ascii="Times New Roman" w:hAnsi="Times New Roman" w:cs="Times New Roman"/>
                <w:sz w:val="18"/>
                <w:szCs w:val="18"/>
              </w:rPr>
            </w:pPr>
          </w:p>
        </w:tc>
      </w:tr>
      <w:tr w:rsidR="00BF0919" w:rsidRPr="00192369" w14:paraId="68357571" w14:textId="77777777" w:rsidTr="00A8541E">
        <w:trPr>
          <w:cantSplit/>
          <w:trHeight w:val="20"/>
          <w:jc w:val="center"/>
        </w:trPr>
        <w:tc>
          <w:tcPr>
            <w:tcW w:w="1057" w:type="dxa"/>
            <w:vMerge w:val="restart"/>
            <w:tcBorders>
              <w:top w:val="single" w:sz="4" w:space="0" w:color="auto"/>
            </w:tcBorders>
            <w:vAlign w:val="center"/>
          </w:tcPr>
          <w:p w14:paraId="27EFAFAF" w14:textId="77777777" w:rsidR="00BF0919" w:rsidRPr="00E974BC" w:rsidRDefault="00BF0919" w:rsidP="0064280E">
            <w:pPr>
              <w:jc w:val="center"/>
              <w:rPr>
                <w:rFonts w:ascii="Times New Roman" w:hAnsi="Times New Roman" w:cs="Times New Roman"/>
                <w:sz w:val="16"/>
                <w:szCs w:val="16"/>
              </w:rPr>
            </w:pPr>
            <w:r w:rsidRPr="00A21754">
              <w:rPr>
                <w:rFonts w:ascii="Times New Roman" w:eastAsia="等线" w:hAnsi="Times New Roman" w:cs="Times New Roman"/>
                <w:sz w:val="16"/>
                <w:szCs w:val="16"/>
                <w:lang w:val="en-GB"/>
              </w:rPr>
              <w:t>Frequency</w:t>
            </w:r>
          </w:p>
        </w:tc>
        <w:tc>
          <w:tcPr>
            <w:tcW w:w="244" w:type="dxa"/>
            <w:vMerge w:val="restart"/>
            <w:tcBorders>
              <w:top w:val="single" w:sz="4" w:space="0" w:color="auto"/>
            </w:tcBorders>
            <w:vAlign w:val="center"/>
          </w:tcPr>
          <w:p w14:paraId="3133A45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35</w:t>
            </w:r>
          </w:p>
        </w:tc>
        <w:tc>
          <w:tcPr>
            <w:tcW w:w="244" w:type="dxa"/>
            <w:vMerge w:val="restart"/>
            <w:tcBorders>
              <w:top w:val="single" w:sz="4" w:space="0" w:color="auto"/>
            </w:tcBorders>
            <w:vAlign w:val="center"/>
          </w:tcPr>
          <w:p w14:paraId="253385C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6</w:t>
            </w:r>
          </w:p>
        </w:tc>
        <w:tc>
          <w:tcPr>
            <w:tcW w:w="244" w:type="dxa"/>
            <w:vMerge w:val="restart"/>
            <w:tcBorders>
              <w:top w:val="single" w:sz="4" w:space="0" w:color="auto"/>
            </w:tcBorders>
            <w:vAlign w:val="center"/>
          </w:tcPr>
          <w:p w14:paraId="44A0E32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44" w:type="dxa"/>
            <w:vMerge w:val="restart"/>
            <w:tcBorders>
              <w:top w:val="single" w:sz="4" w:space="0" w:color="auto"/>
            </w:tcBorders>
            <w:vAlign w:val="center"/>
          </w:tcPr>
          <w:p w14:paraId="6B3785F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9</w:t>
            </w:r>
          </w:p>
        </w:tc>
        <w:tc>
          <w:tcPr>
            <w:tcW w:w="244" w:type="dxa"/>
            <w:vMerge w:val="restart"/>
            <w:tcBorders>
              <w:top w:val="single" w:sz="4" w:space="0" w:color="auto"/>
            </w:tcBorders>
            <w:vAlign w:val="center"/>
          </w:tcPr>
          <w:p w14:paraId="4C1C42E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44" w:type="dxa"/>
            <w:vMerge w:val="restart"/>
            <w:tcBorders>
              <w:top w:val="single" w:sz="4" w:space="0" w:color="auto"/>
            </w:tcBorders>
            <w:vAlign w:val="center"/>
          </w:tcPr>
          <w:p w14:paraId="733F8BD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34" w:type="dxa"/>
            <w:vMerge w:val="restart"/>
            <w:tcBorders>
              <w:top w:val="single" w:sz="4" w:space="0" w:color="auto"/>
            </w:tcBorders>
            <w:vAlign w:val="center"/>
          </w:tcPr>
          <w:p w14:paraId="67E4442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9</w:t>
            </w:r>
          </w:p>
        </w:tc>
        <w:tc>
          <w:tcPr>
            <w:tcW w:w="235" w:type="dxa"/>
            <w:vMerge w:val="restart"/>
            <w:tcBorders>
              <w:top w:val="single" w:sz="4" w:space="0" w:color="auto"/>
            </w:tcBorders>
            <w:vAlign w:val="center"/>
          </w:tcPr>
          <w:p w14:paraId="3B170A4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41</w:t>
            </w:r>
          </w:p>
        </w:tc>
        <w:tc>
          <w:tcPr>
            <w:tcW w:w="235" w:type="dxa"/>
            <w:vMerge w:val="restart"/>
            <w:tcBorders>
              <w:top w:val="single" w:sz="4" w:space="0" w:color="auto"/>
            </w:tcBorders>
            <w:vAlign w:val="center"/>
          </w:tcPr>
          <w:p w14:paraId="7DF2CAB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8</w:t>
            </w:r>
          </w:p>
        </w:tc>
        <w:tc>
          <w:tcPr>
            <w:tcW w:w="236" w:type="dxa"/>
            <w:vMerge w:val="restart"/>
            <w:tcBorders>
              <w:top w:val="single" w:sz="4" w:space="0" w:color="auto"/>
            </w:tcBorders>
            <w:vAlign w:val="center"/>
          </w:tcPr>
          <w:p w14:paraId="6656D44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10</w:t>
            </w:r>
          </w:p>
        </w:tc>
        <w:tc>
          <w:tcPr>
            <w:tcW w:w="236" w:type="dxa"/>
            <w:vMerge w:val="restart"/>
            <w:tcBorders>
              <w:top w:val="single" w:sz="4" w:space="0" w:color="auto"/>
            </w:tcBorders>
            <w:vAlign w:val="center"/>
          </w:tcPr>
          <w:p w14:paraId="2C1A518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24</w:t>
            </w:r>
          </w:p>
        </w:tc>
        <w:tc>
          <w:tcPr>
            <w:tcW w:w="236" w:type="dxa"/>
            <w:vMerge w:val="restart"/>
            <w:tcBorders>
              <w:top w:val="single" w:sz="4" w:space="0" w:color="auto"/>
            </w:tcBorders>
            <w:vAlign w:val="center"/>
          </w:tcPr>
          <w:p w14:paraId="08B6888E"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16</w:t>
            </w:r>
          </w:p>
        </w:tc>
        <w:tc>
          <w:tcPr>
            <w:tcW w:w="236" w:type="dxa"/>
            <w:vMerge w:val="restart"/>
            <w:tcBorders>
              <w:top w:val="single" w:sz="4" w:space="0" w:color="auto"/>
            </w:tcBorders>
            <w:vAlign w:val="center"/>
          </w:tcPr>
          <w:p w14:paraId="5DA1614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4</w:t>
            </w:r>
          </w:p>
        </w:tc>
        <w:tc>
          <w:tcPr>
            <w:tcW w:w="236" w:type="dxa"/>
            <w:vMerge w:val="restart"/>
            <w:tcBorders>
              <w:top w:val="single" w:sz="4" w:space="0" w:color="auto"/>
            </w:tcBorders>
            <w:vAlign w:val="center"/>
          </w:tcPr>
          <w:p w14:paraId="131D319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7</w:t>
            </w:r>
          </w:p>
        </w:tc>
        <w:tc>
          <w:tcPr>
            <w:tcW w:w="236" w:type="dxa"/>
            <w:vMerge w:val="restart"/>
            <w:tcBorders>
              <w:top w:val="single" w:sz="4" w:space="0" w:color="auto"/>
            </w:tcBorders>
            <w:vAlign w:val="center"/>
          </w:tcPr>
          <w:p w14:paraId="6204370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15</w:t>
            </w:r>
          </w:p>
        </w:tc>
        <w:tc>
          <w:tcPr>
            <w:tcW w:w="236" w:type="dxa"/>
            <w:vMerge w:val="restart"/>
            <w:tcBorders>
              <w:top w:val="single" w:sz="4" w:space="0" w:color="auto"/>
            </w:tcBorders>
            <w:vAlign w:val="center"/>
          </w:tcPr>
          <w:p w14:paraId="56C1260C"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36" w:type="dxa"/>
            <w:vMerge w:val="restart"/>
            <w:tcBorders>
              <w:top w:val="single" w:sz="4" w:space="0" w:color="auto"/>
            </w:tcBorders>
            <w:vAlign w:val="center"/>
          </w:tcPr>
          <w:p w14:paraId="4ADD6DE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16</w:t>
            </w:r>
          </w:p>
        </w:tc>
        <w:tc>
          <w:tcPr>
            <w:tcW w:w="236" w:type="dxa"/>
            <w:vMerge w:val="restart"/>
            <w:tcBorders>
              <w:top w:val="single" w:sz="4" w:space="0" w:color="auto"/>
            </w:tcBorders>
            <w:vAlign w:val="center"/>
          </w:tcPr>
          <w:p w14:paraId="2BCE251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8</w:t>
            </w:r>
          </w:p>
        </w:tc>
        <w:tc>
          <w:tcPr>
            <w:tcW w:w="264" w:type="dxa"/>
            <w:vMerge w:val="restart"/>
            <w:tcBorders>
              <w:top w:val="single" w:sz="4" w:space="0" w:color="auto"/>
            </w:tcBorders>
            <w:vAlign w:val="center"/>
          </w:tcPr>
          <w:p w14:paraId="1E70B11A"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44</w:t>
            </w:r>
          </w:p>
        </w:tc>
        <w:tc>
          <w:tcPr>
            <w:tcW w:w="246" w:type="dxa"/>
            <w:vMerge w:val="restart"/>
            <w:tcBorders>
              <w:top w:val="single" w:sz="4" w:space="0" w:color="auto"/>
            </w:tcBorders>
            <w:vAlign w:val="center"/>
          </w:tcPr>
          <w:p w14:paraId="6447079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18</w:t>
            </w:r>
          </w:p>
        </w:tc>
        <w:tc>
          <w:tcPr>
            <w:tcW w:w="246" w:type="dxa"/>
            <w:vMerge w:val="restart"/>
            <w:tcBorders>
              <w:top w:val="single" w:sz="4" w:space="0" w:color="auto"/>
            </w:tcBorders>
            <w:vAlign w:val="center"/>
          </w:tcPr>
          <w:p w14:paraId="13FA065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4</w:t>
            </w:r>
          </w:p>
        </w:tc>
        <w:tc>
          <w:tcPr>
            <w:tcW w:w="223" w:type="dxa"/>
            <w:vMerge w:val="restart"/>
            <w:tcBorders>
              <w:top w:val="single" w:sz="4" w:space="0" w:color="auto"/>
            </w:tcBorders>
            <w:vAlign w:val="center"/>
          </w:tcPr>
          <w:p w14:paraId="79D20813"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50</w:t>
            </w:r>
          </w:p>
        </w:tc>
        <w:tc>
          <w:tcPr>
            <w:tcW w:w="223" w:type="dxa"/>
            <w:vMerge w:val="restart"/>
            <w:tcBorders>
              <w:top w:val="single" w:sz="4" w:space="0" w:color="auto"/>
            </w:tcBorders>
            <w:vAlign w:val="center"/>
          </w:tcPr>
          <w:p w14:paraId="098CC441"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7</w:t>
            </w:r>
          </w:p>
        </w:tc>
        <w:tc>
          <w:tcPr>
            <w:tcW w:w="223" w:type="dxa"/>
            <w:vMerge w:val="restart"/>
            <w:tcBorders>
              <w:top w:val="single" w:sz="4" w:space="0" w:color="auto"/>
            </w:tcBorders>
            <w:vAlign w:val="center"/>
          </w:tcPr>
          <w:p w14:paraId="7851B51F"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9</w:t>
            </w:r>
          </w:p>
        </w:tc>
        <w:tc>
          <w:tcPr>
            <w:tcW w:w="223" w:type="dxa"/>
            <w:vMerge w:val="restart"/>
            <w:tcBorders>
              <w:top w:val="single" w:sz="4" w:space="0" w:color="auto"/>
            </w:tcBorders>
            <w:vAlign w:val="center"/>
          </w:tcPr>
          <w:p w14:paraId="719E595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13" w:type="dxa"/>
            <w:vMerge w:val="restart"/>
            <w:tcBorders>
              <w:top w:val="single" w:sz="4" w:space="0" w:color="auto"/>
            </w:tcBorders>
            <w:vAlign w:val="center"/>
          </w:tcPr>
          <w:p w14:paraId="62D6AB88"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10</w:t>
            </w:r>
          </w:p>
        </w:tc>
        <w:tc>
          <w:tcPr>
            <w:tcW w:w="213" w:type="dxa"/>
            <w:vMerge w:val="restart"/>
            <w:tcBorders>
              <w:top w:val="single" w:sz="4" w:space="0" w:color="auto"/>
            </w:tcBorders>
            <w:vAlign w:val="center"/>
          </w:tcPr>
          <w:p w14:paraId="607F788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w:t>
            </w:r>
          </w:p>
        </w:tc>
        <w:tc>
          <w:tcPr>
            <w:tcW w:w="213" w:type="dxa"/>
            <w:vMerge w:val="restart"/>
            <w:tcBorders>
              <w:top w:val="single" w:sz="4" w:space="0" w:color="auto"/>
            </w:tcBorders>
            <w:vAlign w:val="center"/>
          </w:tcPr>
          <w:p w14:paraId="153F405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19</w:t>
            </w:r>
          </w:p>
        </w:tc>
        <w:tc>
          <w:tcPr>
            <w:tcW w:w="231" w:type="dxa"/>
            <w:vMerge w:val="restart"/>
            <w:tcBorders>
              <w:top w:val="single" w:sz="4" w:space="0" w:color="auto"/>
            </w:tcBorders>
            <w:vAlign w:val="center"/>
          </w:tcPr>
          <w:p w14:paraId="3693072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65</w:t>
            </w:r>
          </w:p>
        </w:tc>
        <w:tc>
          <w:tcPr>
            <w:tcW w:w="438" w:type="dxa"/>
            <w:vMerge w:val="restart"/>
            <w:tcBorders>
              <w:top w:val="single" w:sz="4" w:space="0" w:color="auto"/>
            </w:tcBorders>
            <w:vAlign w:val="center"/>
          </w:tcPr>
          <w:p w14:paraId="4186C8C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65</w:t>
            </w:r>
          </w:p>
        </w:tc>
        <w:tc>
          <w:tcPr>
            <w:tcW w:w="369" w:type="dxa"/>
            <w:vMerge w:val="restart"/>
            <w:tcBorders>
              <w:top w:val="single" w:sz="4" w:space="0" w:color="auto"/>
            </w:tcBorders>
            <w:vAlign w:val="center"/>
          </w:tcPr>
          <w:p w14:paraId="6AD03634"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51</w:t>
            </w:r>
          </w:p>
        </w:tc>
        <w:tc>
          <w:tcPr>
            <w:tcW w:w="4031" w:type="dxa"/>
            <w:vMerge w:val="restart"/>
            <w:tcBorders>
              <w:top w:val="single" w:sz="4" w:space="0" w:color="auto"/>
            </w:tcBorders>
            <w:vAlign w:val="center"/>
          </w:tcPr>
          <w:p w14:paraId="50BC5B88" w14:textId="77777777" w:rsidR="00BF0919" w:rsidRPr="00E974BC" w:rsidRDefault="00BF0919" w:rsidP="0064280E">
            <w:pPr>
              <w:jc w:val="center"/>
              <w:rPr>
                <w:rFonts w:ascii="Times New Roman" w:hAnsi="Times New Roman" w:cs="Times New Roman"/>
                <w:sz w:val="16"/>
                <w:szCs w:val="16"/>
              </w:rPr>
            </w:pPr>
            <w:r w:rsidRPr="00A21754">
              <w:rPr>
                <w:rFonts w:ascii="Times New Roman" w:hAnsi="Times New Roman" w:cs="Times New Roman"/>
                <w:sz w:val="16"/>
                <w:szCs w:val="16"/>
              </w:rPr>
              <w:t>NA</w:t>
            </w:r>
          </w:p>
        </w:tc>
        <w:tc>
          <w:tcPr>
            <w:tcW w:w="201" w:type="dxa"/>
            <w:tcBorders>
              <w:top w:val="single" w:sz="4" w:space="0" w:color="auto"/>
              <w:bottom w:val="single" w:sz="4" w:space="0" w:color="auto"/>
            </w:tcBorders>
            <w:vAlign w:val="center"/>
          </w:tcPr>
          <w:p w14:paraId="651046F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45</w:t>
            </w:r>
          </w:p>
        </w:tc>
        <w:tc>
          <w:tcPr>
            <w:tcW w:w="201" w:type="dxa"/>
            <w:tcBorders>
              <w:top w:val="single" w:sz="4" w:space="0" w:color="auto"/>
              <w:bottom w:val="single" w:sz="4" w:space="0" w:color="auto"/>
            </w:tcBorders>
            <w:vAlign w:val="center"/>
          </w:tcPr>
          <w:p w14:paraId="3C7EAA4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39</w:t>
            </w:r>
          </w:p>
        </w:tc>
        <w:tc>
          <w:tcPr>
            <w:tcW w:w="201" w:type="dxa"/>
            <w:tcBorders>
              <w:top w:val="single" w:sz="4" w:space="0" w:color="auto"/>
              <w:bottom w:val="single" w:sz="4" w:space="0" w:color="auto"/>
            </w:tcBorders>
            <w:vAlign w:val="center"/>
          </w:tcPr>
          <w:p w14:paraId="62562826" w14:textId="77777777" w:rsidR="00BF0919" w:rsidRPr="00962D42" w:rsidRDefault="00BF0919" w:rsidP="0064280E">
            <w:pPr>
              <w:rPr>
                <w:rFonts w:ascii="Times New Roman" w:hAnsi="Times New Roman" w:cs="Times New Roman"/>
                <w:sz w:val="18"/>
                <w:szCs w:val="18"/>
              </w:rPr>
            </w:pPr>
            <w:r w:rsidRPr="00962D42">
              <w:rPr>
                <w:rFonts w:ascii="Times New Roman" w:hAnsi="Times New Roman" w:cs="Times New Roman"/>
                <w:sz w:val="18"/>
                <w:szCs w:val="18"/>
              </w:rPr>
              <w:t>24</w:t>
            </w:r>
          </w:p>
        </w:tc>
        <w:tc>
          <w:tcPr>
            <w:tcW w:w="201" w:type="dxa"/>
            <w:tcBorders>
              <w:top w:val="single" w:sz="4" w:space="0" w:color="auto"/>
              <w:bottom w:val="single" w:sz="4" w:space="0" w:color="auto"/>
            </w:tcBorders>
            <w:vAlign w:val="center"/>
          </w:tcPr>
          <w:p w14:paraId="1E4F1DE9"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12</w:t>
            </w:r>
          </w:p>
        </w:tc>
        <w:tc>
          <w:tcPr>
            <w:tcW w:w="167" w:type="dxa"/>
            <w:tcBorders>
              <w:top w:val="single" w:sz="4" w:space="0" w:color="auto"/>
              <w:bottom w:val="single" w:sz="4" w:space="0" w:color="auto"/>
            </w:tcBorders>
            <w:vAlign w:val="center"/>
          </w:tcPr>
          <w:p w14:paraId="5C3B40E5"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0</w:t>
            </w:r>
          </w:p>
        </w:tc>
      </w:tr>
      <w:tr w:rsidR="00BF0919" w:rsidRPr="00192369" w14:paraId="2AEE9030" w14:textId="77777777" w:rsidTr="00A8541E">
        <w:trPr>
          <w:cantSplit/>
          <w:trHeight w:val="20"/>
          <w:jc w:val="center"/>
        </w:trPr>
        <w:tc>
          <w:tcPr>
            <w:tcW w:w="1057" w:type="dxa"/>
            <w:vMerge/>
            <w:tcBorders>
              <w:bottom w:val="single" w:sz="4" w:space="0" w:color="auto"/>
            </w:tcBorders>
            <w:vAlign w:val="center"/>
          </w:tcPr>
          <w:p w14:paraId="65E7719A" w14:textId="77777777" w:rsidR="00BF0919" w:rsidRPr="00962D42" w:rsidRDefault="00BF0919" w:rsidP="0064280E">
            <w:pPr>
              <w:jc w:val="center"/>
              <w:rPr>
                <w:rFonts w:ascii="Times New Roman" w:eastAsia="等线" w:hAnsi="Times New Roman" w:cs="Times New Roman"/>
                <w:sz w:val="18"/>
                <w:szCs w:val="18"/>
                <w:lang w:val="en-GB"/>
              </w:rPr>
            </w:pPr>
          </w:p>
        </w:tc>
        <w:tc>
          <w:tcPr>
            <w:tcW w:w="244" w:type="dxa"/>
            <w:vMerge/>
            <w:tcBorders>
              <w:bottom w:val="single" w:sz="4" w:space="0" w:color="auto"/>
            </w:tcBorders>
            <w:vAlign w:val="center"/>
          </w:tcPr>
          <w:p w14:paraId="7AFDFCF4" w14:textId="77777777" w:rsidR="00BF0919" w:rsidRPr="00962D42" w:rsidRDefault="00BF0919" w:rsidP="0064280E">
            <w:pPr>
              <w:jc w:val="center"/>
              <w:rPr>
                <w:rFonts w:ascii="Times New Roman" w:hAnsi="Times New Roman" w:cs="Times New Roman"/>
                <w:sz w:val="18"/>
                <w:szCs w:val="18"/>
              </w:rPr>
            </w:pPr>
          </w:p>
        </w:tc>
        <w:tc>
          <w:tcPr>
            <w:tcW w:w="244" w:type="dxa"/>
            <w:vMerge/>
            <w:tcBorders>
              <w:bottom w:val="single" w:sz="4" w:space="0" w:color="auto"/>
            </w:tcBorders>
            <w:vAlign w:val="center"/>
          </w:tcPr>
          <w:p w14:paraId="7CDE1EF0" w14:textId="77777777" w:rsidR="00BF0919" w:rsidRPr="00962D42" w:rsidRDefault="00BF0919" w:rsidP="0064280E">
            <w:pPr>
              <w:jc w:val="center"/>
              <w:rPr>
                <w:rFonts w:ascii="Times New Roman" w:hAnsi="Times New Roman" w:cs="Times New Roman"/>
                <w:sz w:val="18"/>
                <w:szCs w:val="18"/>
              </w:rPr>
            </w:pPr>
          </w:p>
        </w:tc>
        <w:tc>
          <w:tcPr>
            <w:tcW w:w="244" w:type="dxa"/>
            <w:vMerge/>
            <w:tcBorders>
              <w:bottom w:val="single" w:sz="4" w:space="0" w:color="auto"/>
            </w:tcBorders>
            <w:vAlign w:val="center"/>
          </w:tcPr>
          <w:p w14:paraId="7055D897" w14:textId="77777777" w:rsidR="00BF0919" w:rsidRPr="00962D42" w:rsidRDefault="00BF0919" w:rsidP="0064280E">
            <w:pPr>
              <w:jc w:val="center"/>
              <w:rPr>
                <w:rFonts w:ascii="Times New Roman" w:hAnsi="Times New Roman" w:cs="Times New Roman"/>
                <w:sz w:val="18"/>
                <w:szCs w:val="18"/>
              </w:rPr>
            </w:pPr>
          </w:p>
        </w:tc>
        <w:tc>
          <w:tcPr>
            <w:tcW w:w="244" w:type="dxa"/>
            <w:vMerge/>
            <w:tcBorders>
              <w:bottom w:val="single" w:sz="4" w:space="0" w:color="auto"/>
            </w:tcBorders>
            <w:vAlign w:val="center"/>
          </w:tcPr>
          <w:p w14:paraId="28631F5B" w14:textId="77777777" w:rsidR="00BF0919" w:rsidRPr="00962D42" w:rsidRDefault="00BF0919" w:rsidP="0064280E">
            <w:pPr>
              <w:jc w:val="center"/>
              <w:rPr>
                <w:rFonts w:ascii="Times New Roman" w:hAnsi="Times New Roman" w:cs="Times New Roman"/>
                <w:sz w:val="18"/>
                <w:szCs w:val="18"/>
              </w:rPr>
            </w:pPr>
          </w:p>
        </w:tc>
        <w:tc>
          <w:tcPr>
            <w:tcW w:w="244" w:type="dxa"/>
            <w:vMerge/>
            <w:tcBorders>
              <w:bottom w:val="single" w:sz="4" w:space="0" w:color="auto"/>
            </w:tcBorders>
            <w:vAlign w:val="center"/>
          </w:tcPr>
          <w:p w14:paraId="7DB69B54" w14:textId="77777777" w:rsidR="00BF0919" w:rsidRPr="00962D42" w:rsidRDefault="00BF0919" w:rsidP="0064280E">
            <w:pPr>
              <w:jc w:val="center"/>
              <w:rPr>
                <w:rFonts w:ascii="Times New Roman" w:hAnsi="Times New Roman" w:cs="Times New Roman"/>
                <w:sz w:val="18"/>
                <w:szCs w:val="18"/>
              </w:rPr>
            </w:pPr>
          </w:p>
        </w:tc>
        <w:tc>
          <w:tcPr>
            <w:tcW w:w="244" w:type="dxa"/>
            <w:vMerge/>
            <w:tcBorders>
              <w:bottom w:val="single" w:sz="4" w:space="0" w:color="auto"/>
            </w:tcBorders>
            <w:vAlign w:val="center"/>
          </w:tcPr>
          <w:p w14:paraId="6171EB56" w14:textId="77777777" w:rsidR="00BF0919" w:rsidRPr="00962D42" w:rsidRDefault="00BF0919" w:rsidP="0064280E">
            <w:pPr>
              <w:jc w:val="center"/>
              <w:rPr>
                <w:rFonts w:ascii="Times New Roman" w:hAnsi="Times New Roman" w:cs="Times New Roman"/>
                <w:sz w:val="18"/>
                <w:szCs w:val="18"/>
              </w:rPr>
            </w:pPr>
          </w:p>
        </w:tc>
        <w:tc>
          <w:tcPr>
            <w:tcW w:w="234" w:type="dxa"/>
            <w:vMerge/>
            <w:tcBorders>
              <w:bottom w:val="single" w:sz="4" w:space="0" w:color="auto"/>
            </w:tcBorders>
            <w:vAlign w:val="center"/>
          </w:tcPr>
          <w:p w14:paraId="6A5E2BF7" w14:textId="77777777" w:rsidR="00BF0919" w:rsidRPr="00962D42" w:rsidRDefault="00BF0919" w:rsidP="0064280E">
            <w:pPr>
              <w:jc w:val="center"/>
              <w:rPr>
                <w:rFonts w:ascii="Times New Roman" w:hAnsi="Times New Roman" w:cs="Times New Roman"/>
                <w:sz w:val="18"/>
                <w:szCs w:val="18"/>
              </w:rPr>
            </w:pPr>
          </w:p>
        </w:tc>
        <w:tc>
          <w:tcPr>
            <w:tcW w:w="235" w:type="dxa"/>
            <w:vMerge/>
            <w:tcBorders>
              <w:bottom w:val="single" w:sz="4" w:space="0" w:color="auto"/>
            </w:tcBorders>
            <w:vAlign w:val="center"/>
          </w:tcPr>
          <w:p w14:paraId="39C987E2" w14:textId="77777777" w:rsidR="00BF0919" w:rsidRPr="00962D42" w:rsidRDefault="00BF0919" w:rsidP="0064280E">
            <w:pPr>
              <w:jc w:val="center"/>
              <w:rPr>
                <w:rFonts w:ascii="Times New Roman" w:hAnsi="Times New Roman" w:cs="Times New Roman"/>
                <w:sz w:val="18"/>
                <w:szCs w:val="18"/>
              </w:rPr>
            </w:pPr>
          </w:p>
        </w:tc>
        <w:tc>
          <w:tcPr>
            <w:tcW w:w="235" w:type="dxa"/>
            <w:vMerge/>
            <w:tcBorders>
              <w:bottom w:val="single" w:sz="4" w:space="0" w:color="auto"/>
            </w:tcBorders>
            <w:vAlign w:val="center"/>
          </w:tcPr>
          <w:p w14:paraId="036ECB30"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4C759AFF"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56C80912"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5310C89C"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45ECF70B"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2ECE29D4"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362772C6"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226AD7B8"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77E273C0" w14:textId="77777777" w:rsidR="00BF0919" w:rsidRPr="00962D42" w:rsidRDefault="00BF0919" w:rsidP="0064280E">
            <w:pPr>
              <w:jc w:val="center"/>
              <w:rPr>
                <w:rFonts w:ascii="Times New Roman" w:hAnsi="Times New Roman" w:cs="Times New Roman"/>
                <w:sz w:val="18"/>
                <w:szCs w:val="18"/>
              </w:rPr>
            </w:pPr>
          </w:p>
        </w:tc>
        <w:tc>
          <w:tcPr>
            <w:tcW w:w="236" w:type="dxa"/>
            <w:vMerge/>
            <w:tcBorders>
              <w:bottom w:val="single" w:sz="4" w:space="0" w:color="auto"/>
            </w:tcBorders>
            <w:vAlign w:val="center"/>
          </w:tcPr>
          <w:p w14:paraId="457F78A6" w14:textId="77777777" w:rsidR="00BF0919" w:rsidRPr="00962D42" w:rsidRDefault="00BF0919" w:rsidP="0064280E">
            <w:pPr>
              <w:jc w:val="center"/>
              <w:rPr>
                <w:rFonts w:ascii="Times New Roman" w:hAnsi="Times New Roman" w:cs="Times New Roman"/>
                <w:sz w:val="18"/>
                <w:szCs w:val="18"/>
              </w:rPr>
            </w:pPr>
          </w:p>
        </w:tc>
        <w:tc>
          <w:tcPr>
            <w:tcW w:w="264" w:type="dxa"/>
            <w:vMerge/>
            <w:tcBorders>
              <w:bottom w:val="single" w:sz="4" w:space="0" w:color="auto"/>
            </w:tcBorders>
            <w:vAlign w:val="center"/>
          </w:tcPr>
          <w:p w14:paraId="4644415C" w14:textId="77777777" w:rsidR="00BF0919" w:rsidRPr="00962D42" w:rsidRDefault="00BF0919" w:rsidP="0064280E">
            <w:pPr>
              <w:jc w:val="center"/>
              <w:rPr>
                <w:rFonts w:ascii="Times New Roman" w:hAnsi="Times New Roman" w:cs="Times New Roman"/>
                <w:sz w:val="18"/>
                <w:szCs w:val="18"/>
              </w:rPr>
            </w:pPr>
          </w:p>
        </w:tc>
        <w:tc>
          <w:tcPr>
            <w:tcW w:w="246" w:type="dxa"/>
            <w:vMerge/>
            <w:tcBorders>
              <w:bottom w:val="single" w:sz="4" w:space="0" w:color="auto"/>
            </w:tcBorders>
            <w:vAlign w:val="center"/>
          </w:tcPr>
          <w:p w14:paraId="438C4415" w14:textId="77777777" w:rsidR="00BF0919" w:rsidRPr="00962D42" w:rsidRDefault="00BF0919" w:rsidP="0064280E">
            <w:pPr>
              <w:jc w:val="center"/>
              <w:rPr>
                <w:rFonts w:ascii="Times New Roman" w:hAnsi="Times New Roman" w:cs="Times New Roman"/>
                <w:sz w:val="18"/>
                <w:szCs w:val="18"/>
              </w:rPr>
            </w:pPr>
          </w:p>
        </w:tc>
        <w:tc>
          <w:tcPr>
            <w:tcW w:w="246" w:type="dxa"/>
            <w:vMerge/>
            <w:tcBorders>
              <w:bottom w:val="single" w:sz="4" w:space="0" w:color="auto"/>
            </w:tcBorders>
            <w:vAlign w:val="center"/>
          </w:tcPr>
          <w:p w14:paraId="771CB56A" w14:textId="77777777" w:rsidR="00BF0919" w:rsidRPr="00962D42" w:rsidRDefault="00BF0919" w:rsidP="0064280E">
            <w:pPr>
              <w:jc w:val="center"/>
              <w:rPr>
                <w:rFonts w:ascii="Times New Roman" w:hAnsi="Times New Roman" w:cs="Times New Roman"/>
                <w:sz w:val="18"/>
                <w:szCs w:val="18"/>
              </w:rPr>
            </w:pPr>
          </w:p>
        </w:tc>
        <w:tc>
          <w:tcPr>
            <w:tcW w:w="223" w:type="dxa"/>
            <w:vMerge/>
            <w:tcBorders>
              <w:bottom w:val="single" w:sz="4" w:space="0" w:color="auto"/>
            </w:tcBorders>
            <w:vAlign w:val="center"/>
          </w:tcPr>
          <w:p w14:paraId="236890E8" w14:textId="77777777" w:rsidR="00BF0919" w:rsidRPr="00962D42" w:rsidRDefault="00BF0919" w:rsidP="0064280E">
            <w:pPr>
              <w:jc w:val="center"/>
              <w:rPr>
                <w:rFonts w:ascii="Times New Roman" w:hAnsi="Times New Roman" w:cs="Times New Roman"/>
                <w:sz w:val="18"/>
                <w:szCs w:val="18"/>
              </w:rPr>
            </w:pPr>
          </w:p>
        </w:tc>
        <w:tc>
          <w:tcPr>
            <w:tcW w:w="223" w:type="dxa"/>
            <w:vMerge/>
            <w:tcBorders>
              <w:bottom w:val="single" w:sz="4" w:space="0" w:color="auto"/>
            </w:tcBorders>
            <w:vAlign w:val="center"/>
          </w:tcPr>
          <w:p w14:paraId="7D8BCF3F" w14:textId="77777777" w:rsidR="00BF0919" w:rsidRPr="00962D42" w:rsidRDefault="00BF0919" w:rsidP="0064280E">
            <w:pPr>
              <w:jc w:val="center"/>
              <w:rPr>
                <w:rFonts w:ascii="Times New Roman" w:hAnsi="Times New Roman" w:cs="Times New Roman"/>
                <w:sz w:val="18"/>
                <w:szCs w:val="18"/>
              </w:rPr>
            </w:pPr>
          </w:p>
        </w:tc>
        <w:tc>
          <w:tcPr>
            <w:tcW w:w="223" w:type="dxa"/>
            <w:vMerge/>
            <w:tcBorders>
              <w:bottom w:val="single" w:sz="4" w:space="0" w:color="auto"/>
            </w:tcBorders>
            <w:vAlign w:val="center"/>
          </w:tcPr>
          <w:p w14:paraId="779AA236" w14:textId="77777777" w:rsidR="00BF0919" w:rsidRPr="00962D42" w:rsidRDefault="00BF0919" w:rsidP="0064280E">
            <w:pPr>
              <w:jc w:val="center"/>
              <w:rPr>
                <w:rFonts w:ascii="Times New Roman" w:hAnsi="Times New Roman" w:cs="Times New Roman"/>
                <w:sz w:val="18"/>
                <w:szCs w:val="18"/>
              </w:rPr>
            </w:pPr>
          </w:p>
        </w:tc>
        <w:tc>
          <w:tcPr>
            <w:tcW w:w="223" w:type="dxa"/>
            <w:vMerge/>
            <w:tcBorders>
              <w:bottom w:val="single" w:sz="4" w:space="0" w:color="auto"/>
            </w:tcBorders>
            <w:vAlign w:val="center"/>
          </w:tcPr>
          <w:p w14:paraId="024DFB6A" w14:textId="77777777" w:rsidR="00BF0919" w:rsidRPr="00962D42" w:rsidRDefault="00BF0919" w:rsidP="0064280E">
            <w:pPr>
              <w:jc w:val="center"/>
              <w:rPr>
                <w:rFonts w:ascii="Times New Roman" w:hAnsi="Times New Roman" w:cs="Times New Roman"/>
                <w:sz w:val="18"/>
                <w:szCs w:val="18"/>
              </w:rPr>
            </w:pPr>
          </w:p>
        </w:tc>
        <w:tc>
          <w:tcPr>
            <w:tcW w:w="213" w:type="dxa"/>
            <w:vMerge/>
            <w:tcBorders>
              <w:bottom w:val="single" w:sz="4" w:space="0" w:color="auto"/>
            </w:tcBorders>
          </w:tcPr>
          <w:p w14:paraId="04B2C67C" w14:textId="77777777" w:rsidR="00BF0919" w:rsidRPr="00962D42" w:rsidRDefault="00BF0919" w:rsidP="0064280E">
            <w:pPr>
              <w:jc w:val="center"/>
              <w:rPr>
                <w:rFonts w:ascii="Times New Roman" w:hAnsi="Times New Roman" w:cs="Times New Roman"/>
                <w:sz w:val="18"/>
                <w:szCs w:val="18"/>
              </w:rPr>
            </w:pPr>
          </w:p>
        </w:tc>
        <w:tc>
          <w:tcPr>
            <w:tcW w:w="213" w:type="dxa"/>
            <w:vMerge/>
            <w:tcBorders>
              <w:bottom w:val="single" w:sz="4" w:space="0" w:color="auto"/>
            </w:tcBorders>
          </w:tcPr>
          <w:p w14:paraId="597546A2" w14:textId="77777777" w:rsidR="00BF0919" w:rsidRPr="00962D42" w:rsidRDefault="00BF0919" w:rsidP="0064280E">
            <w:pPr>
              <w:jc w:val="center"/>
              <w:rPr>
                <w:rFonts w:ascii="Times New Roman" w:hAnsi="Times New Roman" w:cs="Times New Roman"/>
                <w:sz w:val="18"/>
                <w:szCs w:val="18"/>
              </w:rPr>
            </w:pPr>
          </w:p>
        </w:tc>
        <w:tc>
          <w:tcPr>
            <w:tcW w:w="213" w:type="dxa"/>
            <w:vMerge/>
            <w:tcBorders>
              <w:bottom w:val="single" w:sz="4" w:space="0" w:color="auto"/>
            </w:tcBorders>
            <w:vAlign w:val="center"/>
          </w:tcPr>
          <w:p w14:paraId="03239F8B" w14:textId="77777777" w:rsidR="00BF0919" w:rsidRPr="00962D42" w:rsidRDefault="00BF0919" w:rsidP="0064280E">
            <w:pPr>
              <w:jc w:val="center"/>
              <w:rPr>
                <w:rFonts w:ascii="Times New Roman" w:hAnsi="Times New Roman" w:cs="Times New Roman"/>
                <w:sz w:val="18"/>
                <w:szCs w:val="18"/>
              </w:rPr>
            </w:pPr>
          </w:p>
        </w:tc>
        <w:tc>
          <w:tcPr>
            <w:tcW w:w="231" w:type="dxa"/>
            <w:vMerge/>
            <w:tcBorders>
              <w:bottom w:val="single" w:sz="4" w:space="0" w:color="auto"/>
            </w:tcBorders>
            <w:vAlign w:val="center"/>
          </w:tcPr>
          <w:p w14:paraId="08AC54DE" w14:textId="77777777" w:rsidR="00BF0919" w:rsidRPr="00962D42" w:rsidRDefault="00BF0919" w:rsidP="0064280E">
            <w:pPr>
              <w:jc w:val="center"/>
              <w:rPr>
                <w:rFonts w:ascii="Times New Roman" w:hAnsi="Times New Roman" w:cs="Times New Roman"/>
                <w:sz w:val="18"/>
                <w:szCs w:val="18"/>
              </w:rPr>
            </w:pPr>
          </w:p>
        </w:tc>
        <w:tc>
          <w:tcPr>
            <w:tcW w:w="438" w:type="dxa"/>
            <w:vMerge/>
            <w:tcBorders>
              <w:bottom w:val="single" w:sz="4" w:space="0" w:color="auto"/>
            </w:tcBorders>
            <w:vAlign w:val="center"/>
          </w:tcPr>
          <w:p w14:paraId="5640730F" w14:textId="77777777" w:rsidR="00BF0919" w:rsidRPr="00962D42" w:rsidRDefault="00BF0919" w:rsidP="0064280E">
            <w:pPr>
              <w:jc w:val="center"/>
              <w:rPr>
                <w:rFonts w:ascii="Times New Roman" w:hAnsi="Times New Roman" w:cs="Times New Roman"/>
                <w:sz w:val="18"/>
                <w:szCs w:val="18"/>
              </w:rPr>
            </w:pPr>
          </w:p>
        </w:tc>
        <w:tc>
          <w:tcPr>
            <w:tcW w:w="369" w:type="dxa"/>
            <w:vMerge/>
            <w:tcBorders>
              <w:bottom w:val="single" w:sz="4" w:space="0" w:color="auto"/>
            </w:tcBorders>
            <w:vAlign w:val="center"/>
          </w:tcPr>
          <w:p w14:paraId="018AEFF1" w14:textId="77777777" w:rsidR="00BF0919" w:rsidRPr="00962D42" w:rsidRDefault="00BF0919" w:rsidP="0064280E">
            <w:pPr>
              <w:jc w:val="center"/>
              <w:rPr>
                <w:rFonts w:ascii="Times New Roman" w:hAnsi="Times New Roman" w:cs="Times New Roman"/>
                <w:sz w:val="18"/>
                <w:szCs w:val="18"/>
              </w:rPr>
            </w:pPr>
          </w:p>
        </w:tc>
        <w:tc>
          <w:tcPr>
            <w:tcW w:w="4031" w:type="dxa"/>
            <w:vMerge/>
            <w:tcBorders>
              <w:bottom w:val="single" w:sz="4" w:space="0" w:color="auto"/>
            </w:tcBorders>
            <w:vAlign w:val="center"/>
          </w:tcPr>
          <w:p w14:paraId="4A23B183" w14:textId="77777777" w:rsidR="00BF0919" w:rsidRPr="00962D42" w:rsidRDefault="00BF0919" w:rsidP="0064280E">
            <w:pPr>
              <w:jc w:val="center"/>
              <w:rPr>
                <w:rFonts w:ascii="Times New Roman" w:hAnsi="Times New Roman" w:cs="Times New Roman"/>
                <w:sz w:val="18"/>
                <w:szCs w:val="18"/>
              </w:rPr>
            </w:pPr>
          </w:p>
        </w:tc>
        <w:tc>
          <w:tcPr>
            <w:tcW w:w="201" w:type="dxa"/>
            <w:tcBorders>
              <w:top w:val="single" w:sz="4" w:space="0" w:color="auto"/>
              <w:bottom w:val="single" w:sz="4" w:space="0" w:color="auto"/>
            </w:tcBorders>
            <w:vAlign w:val="center"/>
          </w:tcPr>
          <w:p w14:paraId="565DDAF0"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6*</w:t>
            </w:r>
          </w:p>
        </w:tc>
        <w:tc>
          <w:tcPr>
            <w:tcW w:w="201" w:type="dxa"/>
            <w:tcBorders>
              <w:top w:val="single" w:sz="4" w:space="0" w:color="auto"/>
              <w:bottom w:val="single" w:sz="4" w:space="0" w:color="auto"/>
            </w:tcBorders>
            <w:vAlign w:val="center"/>
          </w:tcPr>
          <w:p w14:paraId="69A50127"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2*</w:t>
            </w:r>
          </w:p>
        </w:tc>
        <w:tc>
          <w:tcPr>
            <w:tcW w:w="201" w:type="dxa"/>
            <w:tcBorders>
              <w:top w:val="single" w:sz="4" w:space="0" w:color="auto"/>
              <w:bottom w:val="single" w:sz="4" w:space="0" w:color="auto"/>
            </w:tcBorders>
            <w:vAlign w:val="center"/>
          </w:tcPr>
          <w:p w14:paraId="7A2A1872"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0</w:t>
            </w:r>
          </w:p>
        </w:tc>
        <w:tc>
          <w:tcPr>
            <w:tcW w:w="201" w:type="dxa"/>
            <w:tcBorders>
              <w:top w:val="single" w:sz="4" w:space="0" w:color="auto"/>
              <w:bottom w:val="single" w:sz="4" w:space="0" w:color="auto"/>
            </w:tcBorders>
            <w:vAlign w:val="center"/>
          </w:tcPr>
          <w:p w14:paraId="3BF8C11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0</w:t>
            </w:r>
          </w:p>
        </w:tc>
        <w:tc>
          <w:tcPr>
            <w:tcW w:w="167" w:type="dxa"/>
            <w:tcBorders>
              <w:top w:val="single" w:sz="4" w:space="0" w:color="auto"/>
              <w:bottom w:val="single" w:sz="4" w:space="0" w:color="auto"/>
            </w:tcBorders>
            <w:vAlign w:val="center"/>
          </w:tcPr>
          <w:p w14:paraId="5114EDAB" w14:textId="77777777" w:rsidR="00BF0919" w:rsidRPr="00962D42" w:rsidRDefault="00BF0919" w:rsidP="0064280E">
            <w:pPr>
              <w:jc w:val="center"/>
              <w:rPr>
                <w:rFonts w:ascii="Times New Roman" w:hAnsi="Times New Roman" w:cs="Times New Roman"/>
                <w:sz w:val="18"/>
                <w:szCs w:val="18"/>
              </w:rPr>
            </w:pPr>
            <w:r w:rsidRPr="00962D42">
              <w:rPr>
                <w:rFonts w:ascii="Times New Roman" w:hAnsi="Times New Roman" w:cs="Times New Roman"/>
                <w:sz w:val="18"/>
                <w:szCs w:val="18"/>
              </w:rPr>
              <w:t>0</w:t>
            </w:r>
          </w:p>
        </w:tc>
      </w:tr>
    </w:tbl>
    <w:bookmarkEnd w:id="14"/>
    <w:p w14:paraId="3E60B2E7" w14:textId="77777777" w:rsidR="00BF0919" w:rsidRDefault="00BF0919" w:rsidP="009A4D7D">
      <w:pP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 xml:space="preserve">ote: </w:t>
      </w:r>
    </w:p>
    <w:p w14:paraId="1EBC22E2" w14:textId="77777777" w:rsidR="00BF0919" w:rsidRDefault="00BF0919" w:rsidP="009A4D7D">
      <w:pPr>
        <w:rPr>
          <w:rFonts w:ascii="Times New Roman" w:hAnsi="Times New Roman" w:cs="Times New Roman"/>
          <w:sz w:val="16"/>
          <w:szCs w:val="16"/>
        </w:rPr>
      </w:pPr>
      <w:r>
        <w:rPr>
          <w:rFonts w:ascii="Times New Roman" w:hAnsi="Times New Roman" w:cs="Times New Roman"/>
          <w:sz w:val="16"/>
          <w:szCs w:val="16"/>
        </w:rPr>
        <w:t>1. * represent that the EC is increased in the case</w:t>
      </w:r>
    </w:p>
    <w:p w14:paraId="3292FF36" w14:textId="77777777" w:rsidR="00BF0919" w:rsidRDefault="00BF0919" w:rsidP="009A4D7D">
      <w:pPr>
        <w:rPr>
          <w:rFonts w:ascii="Times New Roman" w:hAnsi="Times New Roman" w:cs="Times New Roman"/>
          <w:color w:val="222222"/>
          <w:sz w:val="18"/>
          <w:szCs w:val="18"/>
          <w:shd w:val="clear" w:color="auto" w:fill="FFFFFF"/>
        </w:rPr>
      </w:pPr>
      <w:r>
        <w:rPr>
          <w:rFonts w:ascii="Times New Roman" w:hAnsi="Times New Roman" w:cs="Times New Roman" w:hint="eastAsia"/>
          <w:sz w:val="16"/>
          <w:szCs w:val="16"/>
        </w:rPr>
        <w:t>2</w:t>
      </w:r>
      <w:r>
        <w:rPr>
          <w:rFonts w:ascii="Times New Roman" w:hAnsi="Times New Roman" w:cs="Times New Roman"/>
          <w:sz w:val="16"/>
          <w:szCs w:val="16"/>
        </w:rPr>
        <w:t>. “LP,” “GY,” “VA,” “RHA,” “GC,” “GS,” “MK,” and “SS” denote limestone powder, gypsum, volcanic ash, rice</w:t>
      </w:r>
      <w:r>
        <w:rPr>
          <w:rFonts w:ascii="Times New Roman" w:hAnsi="Times New Roman" w:cs="Times New Roman" w:hint="eastAsia"/>
          <w:sz w:val="16"/>
          <w:szCs w:val="16"/>
        </w:rPr>
        <w:t xml:space="preserve"> </w:t>
      </w:r>
      <w:r>
        <w:rPr>
          <w:rFonts w:ascii="Times New Roman" w:hAnsi="Times New Roman" w:cs="Times New Roman"/>
          <w:sz w:val="16"/>
          <w:szCs w:val="16"/>
        </w:rPr>
        <w:t>husk ash, glass cullet, sand powder, metakaolin, and sodium silicates, respectively.</w:t>
      </w:r>
    </w:p>
    <w:p w14:paraId="4C557C8E" w14:textId="77777777" w:rsidR="00647497" w:rsidRDefault="00647497"/>
    <w:sectPr w:rsidR="00647497" w:rsidSect="00184E9E">
      <w:pgSz w:w="16838" w:h="11906" w:orient="landscape"/>
      <w:pgMar w:top="1800" w:right="1440" w:bottom="1800" w:left="1440" w:header="851" w:footer="992" w:gutter="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Roman">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DB7589"/>
    <w:multiLevelType w:val="singleLevel"/>
    <w:tmpl w:val="E2DB7589"/>
    <w:lvl w:ilvl="0">
      <w:start w:val="1"/>
      <w:numFmt w:val="decimal"/>
      <w:suff w:val="space"/>
      <w:lvlText w:val="%1."/>
      <w:lvlJc w:val="left"/>
    </w:lvl>
  </w:abstractNum>
  <w:abstractNum w:abstractNumId="1" w15:restartNumberingAfterBreak="0">
    <w:nsid w:val="08AD7D99"/>
    <w:multiLevelType w:val="hybridMultilevel"/>
    <w:tmpl w:val="A1D4CB8A"/>
    <w:lvl w:ilvl="0" w:tplc="11EA8946">
      <w:start w:val="1"/>
      <w:numFmt w:val="bullet"/>
      <w:suff w:val="space"/>
      <w:lvlText w:val=""/>
      <w:lvlJc w:val="left"/>
      <w:pPr>
        <w:ind w:left="420" w:hanging="420"/>
      </w:pPr>
      <w:rPr>
        <w:rFonts w:ascii="Wingdings" w:hAnsi="Wingdings" w:hint="default"/>
        <w:sz w:val="11"/>
      </w:rPr>
    </w:lvl>
    <w:lvl w:ilvl="1" w:tplc="04090003" w:tentative="1">
      <w:start w:val="1"/>
      <w:numFmt w:val="bullet"/>
      <w:lvlText w:val=""/>
      <w:lvlJc w:val="left"/>
      <w:pPr>
        <w:ind w:left="60" w:hanging="420"/>
      </w:pPr>
      <w:rPr>
        <w:rFonts w:ascii="Wingdings" w:hAnsi="Wingdings" w:hint="default"/>
      </w:rPr>
    </w:lvl>
    <w:lvl w:ilvl="2" w:tplc="04090005" w:tentative="1">
      <w:start w:val="1"/>
      <w:numFmt w:val="bullet"/>
      <w:lvlText w:val=""/>
      <w:lvlJc w:val="left"/>
      <w:pPr>
        <w:ind w:left="480" w:hanging="420"/>
      </w:pPr>
      <w:rPr>
        <w:rFonts w:ascii="Wingdings" w:hAnsi="Wingdings" w:hint="default"/>
      </w:rPr>
    </w:lvl>
    <w:lvl w:ilvl="3" w:tplc="04090001" w:tentative="1">
      <w:start w:val="1"/>
      <w:numFmt w:val="bullet"/>
      <w:lvlText w:val=""/>
      <w:lvlJc w:val="left"/>
      <w:pPr>
        <w:ind w:left="900" w:hanging="420"/>
      </w:pPr>
      <w:rPr>
        <w:rFonts w:ascii="Wingdings" w:hAnsi="Wingdings" w:hint="default"/>
      </w:rPr>
    </w:lvl>
    <w:lvl w:ilvl="4" w:tplc="04090003" w:tentative="1">
      <w:start w:val="1"/>
      <w:numFmt w:val="bullet"/>
      <w:lvlText w:val=""/>
      <w:lvlJc w:val="left"/>
      <w:pPr>
        <w:ind w:left="1320" w:hanging="420"/>
      </w:pPr>
      <w:rPr>
        <w:rFonts w:ascii="Wingdings" w:hAnsi="Wingdings" w:hint="default"/>
      </w:rPr>
    </w:lvl>
    <w:lvl w:ilvl="5" w:tplc="04090005" w:tentative="1">
      <w:start w:val="1"/>
      <w:numFmt w:val="bullet"/>
      <w:lvlText w:val=""/>
      <w:lvlJc w:val="left"/>
      <w:pPr>
        <w:ind w:left="1740" w:hanging="420"/>
      </w:pPr>
      <w:rPr>
        <w:rFonts w:ascii="Wingdings" w:hAnsi="Wingdings" w:hint="default"/>
      </w:rPr>
    </w:lvl>
    <w:lvl w:ilvl="6" w:tplc="04090001" w:tentative="1">
      <w:start w:val="1"/>
      <w:numFmt w:val="bullet"/>
      <w:lvlText w:val=""/>
      <w:lvlJc w:val="left"/>
      <w:pPr>
        <w:ind w:left="2160" w:hanging="420"/>
      </w:pPr>
      <w:rPr>
        <w:rFonts w:ascii="Wingdings" w:hAnsi="Wingdings" w:hint="default"/>
      </w:rPr>
    </w:lvl>
    <w:lvl w:ilvl="7" w:tplc="04090003" w:tentative="1">
      <w:start w:val="1"/>
      <w:numFmt w:val="bullet"/>
      <w:lvlText w:val=""/>
      <w:lvlJc w:val="left"/>
      <w:pPr>
        <w:ind w:left="2580" w:hanging="420"/>
      </w:pPr>
      <w:rPr>
        <w:rFonts w:ascii="Wingdings" w:hAnsi="Wingdings" w:hint="default"/>
      </w:rPr>
    </w:lvl>
    <w:lvl w:ilvl="8" w:tplc="04090005" w:tentative="1">
      <w:start w:val="1"/>
      <w:numFmt w:val="bullet"/>
      <w:lvlText w:val=""/>
      <w:lvlJc w:val="left"/>
      <w:pPr>
        <w:ind w:left="3000" w:hanging="420"/>
      </w:pPr>
      <w:rPr>
        <w:rFonts w:ascii="Wingdings" w:hAnsi="Wingdings" w:hint="default"/>
      </w:rPr>
    </w:lvl>
  </w:abstractNum>
  <w:abstractNum w:abstractNumId="2" w15:restartNumberingAfterBreak="0">
    <w:nsid w:val="0C62446D"/>
    <w:multiLevelType w:val="multilevel"/>
    <w:tmpl w:val="0C6244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BA36F2E"/>
    <w:multiLevelType w:val="hybridMultilevel"/>
    <w:tmpl w:val="B2142EB4"/>
    <w:lvl w:ilvl="0" w:tplc="0520F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9C33BC"/>
    <w:multiLevelType w:val="hybridMultilevel"/>
    <w:tmpl w:val="842E3B96"/>
    <w:lvl w:ilvl="0" w:tplc="B8F4F9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E0975D1"/>
    <w:multiLevelType w:val="multilevel"/>
    <w:tmpl w:val="1E0975D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D6400A2"/>
    <w:multiLevelType w:val="multilevel"/>
    <w:tmpl w:val="2D6400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5857E94"/>
    <w:multiLevelType w:val="hybridMultilevel"/>
    <w:tmpl w:val="FFE20AE0"/>
    <w:lvl w:ilvl="0" w:tplc="C694A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494709"/>
    <w:multiLevelType w:val="hybridMultilevel"/>
    <w:tmpl w:val="61F45CB6"/>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43597CC6"/>
    <w:multiLevelType w:val="hybridMultilevel"/>
    <w:tmpl w:val="14F45C94"/>
    <w:lvl w:ilvl="0" w:tplc="57F84E2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B34763"/>
    <w:multiLevelType w:val="multilevel"/>
    <w:tmpl w:val="53B34763"/>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A064E37"/>
    <w:multiLevelType w:val="hybridMultilevel"/>
    <w:tmpl w:val="AAAACEFC"/>
    <w:lvl w:ilvl="0" w:tplc="F2BEF042">
      <w:start w:val="1"/>
      <w:numFmt w:val="bullet"/>
      <w:lvlText w:val=""/>
      <w:lvlJc w:val="left"/>
      <w:pPr>
        <w:ind w:left="840" w:hanging="420"/>
      </w:pPr>
      <w:rPr>
        <w:rFonts w:ascii="Wingdings" w:hAnsi="Wingdings" w:hint="default"/>
        <w:sz w:val="11"/>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BE94586"/>
    <w:multiLevelType w:val="hybridMultilevel"/>
    <w:tmpl w:val="E7CCFF7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60101884"/>
    <w:multiLevelType w:val="hybridMultilevel"/>
    <w:tmpl w:val="D6BA5E92"/>
    <w:lvl w:ilvl="0" w:tplc="612E979C">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4CC2786"/>
    <w:multiLevelType w:val="multilevel"/>
    <w:tmpl w:val="64CC278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58727AE"/>
    <w:multiLevelType w:val="multilevel"/>
    <w:tmpl w:val="F3220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AE5B7C"/>
    <w:multiLevelType w:val="hybridMultilevel"/>
    <w:tmpl w:val="E924880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num w:numId="1" w16cid:durableId="1101222970">
    <w:abstractNumId w:val="10"/>
  </w:num>
  <w:num w:numId="2" w16cid:durableId="130754447">
    <w:abstractNumId w:val="14"/>
  </w:num>
  <w:num w:numId="3" w16cid:durableId="1675837262">
    <w:abstractNumId w:val="12"/>
  </w:num>
  <w:num w:numId="4" w16cid:durableId="1454666319">
    <w:abstractNumId w:val="9"/>
  </w:num>
  <w:num w:numId="5" w16cid:durableId="152109191">
    <w:abstractNumId w:val="3"/>
  </w:num>
  <w:num w:numId="6" w16cid:durableId="1558978699">
    <w:abstractNumId w:val="11"/>
  </w:num>
  <w:num w:numId="7" w16cid:durableId="749546744">
    <w:abstractNumId w:val="1"/>
  </w:num>
  <w:num w:numId="8" w16cid:durableId="1426262813">
    <w:abstractNumId w:val="16"/>
  </w:num>
  <w:num w:numId="9" w16cid:durableId="2046055092">
    <w:abstractNumId w:val="6"/>
  </w:num>
  <w:num w:numId="10" w16cid:durableId="167791330">
    <w:abstractNumId w:val="0"/>
  </w:num>
  <w:num w:numId="11" w16cid:durableId="2119177232">
    <w:abstractNumId w:val="2"/>
  </w:num>
  <w:num w:numId="12" w16cid:durableId="1639070995">
    <w:abstractNumId w:val="4"/>
  </w:num>
  <w:num w:numId="13" w16cid:durableId="811213510">
    <w:abstractNumId w:val="5"/>
  </w:num>
  <w:num w:numId="14" w16cid:durableId="1102921366">
    <w:abstractNumId w:val="8"/>
  </w:num>
  <w:num w:numId="15" w16cid:durableId="836767025">
    <w:abstractNumId w:val="7"/>
  </w:num>
  <w:num w:numId="16" w16cid:durableId="1030646919">
    <w:abstractNumId w:val="13"/>
  </w:num>
  <w:num w:numId="17" w16cid:durableId="13532195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NTM2sjA3NjIyt7BU0lEKTi0uzszPAykwqQUAPA0eEiwAAAA="/>
    <w:docVar w:name="EN.InstantFormat" w:val="&lt;ENInstantFormat&gt;&lt;Enabled&gt;1&lt;/Enabled&gt;&lt;ScanUnformatted&gt;1&lt;/ScanUnformatted&gt;&lt;ScanChanges&gt;1&lt;/ScanChanges&gt;&lt;Suspended&gt;1&lt;/Suspended&gt;&lt;/ENInstantFormat&gt;"/>
  </w:docVars>
  <w:rsids>
    <w:rsidRoot w:val="00BF0919"/>
    <w:rsid w:val="00184E9E"/>
    <w:rsid w:val="003613DB"/>
    <w:rsid w:val="004D2B5E"/>
    <w:rsid w:val="00647497"/>
    <w:rsid w:val="008840F7"/>
    <w:rsid w:val="008D74E9"/>
    <w:rsid w:val="00A37D42"/>
    <w:rsid w:val="00AA5C79"/>
    <w:rsid w:val="00BF0919"/>
    <w:rsid w:val="00DE00C8"/>
    <w:rsid w:val="00DE5EA8"/>
    <w:rsid w:val="00EE7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6868"/>
  <w15:chartTrackingRefBased/>
  <w15:docId w15:val="{20D88279-E91F-4620-8CE9-EE395561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919"/>
    <w:pPr>
      <w:widowControl w:val="0"/>
      <w:jc w:val="both"/>
    </w:pPr>
    <w:rPr>
      <w:rFonts w:ascii="Times" w:hAnsi="Times"/>
    </w:rPr>
  </w:style>
  <w:style w:type="paragraph" w:styleId="Heading1">
    <w:name w:val="heading 1"/>
    <w:basedOn w:val="Normal"/>
    <w:next w:val="Normal"/>
    <w:link w:val="Heading1Char"/>
    <w:uiPriority w:val="9"/>
    <w:qFormat/>
    <w:rsid w:val="00BF0919"/>
    <w:pPr>
      <w:keepNext/>
      <w:keepLines/>
      <w:spacing w:line="360" w:lineRule="auto"/>
      <w:outlineLvl w:val="0"/>
    </w:pPr>
    <w:rPr>
      <w:rFonts w:ascii="Times New Roman" w:hAnsi="Times New Roman" w:cs="Times New Roman"/>
      <w:b/>
      <w:bCs/>
      <w:kern w:val="44"/>
      <w:sz w:val="28"/>
      <w:szCs w:val="28"/>
    </w:rPr>
  </w:style>
  <w:style w:type="paragraph" w:styleId="Heading2">
    <w:name w:val="heading 2"/>
    <w:basedOn w:val="Normal"/>
    <w:next w:val="Normal"/>
    <w:link w:val="Heading2Char"/>
    <w:uiPriority w:val="9"/>
    <w:unhideWhenUsed/>
    <w:qFormat/>
    <w:rsid w:val="00BF0919"/>
    <w:pPr>
      <w:keepNext/>
      <w:keepLines/>
      <w:spacing w:before="120" w:after="120" w:line="360" w:lineRule="auto"/>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BF0919"/>
    <w:pPr>
      <w:keepNext/>
      <w:keepLines/>
      <w:spacing w:beforeLines="50" w:before="156" w:afterLines="50" w:after="156"/>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BF0919"/>
    <w:pPr>
      <w:keepNext/>
      <w:keepLines/>
      <w:outlineLvl w:val="3"/>
    </w:pPr>
    <w:rPr>
      <w:rFonts w:ascii="Times New Roman" w:eastAsiaTheme="majorEastAsia" w:hAnsi="Times New Roman" w:cs="Times New Roman"/>
      <w:szCs w:val="21"/>
      <w:u w:val="single"/>
    </w:rPr>
  </w:style>
  <w:style w:type="paragraph" w:styleId="Heading5">
    <w:name w:val="heading 5"/>
    <w:basedOn w:val="Normal"/>
    <w:next w:val="Normal"/>
    <w:link w:val="Heading5Char"/>
    <w:uiPriority w:val="9"/>
    <w:unhideWhenUsed/>
    <w:qFormat/>
    <w:rsid w:val="00BF0919"/>
    <w:pPr>
      <w:keepNext/>
      <w:keepLines/>
      <w:widowControl/>
      <w:spacing w:before="40" w:line="259" w:lineRule="auto"/>
      <w:jc w:val="left"/>
      <w:outlineLvl w:val="4"/>
    </w:pPr>
    <w:rPr>
      <w:rFonts w:asciiTheme="majorHAnsi" w:eastAsiaTheme="majorEastAsia" w:hAnsiTheme="majorHAnsi" w:cstheme="majorBidi"/>
      <w:color w:val="2F5496" w:themeColor="accent1" w:themeShade="BF"/>
      <w:kern w:val="0"/>
      <w:sz w:val="22"/>
    </w:rPr>
  </w:style>
  <w:style w:type="paragraph" w:styleId="Heading6">
    <w:name w:val="heading 6"/>
    <w:basedOn w:val="Normal"/>
    <w:next w:val="Normal"/>
    <w:link w:val="Heading6Char"/>
    <w:uiPriority w:val="9"/>
    <w:unhideWhenUsed/>
    <w:qFormat/>
    <w:rsid w:val="00BF0919"/>
    <w:pPr>
      <w:keepNext/>
      <w:keepLines/>
      <w:widowControl/>
      <w:spacing w:before="40" w:line="259" w:lineRule="auto"/>
      <w:jc w:val="left"/>
      <w:outlineLvl w:val="5"/>
    </w:pPr>
    <w:rPr>
      <w:rFonts w:asciiTheme="majorHAnsi" w:eastAsiaTheme="majorEastAsia" w:hAnsiTheme="majorHAnsi" w:cstheme="majorBidi"/>
      <w:color w:val="1F3864" w:themeColor="accent1" w:themeShade="80"/>
      <w:kern w:val="0"/>
      <w:sz w:val="22"/>
    </w:rPr>
  </w:style>
  <w:style w:type="paragraph" w:styleId="Heading7">
    <w:name w:val="heading 7"/>
    <w:basedOn w:val="Normal"/>
    <w:next w:val="Normal"/>
    <w:link w:val="Heading7Char"/>
    <w:uiPriority w:val="9"/>
    <w:unhideWhenUsed/>
    <w:qFormat/>
    <w:rsid w:val="00BF0919"/>
    <w:pPr>
      <w:keepNext/>
      <w:keepLines/>
      <w:widowControl/>
      <w:spacing w:before="40" w:line="259" w:lineRule="auto"/>
      <w:jc w:val="left"/>
      <w:outlineLvl w:val="6"/>
    </w:pPr>
    <w:rPr>
      <w:rFonts w:asciiTheme="majorHAnsi" w:eastAsiaTheme="majorEastAsia" w:hAnsiTheme="majorHAnsi" w:cstheme="majorBidi"/>
      <w:i/>
      <w:iCs/>
      <w:color w:val="1F3864" w:themeColor="accent1" w:themeShade="80"/>
      <w:kern w:val="0"/>
      <w:sz w:val="22"/>
    </w:rPr>
  </w:style>
  <w:style w:type="paragraph" w:styleId="Heading8">
    <w:name w:val="heading 8"/>
    <w:basedOn w:val="Normal"/>
    <w:next w:val="Normal"/>
    <w:link w:val="Heading8Char"/>
    <w:uiPriority w:val="9"/>
    <w:unhideWhenUsed/>
    <w:qFormat/>
    <w:rsid w:val="00BF0919"/>
    <w:pPr>
      <w:keepNext/>
      <w:keepLines/>
      <w:widowControl/>
      <w:spacing w:before="40" w:line="259" w:lineRule="auto"/>
      <w:jc w:val="left"/>
      <w:outlineLvl w:val="7"/>
    </w:pPr>
    <w:rPr>
      <w:rFonts w:asciiTheme="majorHAnsi" w:eastAsiaTheme="majorEastAsia" w:hAnsiTheme="majorHAnsi" w:cstheme="majorBidi"/>
      <w:color w:val="262626" w:themeColor="text1" w:themeTint="D9"/>
      <w:kern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F0919"/>
    <w:rPr>
      <w:rFonts w:ascii="Times New Roman" w:hAnsi="Times New Roman" w:cs="Times New Roman"/>
      <w:b/>
      <w:bCs/>
      <w:kern w:val="44"/>
      <w:sz w:val="28"/>
      <w:szCs w:val="28"/>
    </w:rPr>
  </w:style>
  <w:style w:type="character" w:customStyle="1" w:styleId="Heading2Char">
    <w:name w:val="Heading 2 Char"/>
    <w:basedOn w:val="DefaultParagraphFont"/>
    <w:link w:val="Heading2"/>
    <w:uiPriority w:val="9"/>
    <w:qFormat/>
    <w:rsid w:val="00BF0919"/>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qFormat/>
    <w:rsid w:val="00BF0919"/>
    <w:rPr>
      <w:rFonts w:ascii="Times New Roman" w:hAnsi="Times New Roman" w:cs="Times New Roman"/>
      <w:b/>
      <w:bCs/>
      <w:sz w:val="24"/>
      <w:szCs w:val="24"/>
    </w:rPr>
  </w:style>
  <w:style w:type="character" w:customStyle="1" w:styleId="Heading4Char">
    <w:name w:val="Heading 4 Char"/>
    <w:basedOn w:val="DefaultParagraphFont"/>
    <w:link w:val="Heading4"/>
    <w:uiPriority w:val="9"/>
    <w:qFormat/>
    <w:rsid w:val="00BF0919"/>
    <w:rPr>
      <w:rFonts w:ascii="Times New Roman" w:eastAsiaTheme="majorEastAsia" w:hAnsi="Times New Roman" w:cs="Times New Roman"/>
      <w:szCs w:val="21"/>
      <w:u w:val="single"/>
    </w:rPr>
  </w:style>
  <w:style w:type="character" w:customStyle="1" w:styleId="Heading5Char">
    <w:name w:val="Heading 5 Char"/>
    <w:basedOn w:val="DefaultParagraphFont"/>
    <w:link w:val="Heading5"/>
    <w:uiPriority w:val="9"/>
    <w:qFormat/>
    <w:rsid w:val="00BF0919"/>
    <w:rPr>
      <w:rFonts w:asciiTheme="majorHAnsi" w:eastAsiaTheme="majorEastAsia" w:hAnsiTheme="majorHAnsi" w:cstheme="majorBidi"/>
      <w:color w:val="2F5496" w:themeColor="accent1" w:themeShade="BF"/>
      <w:kern w:val="0"/>
      <w:sz w:val="22"/>
    </w:rPr>
  </w:style>
  <w:style w:type="character" w:customStyle="1" w:styleId="Heading6Char">
    <w:name w:val="Heading 6 Char"/>
    <w:basedOn w:val="DefaultParagraphFont"/>
    <w:link w:val="Heading6"/>
    <w:uiPriority w:val="9"/>
    <w:qFormat/>
    <w:rsid w:val="00BF0919"/>
    <w:rPr>
      <w:rFonts w:asciiTheme="majorHAnsi" w:eastAsiaTheme="majorEastAsia" w:hAnsiTheme="majorHAnsi" w:cstheme="majorBidi"/>
      <w:color w:val="1F3864" w:themeColor="accent1" w:themeShade="80"/>
      <w:kern w:val="0"/>
      <w:sz w:val="22"/>
    </w:rPr>
  </w:style>
  <w:style w:type="character" w:customStyle="1" w:styleId="Heading7Char">
    <w:name w:val="Heading 7 Char"/>
    <w:basedOn w:val="DefaultParagraphFont"/>
    <w:link w:val="Heading7"/>
    <w:uiPriority w:val="9"/>
    <w:qFormat/>
    <w:rsid w:val="00BF0919"/>
    <w:rPr>
      <w:rFonts w:asciiTheme="majorHAnsi" w:eastAsiaTheme="majorEastAsia" w:hAnsiTheme="majorHAnsi" w:cstheme="majorBidi"/>
      <w:i/>
      <w:iCs/>
      <w:color w:val="1F3864" w:themeColor="accent1" w:themeShade="80"/>
      <w:kern w:val="0"/>
      <w:sz w:val="22"/>
    </w:rPr>
  </w:style>
  <w:style w:type="character" w:customStyle="1" w:styleId="Heading8Char">
    <w:name w:val="Heading 8 Char"/>
    <w:basedOn w:val="DefaultParagraphFont"/>
    <w:link w:val="Heading8"/>
    <w:uiPriority w:val="9"/>
    <w:qFormat/>
    <w:rsid w:val="00BF0919"/>
    <w:rPr>
      <w:rFonts w:asciiTheme="majorHAnsi" w:eastAsiaTheme="majorEastAsia" w:hAnsiTheme="majorHAnsi" w:cstheme="majorBidi"/>
      <w:color w:val="262626" w:themeColor="text1" w:themeTint="D9"/>
      <w:kern w:val="0"/>
      <w:szCs w:val="21"/>
    </w:rPr>
  </w:style>
  <w:style w:type="paragraph" w:styleId="BalloonText">
    <w:name w:val="Balloon Text"/>
    <w:basedOn w:val="Normal"/>
    <w:link w:val="BalloonTextChar"/>
    <w:uiPriority w:val="99"/>
    <w:semiHidden/>
    <w:unhideWhenUsed/>
    <w:rsid w:val="00BF0919"/>
    <w:pPr>
      <w:widowControl/>
      <w:jc w:val="left"/>
    </w:pPr>
    <w:rPr>
      <w:kern w:val="0"/>
      <w:sz w:val="18"/>
      <w:szCs w:val="18"/>
    </w:rPr>
  </w:style>
  <w:style w:type="character" w:customStyle="1" w:styleId="BalloonTextChar">
    <w:name w:val="Balloon Text Char"/>
    <w:basedOn w:val="DefaultParagraphFont"/>
    <w:link w:val="BalloonText"/>
    <w:uiPriority w:val="99"/>
    <w:semiHidden/>
    <w:qFormat/>
    <w:rsid w:val="00BF0919"/>
    <w:rPr>
      <w:rFonts w:ascii="Times" w:hAnsi="Times"/>
      <w:kern w:val="0"/>
      <w:sz w:val="18"/>
      <w:szCs w:val="18"/>
    </w:rPr>
  </w:style>
  <w:style w:type="paragraph" w:styleId="Caption">
    <w:name w:val="caption"/>
    <w:basedOn w:val="Normal"/>
    <w:next w:val="Normal"/>
    <w:uiPriority w:val="35"/>
    <w:unhideWhenUsed/>
    <w:qFormat/>
    <w:rsid w:val="00BF0919"/>
    <w:rPr>
      <w:rFonts w:asciiTheme="majorHAnsi" w:eastAsia="黑体" w:hAnsiTheme="majorHAnsi" w:cstheme="majorBidi"/>
      <w:sz w:val="20"/>
      <w:szCs w:val="20"/>
    </w:rPr>
  </w:style>
  <w:style w:type="character" w:styleId="CommentReference">
    <w:name w:val="annotation reference"/>
    <w:basedOn w:val="DefaultParagraphFont"/>
    <w:uiPriority w:val="99"/>
    <w:semiHidden/>
    <w:unhideWhenUsed/>
    <w:qFormat/>
    <w:rsid w:val="00BF0919"/>
    <w:rPr>
      <w:sz w:val="21"/>
      <w:szCs w:val="21"/>
    </w:rPr>
  </w:style>
  <w:style w:type="paragraph" w:styleId="CommentText">
    <w:name w:val="annotation text"/>
    <w:basedOn w:val="Normal"/>
    <w:link w:val="CommentTextChar"/>
    <w:uiPriority w:val="99"/>
    <w:unhideWhenUsed/>
    <w:qFormat/>
    <w:rsid w:val="00BF0919"/>
    <w:pPr>
      <w:widowControl/>
      <w:spacing w:after="160" w:line="259" w:lineRule="auto"/>
      <w:jc w:val="left"/>
    </w:pPr>
    <w:rPr>
      <w:kern w:val="0"/>
      <w:sz w:val="22"/>
    </w:rPr>
  </w:style>
  <w:style w:type="character" w:customStyle="1" w:styleId="CommentTextChar">
    <w:name w:val="Comment Text Char"/>
    <w:basedOn w:val="DefaultParagraphFont"/>
    <w:link w:val="CommentText"/>
    <w:uiPriority w:val="99"/>
    <w:qFormat/>
    <w:rsid w:val="00BF0919"/>
    <w:rPr>
      <w:rFonts w:ascii="Times" w:hAnsi="Times"/>
      <w:kern w:val="0"/>
      <w:sz w:val="22"/>
    </w:rPr>
  </w:style>
  <w:style w:type="paragraph" w:styleId="CommentSubject">
    <w:name w:val="annotation subject"/>
    <w:basedOn w:val="CommentText"/>
    <w:next w:val="CommentText"/>
    <w:link w:val="CommentSubjectChar"/>
    <w:uiPriority w:val="99"/>
    <w:semiHidden/>
    <w:unhideWhenUsed/>
    <w:qFormat/>
    <w:rsid w:val="00BF0919"/>
    <w:rPr>
      <w:b/>
      <w:bCs/>
    </w:rPr>
  </w:style>
  <w:style w:type="character" w:customStyle="1" w:styleId="CommentSubjectChar">
    <w:name w:val="Comment Subject Char"/>
    <w:basedOn w:val="CommentTextChar"/>
    <w:link w:val="CommentSubject"/>
    <w:uiPriority w:val="99"/>
    <w:semiHidden/>
    <w:qFormat/>
    <w:rsid w:val="00BF0919"/>
    <w:rPr>
      <w:rFonts w:ascii="Times" w:hAnsi="Times"/>
      <w:b/>
      <w:bCs/>
      <w:kern w:val="0"/>
      <w:sz w:val="22"/>
    </w:rPr>
  </w:style>
  <w:style w:type="character" w:styleId="FollowedHyperlink">
    <w:name w:val="FollowedHyperlink"/>
    <w:basedOn w:val="DefaultParagraphFont"/>
    <w:uiPriority w:val="99"/>
    <w:semiHidden/>
    <w:unhideWhenUsed/>
    <w:qFormat/>
    <w:rsid w:val="00BF0919"/>
    <w:rPr>
      <w:color w:val="954F72"/>
      <w:u w:val="single"/>
    </w:rPr>
  </w:style>
  <w:style w:type="paragraph" w:styleId="Footer">
    <w:name w:val="footer"/>
    <w:basedOn w:val="Normal"/>
    <w:link w:val="FooterChar"/>
    <w:uiPriority w:val="99"/>
    <w:unhideWhenUsed/>
    <w:qFormat/>
    <w:rsid w:val="00BF091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BF0919"/>
    <w:rPr>
      <w:rFonts w:ascii="Times" w:hAnsi="Times"/>
      <w:sz w:val="18"/>
      <w:szCs w:val="18"/>
    </w:rPr>
  </w:style>
  <w:style w:type="paragraph" w:styleId="Header">
    <w:name w:val="header"/>
    <w:basedOn w:val="Normal"/>
    <w:link w:val="HeaderChar"/>
    <w:uiPriority w:val="99"/>
    <w:unhideWhenUsed/>
    <w:qFormat/>
    <w:rsid w:val="00BF09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BF0919"/>
    <w:rPr>
      <w:rFonts w:ascii="Times" w:hAnsi="Times"/>
      <w:sz w:val="18"/>
      <w:szCs w:val="18"/>
    </w:rPr>
  </w:style>
  <w:style w:type="character" w:styleId="Hyperlink">
    <w:name w:val="Hyperlink"/>
    <w:basedOn w:val="DefaultParagraphFont"/>
    <w:uiPriority w:val="99"/>
    <w:unhideWhenUsed/>
    <w:qFormat/>
    <w:rsid w:val="00BF0919"/>
    <w:rPr>
      <w:color w:val="0563C1" w:themeColor="hyperlink"/>
      <w:u w:val="single"/>
    </w:rPr>
  </w:style>
  <w:style w:type="character" w:styleId="Strong">
    <w:name w:val="Strong"/>
    <w:basedOn w:val="DefaultParagraphFont"/>
    <w:uiPriority w:val="22"/>
    <w:qFormat/>
    <w:rsid w:val="00BF0919"/>
    <w:rPr>
      <w:b/>
      <w:bCs/>
    </w:rPr>
  </w:style>
  <w:style w:type="table" w:styleId="TableGrid">
    <w:name w:val="Table Grid"/>
    <w:basedOn w:val="TableNormal"/>
    <w:uiPriority w:val="39"/>
    <w:qFormat/>
    <w:rsid w:val="00BF0919"/>
    <w:rPr>
      <w:kern w:val="0"/>
      <w:sz w:val="20"/>
      <w:szCs w:val="20"/>
      <w:lang w:val="en-H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unhideWhenUsed/>
    <w:rsid w:val="00BF0919"/>
    <w:pPr>
      <w:ind w:leftChars="200" w:left="200" w:hangingChars="200" w:hanging="200"/>
    </w:pPr>
    <w:rPr>
      <w:rFonts w:eastAsia="Times New Roman"/>
    </w:rPr>
  </w:style>
  <w:style w:type="paragraph" w:styleId="ListParagraph">
    <w:name w:val="List Paragraph"/>
    <w:basedOn w:val="Normal"/>
    <w:uiPriority w:val="34"/>
    <w:qFormat/>
    <w:rsid w:val="00BF0919"/>
    <w:pPr>
      <w:ind w:firstLineChars="200" w:firstLine="420"/>
    </w:pPr>
  </w:style>
  <w:style w:type="paragraph" w:customStyle="1" w:styleId="EndNoteBibliographyTitle">
    <w:name w:val="EndNote Bibliography Title"/>
    <w:basedOn w:val="Normal"/>
    <w:link w:val="EndNoteBibliographyTitle0"/>
    <w:qFormat/>
    <w:rsid w:val="00BF0919"/>
    <w:pPr>
      <w:jc w:val="center"/>
    </w:pPr>
    <w:rPr>
      <w:rFonts w:ascii="Times New Roman" w:eastAsia="等线" w:hAnsi="Times New Roman" w:cs="Times New Roman"/>
      <w:sz w:val="18"/>
    </w:rPr>
  </w:style>
  <w:style w:type="character" w:customStyle="1" w:styleId="EndNoteBibliographyTitle0">
    <w:name w:val="EndNote Bibliography Title 字符"/>
    <w:basedOn w:val="DefaultParagraphFont"/>
    <w:link w:val="EndNoteBibliographyTitle"/>
    <w:rsid w:val="00BF0919"/>
    <w:rPr>
      <w:rFonts w:ascii="Times New Roman" w:eastAsia="等线" w:hAnsi="Times New Roman" w:cs="Times New Roman"/>
      <w:sz w:val="18"/>
    </w:rPr>
  </w:style>
  <w:style w:type="paragraph" w:customStyle="1" w:styleId="EndNoteBibliography">
    <w:name w:val="EndNote Bibliography"/>
    <w:basedOn w:val="Normal"/>
    <w:link w:val="EndNoteBibliography0"/>
    <w:qFormat/>
    <w:rsid w:val="00BF0919"/>
    <w:rPr>
      <w:rFonts w:ascii="Times New Roman" w:eastAsia="等线" w:hAnsi="Times New Roman" w:cs="Times New Roman"/>
      <w:sz w:val="18"/>
    </w:rPr>
  </w:style>
  <w:style w:type="character" w:customStyle="1" w:styleId="EndNoteBibliography0">
    <w:name w:val="EndNote Bibliography 字符"/>
    <w:basedOn w:val="DefaultParagraphFont"/>
    <w:link w:val="EndNoteBibliography"/>
    <w:qFormat/>
    <w:rsid w:val="00BF0919"/>
    <w:rPr>
      <w:rFonts w:ascii="Times New Roman" w:eastAsia="等线" w:hAnsi="Times New Roman" w:cs="Times New Roman"/>
      <w:sz w:val="18"/>
    </w:rPr>
  </w:style>
  <w:style w:type="character" w:customStyle="1" w:styleId="1">
    <w:name w:val="未处理的提及1"/>
    <w:basedOn w:val="DefaultParagraphFont"/>
    <w:uiPriority w:val="99"/>
    <w:semiHidden/>
    <w:unhideWhenUsed/>
    <w:qFormat/>
    <w:rsid w:val="00BF0919"/>
    <w:rPr>
      <w:color w:val="605E5C"/>
      <w:shd w:val="clear" w:color="auto" w:fill="E1DFDD"/>
    </w:rPr>
  </w:style>
  <w:style w:type="character" w:customStyle="1" w:styleId="fontstyle01">
    <w:name w:val="fontstyle01"/>
    <w:basedOn w:val="DefaultParagraphFont"/>
    <w:qFormat/>
    <w:rsid w:val="00BF0919"/>
    <w:rPr>
      <w:rFonts w:ascii="Times-Roman" w:hAnsi="Times-Roman" w:hint="default"/>
      <w:color w:val="000000"/>
      <w:sz w:val="20"/>
      <w:szCs w:val="20"/>
    </w:rPr>
  </w:style>
  <w:style w:type="table" w:customStyle="1" w:styleId="PlainTable31">
    <w:name w:val="Plain Table 31"/>
    <w:basedOn w:val="TableNormal"/>
    <w:uiPriority w:val="43"/>
    <w:qFormat/>
    <w:rsid w:val="00BF0919"/>
    <w:rPr>
      <w:sz w:val="24"/>
      <w:szCs w:val="20"/>
      <w:lang w:val="en-HK" w:eastAsia="zh-TW"/>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ubtleEmphasis1">
    <w:name w:val="Subtle Emphasis1"/>
    <w:basedOn w:val="DefaultParagraphFont"/>
    <w:uiPriority w:val="19"/>
    <w:qFormat/>
    <w:rsid w:val="00BF0919"/>
    <w:rPr>
      <w:i/>
      <w:iCs/>
      <w:color w:val="404040" w:themeColor="text1" w:themeTint="BF"/>
    </w:rPr>
  </w:style>
  <w:style w:type="character" w:customStyle="1" w:styleId="EndNoteBibliographyTitleChar">
    <w:name w:val="EndNote Bibliography Title Char"/>
    <w:basedOn w:val="DefaultParagraphFont"/>
    <w:qFormat/>
    <w:rsid w:val="00BF0919"/>
    <w:rPr>
      <w:rFonts w:ascii="Times New Roman" w:eastAsia="等线" w:hAnsi="Times New Roman" w:cs="Times New Roman"/>
      <w:sz w:val="18"/>
      <w:szCs w:val="22"/>
      <w:lang w:val="en-US"/>
    </w:rPr>
  </w:style>
  <w:style w:type="character" w:customStyle="1" w:styleId="EndNoteBibliographyChar">
    <w:name w:val="EndNote Bibliography Char"/>
    <w:basedOn w:val="DefaultParagraphFont"/>
    <w:qFormat/>
    <w:rsid w:val="00BF0919"/>
    <w:rPr>
      <w:rFonts w:ascii="Times New Roman" w:eastAsia="等线" w:hAnsi="Times New Roman" w:cs="Times New Roman"/>
      <w:sz w:val="18"/>
      <w:szCs w:val="22"/>
      <w:lang w:val="en-US"/>
    </w:rPr>
  </w:style>
  <w:style w:type="table" w:customStyle="1" w:styleId="ListTable2-Accent11">
    <w:name w:val="List Table 2 - Accent 11"/>
    <w:basedOn w:val="TableNormal"/>
    <w:uiPriority w:val="47"/>
    <w:qFormat/>
    <w:rsid w:val="00BF0919"/>
    <w:rPr>
      <w:kern w:val="0"/>
      <w:sz w:val="20"/>
      <w:szCs w:val="20"/>
      <w:lang w:val="en-HK"/>
    </w:rPr>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evision1">
    <w:name w:val="Revision1"/>
    <w:hidden/>
    <w:uiPriority w:val="99"/>
    <w:semiHidden/>
    <w:qFormat/>
    <w:rsid w:val="00BF0919"/>
    <w:rPr>
      <w:kern w:val="0"/>
      <w:sz w:val="22"/>
    </w:rPr>
  </w:style>
  <w:style w:type="paragraph" w:customStyle="1" w:styleId="3">
    <w:name w:val="3号标题"/>
    <w:basedOn w:val="Heading3"/>
    <w:next w:val="Heading3"/>
    <w:link w:val="3Char"/>
    <w:qFormat/>
    <w:rsid w:val="00BF0919"/>
    <w:pPr>
      <w:widowControl/>
      <w:adjustRightInd w:val="0"/>
      <w:snapToGrid w:val="0"/>
      <w:spacing w:beforeLines="0" w:before="0" w:afterLines="0" w:after="0" w:line="480" w:lineRule="auto"/>
    </w:pPr>
    <w:rPr>
      <w:rFonts w:cstheme="majorBidi"/>
      <w:b w:val="0"/>
      <w:bCs w:val="0"/>
      <w:i/>
      <w:color w:val="000000" w:themeColor="text1"/>
      <w:spacing w:val="-2"/>
      <w:kern w:val="0"/>
      <w:szCs w:val="22"/>
      <w:lang w:eastAsia="zh-HK"/>
    </w:rPr>
  </w:style>
  <w:style w:type="character" w:customStyle="1" w:styleId="3Char">
    <w:name w:val="3号标题 Char"/>
    <w:basedOn w:val="DefaultParagraphFont"/>
    <w:link w:val="3"/>
    <w:qFormat/>
    <w:rsid w:val="00BF0919"/>
    <w:rPr>
      <w:rFonts w:ascii="Times New Roman" w:hAnsi="Times New Roman" w:cstheme="majorBidi"/>
      <w:i/>
      <w:color w:val="000000" w:themeColor="text1"/>
      <w:spacing w:val="-2"/>
      <w:kern w:val="0"/>
      <w:sz w:val="24"/>
      <w:lang w:eastAsia="zh-HK"/>
    </w:rPr>
  </w:style>
  <w:style w:type="table" w:customStyle="1" w:styleId="PlainTable32">
    <w:name w:val="Plain Table 32"/>
    <w:basedOn w:val="TableNormal"/>
    <w:uiPriority w:val="43"/>
    <w:qFormat/>
    <w:rsid w:val="00BF0919"/>
    <w:rPr>
      <w:sz w:val="24"/>
      <w:szCs w:val="20"/>
      <w:lang w:val="en-HK" w:eastAsia="zh-TW"/>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qFormat/>
    <w:rsid w:val="00BF0919"/>
    <w:rPr>
      <w:color w:val="605E5C"/>
      <w:shd w:val="clear" w:color="auto" w:fill="E1DFDD"/>
    </w:rPr>
  </w:style>
  <w:style w:type="table" w:customStyle="1" w:styleId="PlainTable21">
    <w:name w:val="Plain Table 21"/>
    <w:basedOn w:val="TableNormal"/>
    <w:uiPriority w:val="42"/>
    <w:qFormat/>
    <w:rsid w:val="00BF0919"/>
    <w:rPr>
      <w:kern w:val="0"/>
      <w:sz w:val="20"/>
      <w:szCs w:val="20"/>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qFormat/>
    <w:rsid w:val="00BF0919"/>
    <w:pPr>
      <w:widowControl/>
      <w:spacing w:before="100" w:beforeAutospacing="1" w:after="100" w:afterAutospacing="1"/>
      <w:jc w:val="left"/>
    </w:pPr>
    <w:rPr>
      <w:rFonts w:ascii="Times New Roman" w:eastAsia="Times New Roman" w:hAnsi="Times New Roman" w:cs="Times New Roman"/>
      <w:kern w:val="0"/>
      <w:sz w:val="24"/>
      <w:szCs w:val="24"/>
      <w:lang w:val="en-GB"/>
    </w:rPr>
  </w:style>
  <w:style w:type="paragraph" w:customStyle="1" w:styleId="xl65">
    <w:name w:val="xl65"/>
    <w:basedOn w:val="Normal"/>
    <w:qFormat/>
    <w:rsid w:val="00BF0919"/>
    <w:pPr>
      <w:widowControl/>
      <w:spacing w:before="100" w:beforeAutospacing="1" w:after="100" w:afterAutospacing="1"/>
      <w:jc w:val="left"/>
    </w:pPr>
    <w:rPr>
      <w:rFonts w:ascii="Times New Roman" w:eastAsia="Times New Roman" w:hAnsi="Times New Roman" w:cs="Times New Roman"/>
      <w:kern w:val="0"/>
      <w:sz w:val="16"/>
      <w:szCs w:val="16"/>
      <w:lang w:val="en-GB"/>
    </w:rPr>
  </w:style>
  <w:style w:type="paragraph" w:customStyle="1" w:styleId="xl66">
    <w:name w:val="xl66"/>
    <w:basedOn w:val="Normal"/>
    <w:qFormat/>
    <w:rsid w:val="00BF0919"/>
    <w:pPr>
      <w:widowControl/>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16"/>
      <w:szCs w:val="16"/>
      <w:lang w:val="en-GB"/>
    </w:rPr>
  </w:style>
  <w:style w:type="paragraph" w:customStyle="1" w:styleId="xl67">
    <w:name w:val="xl67"/>
    <w:basedOn w:val="Normal"/>
    <w:qFormat/>
    <w:rsid w:val="00BF0919"/>
    <w:pPr>
      <w:widowControl/>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kern w:val="0"/>
      <w:sz w:val="16"/>
      <w:szCs w:val="16"/>
      <w:lang w:val="en-GB"/>
    </w:rPr>
  </w:style>
  <w:style w:type="paragraph" w:customStyle="1" w:styleId="xl68">
    <w:name w:val="xl68"/>
    <w:basedOn w:val="Normal"/>
    <w:qFormat/>
    <w:rsid w:val="00BF0919"/>
    <w:pPr>
      <w:widowControl/>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FF0000"/>
      <w:kern w:val="0"/>
      <w:sz w:val="16"/>
      <w:szCs w:val="16"/>
      <w:lang w:val="en-GB"/>
    </w:rPr>
  </w:style>
  <w:style w:type="paragraph" w:customStyle="1" w:styleId="xl69">
    <w:name w:val="xl69"/>
    <w:basedOn w:val="Normal"/>
    <w:qFormat/>
    <w:rsid w:val="00BF0919"/>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0">
    <w:name w:val="xl70"/>
    <w:basedOn w:val="Normal"/>
    <w:qFormat/>
    <w:rsid w:val="00BF0919"/>
    <w:pPr>
      <w:widowControl/>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1">
    <w:name w:val="xl71"/>
    <w:basedOn w:val="Normal"/>
    <w:qFormat/>
    <w:rsid w:val="00BF0919"/>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2">
    <w:name w:val="xl72"/>
    <w:basedOn w:val="Normal"/>
    <w:qFormat/>
    <w:rsid w:val="00BF0919"/>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3">
    <w:name w:val="xl73"/>
    <w:basedOn w:val="Normal"/>
    <w:qFormat/>
    <w:rsid w:val="00BF0919"/>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4">
    <w:name w:val="xl74"/>
    <w:basedOn w:val="Normal"/>
    <w:qFormat/>
    <w:rsid w:val="00BF0919"/>
    <w:pPr>
      <w:widowControl/>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5">
    <w:name w:val="xl75"/>
    <w:basedOn w:val="Normal"/>
    <w:qFormat/>
    <w:rsid w:val="00BF0919"/>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76">
    <w:name w:val="xl76"/>
    <w:basedOn w:val="Normal"/>
    <w:qFormat/>
    <w:rsid w:val="00BF0919"/>
    <w:pPr>
      <w:widowControl/>
      <w:pBdr>
        <w:lef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77">
    <w:name w:val="xl77"/>
    <w:basedOn w:val="Normal"/>
    <w:qFormat/>
    <w:rsid w:val="00BF0919"/>
    <w:pPr>
      <w:widowControl/>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78">
    <w:name w:val="xl78"/>
    <w:basedOn w:val="Normal"/>
    <w:qFormat/>
    <w:rsid w:val="00BF0919"/>
    <w:pPr>
      <w:widowControl/>
      <w:pBdr>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79">
    <w:name w:val="xl79"/>
    <w:basedOn w:val="Normal"/>
    <w:qFormat/>
    <w:rsid w:val="00BF0919"/>
    <w:pPr>
      <w:widowControl/>
      <w:pBdr>
        <w:lef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0">
    <w:name w:val="xl80"/>
    <w:basedOn w:val="Normal"/>
    <w:qFormat/>
    <w:rsid w:val="00BF0919"/>
    <w:pPr>
      <w:widowControl/>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1">
    <w:name w:val="xl81"/>
    <w:basedOn w:val="Normal"/>
    <w:qFormat/>
    <w:rsid w:val="00BF0919"/>
    <w:pPr>
      <w:widowControl/>
      <w:pBdr>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2">
    <w:name w:val="xl82"/>
    <w:basedOn w:val="Normal"/>
    <w:qFormat/>
    <w:rsid w:val="00BF0919"/>
    <w:pPr>
      <w:widowControl/>
      <w:pBdr>
        <w:top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3">
    <w:name w:val="xl83"/>
    <w:basedOn w:val="Normal"/>
    <w:qFormat/>
    <w:rsid w:val="00BF0919"/>
    <w:pPr>
      <w:widowControl/>
      <w:pBdr>
        <w:right w:val="single" w:sz="8"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4">
    <w:name w:val="xl84"/>
    <w:basedOn w:val="Normal"/>
    <w:qFormat/>
    <w:rsid w:val="00BF0919"/>
    <w:pPr>
      <w:widowControl/>
      <w:pBdr>
        <w:right w:val="single" w:sz="8"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5">
    <w:name w:val="xl85"/>
    <w:basedOn w:val="Normal"/>
    <w:qFormat/>
    <w:rsid w:val="00BF0919"/>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6">
    <w:name w:val="xl86"/>
    <w:basedOn w:val="Normal"/>
    <w:qFormat/>
    <w:rsid w:val="00BF0919"/>
    <w:pPr>
      <w:widowControl/>
      <w:pBdr>
        <w:bottom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7">
    <w:name w:val="xl87"/>
    <w:basedOn w:val="Normal"/>
    <w:qFormat/>
    <w:rsid w:val="00BF0919"/>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8">
    <w:name w:val="xl88"/>
    <w:basedOn w:val="Normal"/>
    <w:qFormat/>
    <w:rsid w:val="00BF0919"/>
    <w:pPr>
      <w:widowControl/>
      <w:pBdr>
        <w:bottom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89">
    <w:name w:val="xl89"/>
    <w:basedOn w:val="Normal"/>
    <w:qFormat/>
    <w:rsid w:val="00BF0919"/>
    <w:pPr>
      <w:widowControl/>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0">
    <w:name w:val="xl90"/>
    <w:basedOn w:val="Normal"/>
    <w:qFormat/>
    <w:rsid w:val="00BF0919"/>
    <w:pPr>
      <w:widowControl/>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1">
    <w:name w:val="xl91"/>
    <w:basedOn w:val="Normal"/>
    <w:qFormat/>
    <w:rsid w:val="00BF0919"/>
    <w:pPr>
      <w:widowControl/>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kern w:val="0"/>
      <w:sz w:val="16"/>
      <w:szCs w:val="16"/>
      <w:lang w:val="en-GB"/>
    </w:rPr>
  </w:style>
  <w:style w:type="paragraph" w:customStyle="1" w:styleId="xl92">
    <w:name w:val="xl92"/>
    <w:basedOn w:val="Normal"/>
    <w:qFormat/>
    <w:rsid w:val="00BF0919"/>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3">
    <w:name w:val="xl93"/>
    <w:basedOn w:val="Normal"/>
    <w:qFormat/>
    <w:rsid w:val="00BF0919"/>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4">
    <w:name w:val="xl94"/>
    <w:basedOn w:val="Normal"/>
    <w:qFormat/>
    <w:rsid w:val="00BF0919"/>
    <w:pPr>
      <w:widowControl/>
      <w:pBdr>
        <w:lef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5">
    <w:name w:val="xl95"/>
    <w:basedOn w:val="Normal"/>
    <w:qFormat/>
    <w:rsid w:val="00BF0919"/>
    <w:pPr>
      <w:widowControl/>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6">
    <w:name w:val="xl96"/>
    <w:basedOn w:val="Normal"/>
    <w:qFormat/>
    <w:rsid w:val="00BF0919"/>
    <w:pPr>
      <w:widowControl/>
      <w:pBdr>
        <w:lef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7">
    <w:name w:val="xl97"/>
    <w:basedOn w:val="Normal"/>
    <w:qFormat/>
    <w:rsid w:val="00BF0919"/>
    <w:pPr>
      <w:widowControl/>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8">
    <w:name w:val="xl98"/>
    <w:basedOn w:val="Normal"/>
    <w:qFormat/>
    <w:rsid w:val="00BF0919"/>
    <w:pPr>
      <w:widowControl/>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99">
    <w:name w:val="xl99"/>
    <w:basedOn w:val="Normal"/>
    <w:qFormat/>
    <w:rsid w:val="00BF0919"/>
    <w:pPr>
      <w:widowControl/>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16"/>
      <w:szCs w:val="16"/>
      <w:lang w:val="en-GB"/>
    </w:rPr>
  </w:style>
  <w:style w:type="paragraph" w:customStyle="1" w:styleId="xl100">
    <w:name w:val="xl100"/>
    <w:basedOn w:val="Normal"/>
    <w:qFormat/>
    <w:rsid w:val="00BF0919"/>
    <w:pPr>
      <w:widowControl/>
      <w:pBdr>
        <w:right w:val="single" w:sz="8"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101">
    <w:name w:val="xl101"/>
    <w:basedOn w:val="Normal"/>
    <w:qFormat/>
    <w:rsid w:val="00BF0919"/>
    <w:pPr>
      <w:widowControl/>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FF0000"/>
      <w:kern w:val="0"/>
      <w:sz w:val="16"/>
      <w:szCs w:val="16"/>
      <w:lang w:val="en-GB"/>
    </w:rPr>
  </w:style>
  <w:style w:type="paragraph" w:customStyle="1" w:styleId="xl102">
    <w:name w:val="xl102"/>
    <w:basedOn w:val="Normal"/>
    <w:qFormat/>
    <w:rsid w:val="00BF0919"/>
    <w:pPr>
      <w:widowControl/>
      <w:pBdr>
        <w:left w:val="single" w:sz="4" w:space="0" w:color="auto"/>
      </w:pBdr>
      <w:spacing w:before="100" w:beforeAutospacing="1" w:after="100" w:afterAutospacing="1"/>
      <w:jc w:val="center"/>
    </w:pPr>
    <w:rPr>
      <w:rFonts w:ascii="Times New Roman" w:eastAsia="Times New Roman" w:hAnsi="Times New Roman" w:cs="Times New Roman"/>
      <w:color w:val="FF0000"/>
      <w:kern w:val="0"/>
      <w:sz w:val="16"/>
      <w:szCs w:val="16"/>
      <w:lang w:val="en-GB"/>
    </w:rPr>
  </w:style>
  <w:style w:type="paragraph" w:customStyle="1" w:styleId="xl103">
    <w:name w:val="xl103"/>
    <w:basedOn w:val="Normal"/>
    <w:qFormat/>
    <w:rsid w:val="00BF0919"/>
    <w:pPr>
      <w:widowControl/>
      <w:spacing w:before="100" w:beforeAutospacing="1" w:after="100" w:afterAutospacing="1"/>
      <w:jc w:val="center"/>
    </w:pPr>
    <w:rPr>
      <w:rFonts w:ascii="Times New Roman" w:eastAsia="Times New Roman" w:hAnsi="Times New Roman" w:cs="Times New Roman"/>
      <w:color w:val="FF0000"/>
      <w:kern w:val="0"/>
      <w:sz w:val="16"/>
      <w:szCs w:val="16"/>
      <w:lang w:val="en-GB"/>
    </w:rPr>
  </w:style>
  <w:style w:type="paragraph" w:customStyle="1" w:styleId="xl104">
    <w:name w:val="xl104"/>
    <w:basedOn w:val="Normal"/>
    <w:qFormat/>
    <w:rsid w:val="00BF0919"/>
    <w:pPr>
      <w:widowControl/>
      <w:pBdr>
        <w:right w:val="single" w:sz="4" w:space="0" w:color="auto"/>
      </w:pBdr>
      <w:spacing w:before="100" w:beforeAutospacing="1" w:after="100" w:afterAutospacing="1"/>
      <w:jc w:val="center"/>
    </w:pPr>
    <w:rPr>
      <w:rFonts w:ascii="Times New Roman" w:eastAsia="Times New Roman" w:hAnsi="Times New Roman" w:cs="Times New Roman"/>
      <w:color w:val="FF0000"/>
      <w:kern w:val="0"/>
      <w:sz w:val="16"/>
      <w:szCs w:val="16"/>
      <w:lang w:val="en-GB"/>
    </w:rPr>
  </w:style>
  <w:style w:type="paragraph" w:customStyle="1" w:styleId="xl105">
    <w:name w:val="xl105"/>
    <w:basedOn w:val="Normal"/>
    <w:qFormat/>
    <w:rsid w:val="00BF0919"/>
    <w:pPr>
      <w:widowControl/>
      <w:pBdr>
        <w:right w:val="single" w:sz="8" w:space="0" w:color="auto"/>
      </w:pBdr>
      <w:spacing w:before="100" w:beforeAutospacing="1" w:after="100" w:afterAutospacing="1"/>
      <w:jc w:val="center"/>
    </w:pPr>
    <w:rPr>
      <w:rFonts w:ascii="Times New Roman" w:eastAsia="Times New Roman" w:hAnsi="Times New Roman" w:cs="Times New Roman"/>
      <w:color w:val="FF0000"/>
      <w:kern w:val="0"/>
      <w:sz w:val="16"/>
      <w:szCs w:val="16"/>
      <w:lang w:val="en-GB"/>
    </w:rPr>
  </w:style>
  <w:style w:type="paragraph" w:customStyle="1" w:styleId="xl106">
    <w:name w:val="xl106"/>
    <w:basedOn w:val="Normal"/>
    <w:qFormat/>
    <w:rsid w:val="00BF0919"/>
    <w:pPr>
      <w:widowControl/>
      <w:pBdr>
        <w:top w:val="single" w:sz="8"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16"/>
      <w:szCs w:val="16"/>
      <w:lang w:val="en-GB"/>
    </w:rPr>
  </w:style>
  <w:style w:type="paragraph" w:customStyle="1" w:styleId="xl107">
    <w:name w:val="xl107"/>
    <w:basedOn w:val="Normal"/>
    <w:qFormat/>
    <w:rsid w:val="00BF0919"/>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16"/>
      <w:szCs w:val="16"/>
      <w:lang w:val="en-GB"/>
    </w:rPr>
  </w:style>
  <w:style w:type="paragraph" w:customStyle="1" w:styleId="xl108">
    <w:name w:val="xl108"/>
    <w:basedOn w:val="Normal"/>
    <w:qFormat/>
    <w:rsid w:val="00BF0919"/>
    <w:pPr>
      <w:widowControl/>
      <w:pBdr>
        <w:left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kern w:val="0"/>
      <w:sz w:val="16"/>
      <w:szCs w:val="16"/>
      <w:lang w:val="en-GB"/>
    </w:rPr>
  </w:style>
  <w:style w:type="paragraph" w:customStyle="1" w:styleId="xl109">
    <w:name w:val="xl109"/>
    <w:basedOn w:val="Normal"/>
    <w:qFormat/>
    <w:rsid w:val="00BF0919"/>
    <w:pPr>
      <w:widowControl/>
      <w:pBdr>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110">
    <w:name w:val="xl110"/>
    <w:basedOn w:val="Normal"/>
    <w:qFormat/>
    <w:rsid w:val="00BF0919"/>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sz w:val="16"/>
      <w:szCs w:val="16"/>
      <w:lang w:val="en-GB"/>
    </w:rPr>
  </w:style>
  <w:style w:type="paragraph" w:customStyle="1" w:styleId="xl111">
    <w:name w:val="xl111"/>
    <w:basedOn w:val="Normal"/>
    <w:qFormat/>
    <w:rsid w:val="00BF0919"/>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2">
    <w:name w:val="xl112"/>
    <w:basedOn w:val="Normal"/>
    <w:qFormat/>
    <w:rsid w:val="00BF0919"/>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3">
    <w:name w:val="xl113"/>
    <w:basedOn w:val="Normal"/>
    <w:qFormat/>
    <w:rsid w:val="00BF0919"/>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4">
    <w:name w:val="xl114"/>
    <w:basedOn w:val="Normal"/>
    <w:qFormat/>
    <w:rsid w:val="00BF0919"/>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5">
    <w:name w:val="xl115"/>
    <w:basedOn w:val="Normal"/>
    <w:qFormat/>
    <w:rsid w:val="00BF0919"/>
    <w:pPr>
      <w:widowControl/>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6">
    <w:name w:val="xl116"/>
    <w:basedOn w:val="Normal"/>
    <w:qFormat/>
    <w:rsid w:val="00BF0919"/>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7">
    <w:name w:val="xl117"/>
    <w:basedOn w:val="Normal"/>
    <w:qFormat/>
    <w:rsid w:val="00BF0919"/>
    <w:pPr>
      <w:widowControl/>
      <w:pBdr>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16"/>
      <w:szCs w:val="16"/>
      <w:lang w:val="en-GB"/>
    </w:rPr>
  </w:style>
  <w:style w:type="paragraph" w:customStyle="1" w:styleId="xl118">
    <w:name w:val="xl118"/>
    <w:basedOn w:val="Normal"/>
    <w:qFormat/>
    <w:rsid w:val="00BF0919"/>
    <w:pPr>
      <w:widowControl/>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kern w:val="0"/>
      <w:sz w:val="16"/>
      <w:szCs w:val="16"/>
      <w:lang w:val="en-GB"/>
    </w:rPr>
  </w:style>
  <w:style w:type="paragraph" w:customStyle="1" w:styleId="xl119">
    <w:name w:val="xl119"/>
    <w:basedOn w:val="Normal"/>
    <w:qFormat/>
    <w:rsid w:val="00BF0919"/>
    <w:pPr>
      <w:widowControl/>
      <w:pBdr>
        <w:top w:val="single" w:sz="4" w:space="0" w:color="auto"/>
      </w:pBdr>
      <w:spacing w:before="100" w:beforeAutospacing="1" w:after="100" w:afterAutospacing="1"/>
      <w:jc w:val="left"/>
    </w:pPr>
    <w:rPr>
      <w:rFonts w:ascii="Times New Roman" w:eastAsia="Times New Roman" w:hAnsi="Times New Roman" w:cs="Times New Roman"/>
      <w:kern w:val="0"/>
      <w:sz w:val="16"/>
      <w:szCs w:val="16"/>
      <w:lang w:val="en-GB"/>
    </w:rPr>
  </w:style>
  <w:style w:type="paragraph" w:customStyle="1" w:styleId="xl120">
    <w:name w:val="xl120"/>
    <w:basedOn w:val="Normal"/>
    <w:qFormat/>
    <w:rsid w:val="00BF0919"/>
    <w:pPr>
      <w:widowControl/>
      <w:pBdr>
        <w:bottom w:val="single" w:sz="4" w:space="0" w:color="auto"/>
      </w:pBdr>
      <w:spacing w:before="100" w:beforeAutospacing="1" w:after="100" w:afterAutospacing="1"/>
      <w:jc w:val="left"/>
    </w:pPr>
    <w:rPr>
      <w:rFonts w:ascii="Times New Roman" w:eastAsia="Times New Roman" w:hAnsi="Times New Roman" w:cs="Times New Roman"/>
      <w:kern w:val="0"/>
      <w:sz w:val="16"/>
      <w:szCs w:val="16"/>
      <w:lang w:val="en-GB"/>
    </w:rPr>
  </w:style>
  <w:style w:type="paragraph" w:customStyle="1" w:styleId="10">
    <w:name w:val="1号标题"/>
    <w:basedOn w:val="Heading1"/>
    <w:link w:val="1Char"/>
    <w:qFormat/>
    <w:rsid w:val="00BF0919"/>
    <w:pPr>
      <w:widowControl/>
      <w:snapToGrid w:val="0"/>
      <w:spacing w:line="480" w:lineRule="auto"/>
    </w:pPr>
    <w:rPr>
      <w:rFonts w:eastAsiaTheme="majorEastAsia"/>
      <w:bCs w:val="0"/>
      <w:color w:val="000000" w:themeColor="text1"/>
      <w:spacing w:val="-2"/>
      <w:kern w:val="52"/>
      <w:szCs w:val="24"/>
      <w:lang w:eastAsia="zh-HK"/>
    </w:rPr>
  </w:style>
  <w:style w:type="character" w:customStyle="1" w:styleId="1Char">
    <w:name w:val="1号标题 Char"/>
    <w:basedOn w:val="Heading1Char"/>
    <w:link w:val="10"/>
    <w:qFormat/>
    <w:rsid w:val="00BF0919"/>
    <w:rPr>
      <w:rFonts w:ascii="Times New Roman" w:eastAsiaTheme="majorEastAsia" w:hAnsi="Times New Roman" w:cs="Times New Roman"/>
      <w:b/>
      <w:bCs w:val="0"/>
      <w:color w:val="000000" w:themeColor="text1"/>
      <w:spacing w:val="-2"/>
      <w:kern w:val="52"/>
      <w:sz w:val="28"/>
      <w:szCs w:val="24"/>
      <w:lang w:eastAsia="zh-HK"/>
    </w:rPr>
  </w:style>
  <w:style w:type="paragraph" w:customStyle="1" w:styleId="Revision2">
    <w:name w:val="Revision2"/>
    <w:hidden/>
    <w:uiPriority w:val="99"/>
    <w:semiHidden/>
    <w:qFormat/>
    <w:rsid w:val="00BF0919"/>
    <w:rPr>
      <w:kern w:val="0"/>
      <w:sz w:val="22"/>
    </w:rPr>
  </w:style>
  <w:style w:type="paragraph" w:customStyle="1" w:styleId="Revision3">
    <w:name w:val="Revision3"/>
    <w:hidden/>
    <w:uiPriority w:val="99"/>
    <w:semiHidden/>
    <w:qFormat/>
    <w:rsid w:val="00BF0919"/>
    <w:rPr>
      <w:kern w:val="0"/>
      <w:sz w:val="22"/>
    </w:rPr>
  </w:style>
  <w:style w:type="paragraph" w:customStyle="1" w:styleId="11">
    <w:name w:val="修订1"/>
    <w:hidden/>
    <w:uiPriority w:val="99"/>
    <w:semiHidden/>
    <w:qFormat/>
    <w:rsid w:val="00BF0919"/>
    <w:rPr>
      <w:kern w:val="0"/>
      <w:sz w:val="22"/>
    </w:rPr>
  </w:style>
  <w:style w:type="paragraph" w:customStyle="1" w:styleId="Revision4">
    <w:name w:val="Revision4"/>
    <w:hidden/>
    <w:uiPriority w:val="99"/>
    <w:semiHidden/>
    <w:rsid w:val="00BF0919"/>
    <w:rPr>
      <w:kern w:val="0"/>
      <w:sz w:val="22"/>
    </w:rPr>
  </w:style>
  <w:style w:type="paragraph" w:customStyle="1" w:styleId="font5">
    <w:name w:val="font5"/>
    <w:basedOn w:val="Normal"/>
    <w:rsid w:val="00BF0919"/>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font6">
    <w:name w:val="font6"/>
    <w:basedOn w:val="Normal"/>
    <w:rsid w:val="00BF0919"/>
    <w:pPr>
      <w:widowControl/>
      <w:spacing w:before="100" w:beforeAutospacing="1" w:after="100" w:afterAutospacing="1"/>
      <w:jc w:val="left"/>
    </w:pPr>
    <w:rPr>
      <w:rFonts w:ascii="等线" w:eastAsia="等线" w:hAnsi="等线" w:cs="宋体"/>
      <w:kern w:val="0"/>
      <w:sz w:val="18"/>
      <w:szCs w:val="18"/>
    </w:rPr>
  </w:style>
  <w:style w:type="paragraph" w:customStyle="1" w:styleId="xl121">
    <w:name w:val="xl121"/>
    <w:basedOn w:val="Normal"/>
    <w:rsid w:val="00BF091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22">
    <w:name w:val="xl122"/>
    <w:basedOn w:val="Normal"/>
    <w:rsid w:val="00BF0919"/>
    <w:pPr>
      <w:widowControl/>
      <w:pBdr>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23">
    <w:name w:val="xl123"/>
    <w:basedOn w:val="Normal"/>
    <w:rsid w:val="00BF09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24">
    <w:name w:val="xl124"/>
    <w:basedOn w:val="Normal"/>
    <w:rsid w:val="00BF0919"/>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25">
    <w:name w:val="xl125"/>
    <w:basedOn w:val="Normal"/>
    <w:rsid w:val="00BF0919"/>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26">
    <w:name w:val="xl126"/>
    <w:basedOn w:val="Normal"/>
    <w:rsid w:val="00BF0919"/>
    <w:pPr>
      <w:widowControl/>
      <w:pBdr>
        <w:top w:val="dotted" w:sz="4" w:space="0" w:color="auto"/>
        <w:left w:val="dotted" w:sz="4" w:space="0" w:color="auto"/>
        <w:bottom w:val="dotted" w:sz="4" w:space="0" w:color="auto"/>
        <w:right w:val="single" w:sz="12"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127">
    <w:name w:val="xl127"/>
    <w:basedOn w:val="Normal"/>
    <w:rsid w:val="00BF0919"/>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28">
    <w:name w:val="xl128"/>
    <w:basedOn w:val="Normal"/>
    <w:rsid w:val="00BF0919"/>
    <w:pPr>
      <w:widowControl/>
      <w:pBdr>
        <w:top w:val="single" w:sz="4" w:space="0" w:color="auto"/>
        <w:left w:val="single" w:sz="4" w:space="0" w:color="auto"/>
        <w:bottom w:val="single" w:sz="4" w:space="0" w:color="auto"/>
        <w:right w:val="single" w:sz="12"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29">
    <w:name w:val="xl129"/>
    <w:basedOn w:val="Normal"/>
    <w:rsid w:val="00BF0919"/>
    <w:pPr>
      <w:widowControl/>
      <w:pBdr>
        <w:top w:val="single" w:sz="4" w:space="0" w:color="auto"/>
        <w:left w:val="single" w:sz="12"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30">
    <w:name w:val="xl130"/>
    <w:basedOn w:val="Normal"/>
    <w:rsid w:val="00BF0919"/>
    <w:pPr>
      <w:widowControl/>
      <w:pBdr>
        <w:top w:val="single" w:sz="4" w:space="0" w:color="auto"/>
        <w:bottom w:val="single" w:sz="4"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31">
    <w:name w:val="xl131"/>
    <w:basedOn w:val="Normal"/>
    <w:rsid w:val="00BF0919"/>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2">
    <w:name w:val="xl132"/>
    <w:basedOn w:val="Normal"/>
    <w:rsid w:val="00BF0919"/>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3">
    <w:name w:val="xl133"/>
    <w:basedOn w:val="Normal"/>
    <w:rsid w:val="00BF0919"/>
    <w:pPr>
      <w:widowControl/>
      <w:pBdr>
        <w:top w:val="single" w:sz="4" w:space="0" w:color="auto"/>
        <w:bottom w:val="single" w:sz="4" w:space="0" w:color="auto"/>
        <w:right w:val="single" w:sz="12"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4">
    <w:name w:val="xl134"/>
    <w:basedOn w:val="Normal"/>
    <w:rsid w:val="00BF091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5">
    <w:name w:val="xl135"/>
    <w:basedOn w:val="Normal"/>
    <w:rsid w:val="00BF0919"/>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6">
    <w:name w:val="xl136"/>
    <w:basedOn w:val="Normal"/>
    <w:rsid w:val="00BF0919"/>
    <w:pPr>
      <w:widowControl/>
      <w:pBdr>
        <w:top w:val="single" w:sz="4" w:space="0" w:color="auto"/>
        <w:bottom w:val="single" w:sz="4" w:space="0" w:color="auto"/>
        <w:right w:val="single" w:sz="12"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7">
    <w:name w:val="xl137"/>
    <w:basedOn w:val="Normal"/>
    <w:rsid w:val="00BF0919"/>
    <w:pPr>
      <w:widowControl/>
      <w:pBdr>
        <w:top w:val="single" w:sz="4" w:space="0" w:color="auto"/>
        <w:left w:val="single" w:sz="12" w:space="0" w:color="auto"/>
        <w:bottom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8">
    <w:name w:val="xl138"/>
    <w:basedOn w:val="Normal"/>
    <w:rsid w:val="00BF0919"/>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39">
    <w:name w:val="xl139"/>
    <w:basedOn w:val="Normal"/>
    <w:rsid w:val="00BF091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0">
    <w:name w:val="xl140"/>
    <w:basedOn w:val="Normal"/>
    <w:rsid w:val="00BF0919"/>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1">
    <w:name w:val="xl141"/>
    <w:basedOn w:val="Normal"/>
    <w:rsid w:val="00BF091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2">
    <w:name w:val="xl142"/>
    <w:basedOn w:val="Normal"/>
    <w:rsid w:val="00BF0919"/>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3">
    <w:name w:val="xl143"/>
    <w:basedOn w:val="Normal"/>
    <w:rsid w:val="00BF0919"/>
    <w:pPr>
      <w:widowControl/>
      <w:pBdr>
        <w:top w:val="single" w:sz="4" w:space="0" w:color="auto"/>
        <w:bottom w:val="single" w:sz="4" w:space="0" w:color="auto"/>
      </w:pBdr>
      <w:shd w:val="clear" w:color="000000" w:fill="FFFF00"/>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144">
    <w:name w:val="xl144"/>
    <w:basedOn w:val="Normal"/>
    <w:rsid w:val="00BF0919"/>
    <w:pPr>
      <w:widowControl/>
      <w:pBdr>
        <w:right w:val="single" w:sz="12"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5">
    <w:name w:val="xl145"/>
    <w:basedOn w:val="Normal"/>
    <w:rsid w:val="00BF0919"/>
    <w:pPr>
      <w:widowControl/>
      <w:pBdr>
        <w:top w:val="single" w:sz="4" w:space="0" w:color="auto"/>
        <w:left w:val="single" w:sz="12" w:space="0" w:color="auto"/>
        <w:bottom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6">
    <w:name w:val="xl146"/>
    <w:basedOn w:val="Normal"/>
    <w:rsid w:val="00BF0919"/>
    <w:pPr>
      <w:widowControl/>
      <w:pBdr>
        <w:lef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7">
    <w:name w:val="xl147"/>
    <w:basedOn w:val="Normal"/>
    <w:rsid w:val="00BF0919"/>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148">
    <w:name w:val="xl148"/>
    <w:basedOn w:val="Normal"/>
    <w:rsid w:val="00BF0919"/>
    <w:pPr>
      <w:widowControl/>
      <w:pBdr>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styleId="Revision">
    <w:name w:val="Revision"/>
    <w:hidden/>
    <w:uiPriority w:val="99"/>
    <w:semiHidden/>
    <w:rsid w:val="00BF0919"/>
    <w:rPr>
      <w:kern w:val="0"/>
      <w:sz w:val="22"/>
    </w:rPr>
  </w:style>
  <w:style w:type="character" w:styleId="PlaceholderText">
    <w:name w:val="Placeholder Text"/>
    <w:basedOn w:val="DefaultParagraphFont"/>
    <w:uiPriority w:val="99"/>
    <w:semiHidden/>
    <w:rsid w:val="00BF0919"/>
    <w:rPr>
      <w:color w:val="808080"/>
    </w:rPr>
  </w:style>
  <w:style w:type="character" w:styleId="LineNumber">
    <w:name w:val="line number"/>
    <w:basedOn w:val="DefaultParagraphFont"/>
    <w:uiPriority w:val="99"/>
    <w:semiHidden/>
    <w:unhideWhenUsed/>
    <w:rsid w:val="00BF0919"/>
  </w:style>
  <w:style w:type="character" w:styleId="UnresolvedMention">
    <w:name w:val="Unresolved Mention"/>
    <w:basedOn w:val="DefaultParagraphFont"/>
    <w:uiPriority w:val="99"/>
    <w:semiHidden/>
    <w:unhideWhenUsed/>
    <w:rsid w:val="00BF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package" Target="embeddings/Microsoft_Visio_Drawing.vsdx"/><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Visio_Drawing1.vsd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customXml" Target="../customXml/item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EE25DC-1952-47AB-8677-3C93A59F66EA}">
  <ds:schemaRefs>
    <ds:schemaRef ds:uri="http://schemas.openxmlformats.org/officeDocument/2006/bibliography"/>
  </ds:schemaRefs>
</ds:datastoreItem>
</file>

<file path=customXml/itemProps2.xml><?xml version="1.0" encoding="utf-8"?>
<ds:datastoreItem xmlns:ds="http://schemas.openxmlformats.org/officeDocument/2006/customXml" ds:itemID="{23374DB4-1A8A-40DA-9396-C2B9D9C212B0}"/>
</file>

<file path=customXml/itemProps3.xml><?xml version="1.0" encoding="utf-8"?>
<ds:datastoreItem xmlns:ds="http://schemas.openxmlformats.org/officeDocument/2006/customXml" ds:itemID="{3DF527A7-8E84-4012-AED4-0FE4CFEB18D9}"/>
</file>

<file path=customXml/itemProps4.xml><?xml version="1.0" encoding="utf-8"?>
<ds:datastoreItem xmlns:ds="http://schemas.openxmlformats.org/officeDocument/2006/customXml" ds:itemID="{12201EEC-4CC5-4FDB-97E3-0FB924ABC7C4}"/>
</file>

<file path=docProps/app.xml><?xml version="1.0" encoding="utf-8"?>
<Properties xmlns="http://schemas.openxmlformats.org/officeDocument/2006/extended-properties" xmlns:vt="http://schemas.openxmlformats.org/officeDocument/2006/docPropsVTypes">
  <Template>Normal.dotm</Template>
  <TotalTime>31</TotalTime>
  <Pages>36</Pages>
  <Words>13858</Words>
  <Characters>78995</Characters>
  <Application>Microsoft Office Word</Application>
  <DocSecurity>0</DocSecurity>
  <Lines>658</Lines>
  <Paragraphs>185</Paragraphs>
  <ScaleCrop>false</ScaleCrop>
  <Company/>
  <LinksUpToDate>false</LinksUpToDate>
  <CharactersWithSpaces>92668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Siwei</dc:creator>
  <cp:keywords/>
  <dc:description/>
  <cp:lastModifiedBy>Ssuwei</cp:lastModifiedBy>
  <cp:revision>6</cp:revision>
  <dcterms:created xsi:type="dcterms:W3CDTF">2022-08-12T05:38:00Z</dcterms:created>
  <dcterms:modified xsi:type="dcterms:W3CDTF">2024-04-25T08:35:00Z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